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eastAsia="黑体"/>
          <w:b/>
          <w:spacing w:val="20"/>
          <w:sz w:val="52"/>
          <w:szCs w:val="52"/>
          <w:lang w:val="en-US" w:eastAsia="zh-CN"/>
        </w:rPr>
      </w:pPr>
      <w:r>
        <w:rPr>
          <w:rFonts w:hint="eastAsia" w:eastAsia="黑体"/>
          <w:b/>
          <w:spacing w:val="20"/>
          <w:sz w:val="52"/>
          <w:szCs w:val="52"/>
          <w:lang w:val="en-US" w:eastAsia="zh-CN"/>
        </w:rPr>
        <w:t xml:space="preserve">                                                                                                                                                                                   </w:t>
      </w:r>
    </w:p>
    <w:p>
      <w:pPr>
        <w:pStyle w:val="2"/>
        <w:ind w:left="0" w:leftChars="0" w:firstLine="0" w:firstLineChars="0"/>
        <w:rPr>
          <w:rFonts w:eastAsia="黑体"/>
          <w:b/>
          <w:spacing w:val="20"/>
          <w:sz w:val="52"/>
          <w:szCs w:val="52"/>
        </w:rPr>
      </w:pPr>
    </w:p>
    <w:p>
      <w:pPr>
        <w:pStyle w:val="2"/>
        <w:ind w:left="0" w:leftChars="0" w:firstLine="0" w:firstLineChars="0"/>
        <w:rPr>
          <w:rFonts w:eastAsia="黑体"/>
          <w:b/>
          <w:spacing w:val="20"/>
          <w:sz w:val="52"/>
          <w:szCs w:val="52"/>
        </w:rPr>
      </w:pPr>
    </w:p>
    <w:p>
      <w:pPr>
        <w:pStyle w:val="2"/>
        <w:ind w:left="0" w:leftChars="0" w:firstLine="0" w:firstLineChars="0"/>
        <w:rPr>
          <w:rFonts w:eastAsia="黑体"/>
          <w:b/>
          <w:spacing w:val="20"/>
          <w:sz w:val="52"/>
          <w:szCs w:val="52"/>
        </w:rPr>
      </w:pPr>
    </w:p>
    <w:p>
      <w:pPr>
        <w:adjustRightInd w:val="0"/>
        <w:snapToGrid w:val="0"/>
        <w:spacing w:before="624" w:line="360" w:lineRule="auto"/>
        <w:jc w:val="center"/>
        <w:rPr>
          <w:rFonts w:hint="eastAsia" w:ascii="宋体" w:hAnsi="宋体" w:cs="宋体"/>
          <w:b/>
          <w:bCs/>
          <w:color w:val="auto"/>
          <w:spacing w:val="20"/>
          <w:sz w:val="52"/>
          <w:szCs w:val="52"/>
          <w:lang w:val="en-US" w:eastAsia="zh-CN"/>
        </w:rPr>
      </w:pPr>
      <w:r>
        <w:rPr>
          <w:rFonts w:hint="eastAsia" w:ascii="宋体" w:hAnsi="宋体" w:cs="宋体"/>
          <w:b/>
          <w:bCs/>
          <w:color w:val="auto"/>
          <w:spacing w:val="20"/>
          <w:sz w:val="52"/>
          <w:szCs w:val="52"/>
          <w:lang w:val="en-US" w:eastAsia="zh-CN"/>
        </w:rPr>
        <w:t>淄博建龙化工有限公司</w:t>
      </w:r>
    </w:p>
    <w:p>
      <w:pPr>
        <w:adjustRightInd w:val="0"/>
        <w:snapToGrid w:val="0"/>
        <w:spacing w:before="624" w:line="360" w:lineRule="auto"/>
        <w:jc w:val="center"/>
        <w:rPr>
          <w:rFonts w:hint="eastAsia" w:ascii="宋体" w:hAnsi="宋体" w:cs="宋体"/>
          <w:b/>
          <w:bCs/>
          <w:spacing w:val="20"/>
          <w:sz w:val="52"/>
          <w:szCs w:val="52"/>
          <w:lang w:val="en-US" w:eastAsia="zh-CN"/>
        </w:rPr>
      </w:pPr>
      <w:r>
        <w:rPr>
          <w:rFonts w:hint="eastAsia" w:ascii="宋体" w:hAnsi="宋体" w:cs="宋体"/>
          <w:b/>
          <w:bCs/>
          <w:spacing w:val="20"/>
          <w:sz w:val="52"/>
          <w:szCs w:val="52"/>
          <w:lang w:val="en-US" w:eastAsia="zh-CN"/>
        </w:rPr>
        <w:t>30万t/a硫</w:t>
      </w:r>
      <w:bookmarkStart w:id="186" w:name="_GoBack"/>
      <w:bookmarkEnd w:id="186"/>
      <w:r>
        <w:rPr>
          <w:rFonts w:hint="eastAsia" w:ascii="宋体" w:hAnsi="宋体" w:cs="宋体"/>
          <w:b/>
          <w:bCs/>
          <w:spacing w:val="20"/>
          <w:sz w:val="52"/>
          <w:szCs w:val="52"/>
          <w:lang w:val="en-US" w:eastAsia="zh-CN"/>
        </w:rPr>
        <w:t>磺酸搬迁改造项目</w:t>
      </w:r>
    </w:p>
    <w:p>
      <w:pPr>
        <w:adjustRightInd w:val="0"/>
        <w:snapToGrid w:val="0"/>
        <w:spacing w:before="624" w:line="360" w:lineRule="auto"/>
        <w:jc w:val="center"/>
        <w:rPr>
          <w:rFonts w:eastAsia="黑体"/>
          <w:spacing w:val="20"/>
          <w:sz w:val="56"/>
          <w:szCs w:val="56"/>
        </w:rPr>
      </w:pPr>
      <w:r>
        <w:rPr>
          <w:rFonts w:hint="eastAsia" w:ascii="宋体" w:hAnsi="宋体" w:eastAsia="宋体" w:cs="宋体"/>
          <w:b/>
          <w:bCs/>
          <w:spacing w:val="20"/>
          <w:sz w:val="52"/>
          <w:szCs w:val="52"/>
        </w:rPr>
        <w:t>竣工环境保护验收</w:t>
      </w:r>
      <w:r>
        <w:rPr>
          <w:rFonts w:hint="eastAsia" w:ascii="宋体" w:hAnsi="宋体" w:eastAsia="宋体" w:cs="宋体"/>
          <w:b/>
          <w:bCs/>
          <w:spacing w:val="20"/>
          <w:sz w:val="52"/>
          <w:szCs w:val="52"/>
          <w:lang w:val="en-US" w:eastAsia="zh-CN"/>
        </w:rPr>
        <w:t>监测</w:t>
      </w:r>
      <w:r>
        <w:rPr>
          <w:rFonts w:hint="eastAsia" w:ascii="宋体" w:hAnsi="宋体" w:eastAsia="宋体" w:cs="宋体"/>
          <w:b/>
          <w:bCs/>
          <w:spacing w:val="20"/>
          <w:sz w:val="52"/>
          <w:szCs w:val="52"/>
        </w:rPr>
        <w:t>报告</w:t>
      </w:r>
    </w:p>
    <w:p>
      <w:pPr>
        <w:spacing w:line="360" w:lineRule="auto"/>
        <w:rPr>
          <w:rFonts w:ascii="宋体" w:hAnsi="宋体"/>
          <w:sz w:val="32"/>
        </w:rPr>
      </w:pPr>
      <w:r>
        <w:rPr>
          <w:rFonts w:hint="eastAsia" w:ascii="宋体" w:hAnsi="宋体"/>
          <w:sz w:val="32"/>
        </w:rPr>
        <w:t xml:space="preserve"> </w:t>
      </w:r>
    </w:p>
    <w:p>
      <w:pPr>
        <w:rPr>
          <w:rFonts w:ascii="宋体" w:hAnsi="宋体"/>
          <w:sz w:val="32"/>
        </w:rPr>
      </w:pPr>
    </w:p>
    <w:p>
      <w:pPr>
        <w:rPr>
          <w:rFonts w:ascii="宋体" w:hAnsi="宋体"/>
          <w:sz w:val="32"/>
        </w:rPr>
      </w:pPr>
    </w:p>
    <w:p>
      <w:pPr>
        <w:rPr>
          <w:rFonts w:ascii="宋体" w:hAnsi="宋体"/>
          <w:sz w:val="32"/>
        </w:rPr>
      </w:pPr>
    </w:p>
    <w:p>
      <w:pPr>
        <w:rPr>
          <w:rFonts w:ascii="宋体" w:hAnsi="宋体"/>
          <w:sz w:val="32"/>
        </w:rPr>
      </w:pPr>
    </w:p>
    <w:p>
      <w:pPr>
        <w:jc w:val="center"/>
        <w:rPr>
          <w:rFonts w:hint="eastAsia" w:ascii="宋体" w:hAnsi="宋体"/>
          <w:b/>
          <w:sz w:val="32"/>
          <w:szCs w:val="32"/>
        </w:rPr>
      </w:pPr>
    </w:p>
    <w:p>
      <w:pPr>
        <w:pStyle w:val="2"/>
        <w:ind w:firstLine="480"/>
        <w:rPr>
          <w:sz w:val="32"/>
          <w:szCs w:val="32"/>
        </w:rPr>
      </w:pPr>
    </w:p>
    <w:p>
      <w:pPr>
        <w:jc w:val="center"/>
        <w:rPr>
          <w:rFonts w:ascii="宋体" w:hAnsi="宋体"/>
          <w:b/>
          <w:sz w:val="32"/>
          <w:szCs w:val="32"/>
        </w:rPr>
      </w:pPr>
    </w:p>
    <w:p>
      <w:pPr>
        <w:jc w:val="center"/>
        <w:rPr>
          <w:rFonts w:hint="eastAsia" w:ascii="宋体" w:hAnsi="宋体"/>
          <w:b/>
          <w:bCs/>
          <w:sz w:val="32"/>
          <w:szCs w:val="32"/>
        </w:rPr>
      </w:pPr>
      <w:r>
        <w:rPr>
          <w:rFonts w:hint="eastAsia" w:ascii="宋体" w:hAnsi="宋体"/>
          <w:b/>
          <w:bCs/>
          <w:sz w:val="32"/>
          <w:szCs w:val="32"/>
          <w:lang w:val="en-US" w:eastAsia="zh-CN"/>
        </w:rPr>
        <w:t>山东民基新材料科技有限</w:t>
      </w:r>
      <w:r>
        <w:rPr>
          <w:rFonts w:hint="eastAsia" w:ascii="宋体" w:hAnsi="宋体"/>
          <w:b/>
          <w:bCs/>
          <w:sz w:val="32"/>
          <w:szCs w:val="32"/>
        </w:rPr>
        <w:t>公司</w:t>
      </w:r>
    </w:p>
    <w:p>
      <w:pPr>
        <w:jc w:val="center"/>
        <w:rPr>
          <w:rFonts w:hint="eastAsia" w:ascii="宋体" w:hAnsi="宋体"/>
          <w:b/>
          <w:bCs/>
          <w:sz w:val="32"/>
          <w:szCs w:val="32"/>
        </w:rPr>
      </w:pPr>
      <w:r>
        <w:rPr>
          <w:rFonts w:hint="eastAsia" w:ascii="宋体" w:hAnsi="宋体"/>
          <w:b/>
          <w:bCs/>
          <w:sz w:val="32"/>
          <w:szCs w:val="32"/>
        </w:rPr>
        <w:t>二〇二〇年</w:t>
      </w:r>
      <w:r>
        <w:rPr>
          <w:rFonts w:hint="eastAsia" w:ascii="宋体" w:hAnsi="宋体"/>
          <w:b/>
          <w:bCs/>
          <w:sz w:val="32"/>
          <w:szCs w:val="32"/>
          <w:lang w:eastAsia="zh-CN"/>
        </w:rPr>
        <w:t>十</w:t>
      </w:r>
      <w:r>
        <w:rPr>
          <w:rFonts w:hint="eastAsia" w:ascii="宋体" w:hAnsi="宋体"/>
          <w:b/>
          <w:bCs/>
          <w:sz w:val="32"/>
          <w:szCs w:val="32"/>
        </w:rPr>
        <w:t>月</w:t>
      </w:r>
    </w:p>
    <w:p>
      <w:pPr>
        <w:pStyle w:val="2"/>
      </w:pPr>
      <w:r>
        <w:br w:type="page"/>
      </w:r>
    </w:p>
    <w:p>
      <w:pPr>
        <w:pStyle w:val="5"/>
        <w:ind w:firstLine="442" w:firstLineChars="100"/>
      </w:pPr>
      <w:bookmarkStart w:id="0" w:name="_Toc3827"/>
      <w:bookmarkStart w:id="1" w:name="_Toc28264"/>
      <w:bookmarkStart w:id="2" w:name="_Toc1117_WPSOffice_Level1"/>
      <w:r>
        <w:rPr>
          <w:rFonts w:hint="eastAsia"/>
        </w:rPr>
        <w:t>附   件</w:t>
      </w:r>
      <w:bookmarkEnd w:id="0"/>
      <w:bookmarkEnd w:id="1"/>
      <w:bookmarkEnd w:id="2"/>
    </w:p>
    <w:p>
      <w:pPr>
        <w:spacing w:line="360" w:lineRule="auto"/>
        <w:rPr>
          <w:rFonts w:hint="default" w:ascii="Times New Roman" w:hAnsi="Times New Roman" w:eastAsia="宋体" w:cs="Times New Roman"/>
          <w:sz w:val="24"/>
          <w:szCs w:val="24"/>
        </w:rPr>
      </w:pPr>
      <w:bookmarkStart w:id="3" w:name="_Toc21590_WPSOffice_Level1"/>
      <w:r>
        <w:rPr>
          <w:rFonts w:hint="default" w:ascii="Times New Roman" w:hAnsi="Times New Roman" w:eastAsia="宋体" w:cs="Times New Roman"/>
          <w:sz w:val="24"/>
          <w:szCs w:val="24"/>
        </w:rPr>
        <w:t>附件1：环评报告的批复</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淄环审[2016]52号</w:t>
      </w:r>
      <w:r>
        <w:rPr>
          <w:rFonts w:hint="default" w:ascii="Times New Roman" w:hAnsi="Times New Roman" w:eastAsia="宋体" w:cs="Times New Roman"/>
          <w:sz w:val="24"/>
          <w:szCs w:val="24"/>
        </w:rPr>
        <w:t>）</w:t>
      </w:r>
      <w:bookmarkEnd w:id="3"/>
    </w:p>
    <w:p>
      <w:pPr>
        <w:spacing w:line="360" w:lineRule="auto"/>
        <w:rPr>
          <w:rFonts w:hint="default" w:ascii="Times New Roman" w:hAnsi="Times New Roman" w:eastAsia="宋体" w:cs="Times New Roman"/>
          <w:sz w:val="24"/>
          <w:szCs w:val="24"/>
        </w:rPr>
      </w:pPr>
      <w:bookmarkStart w:id="4" w:name="_Toc32347_WPSOffice_Level1"/>
      <w:r>
        <w:rPr>
          <w:rFonts w:hint="default" w:ascii="Times New Roman" w:hAnsi="Times New Roman" w:eastAsia="宋体" w:cs="Times New Roman"/>
          <w:sz w:val="24"/>
          <w:szCs w:val="24"/>
        </w:rPr>
        <w:t>附件2：生产负荷证明</w:t>
      </w:r>
      <w:bookmarkEnd w:id="4"/>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附件3：危废处置合同</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附件4：</w:t>
      </w:r>
      <w:bookmarkStart w:id="5" w:name="_Toc32657_WPSOffice_Level1"/>
      <w:r>
        <w:rPr>
          <w:rFonts w:hint="default" w:ascii="Times New Roman" w:hAnsi="Times New Roman" w:eastAsia="宋体" w:cs="Times New Roman"/>
          <w:sz w:val="24"/>
          <w:szCs w:val="24"/>
          <w:lang w:val="en-US" w:eastAsia="zh-CN"/>
        </w:rPr>
        <w:t>检测报告</w:t>
      </w:r>
      <w:bookmarkEnd w:id="5"/>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asciiTheme="minorEastAsia" w:hAnsiTheme="minorEastAsia" w:eastAsiaTheme="minorEastAsia"/>
          <w:sz w:val="24"/>
          <w:lang w:val="en-US" w:eastAsia="zh-CN"/>
        </w:rPr>
        <w:t>项目转让变更协议</w:t>
      </w:r>
    </w:p>
    <w:p>
      <w:pPr>
        <w:spacing w:line="360" w:lineRule="auto"/>
        <w:rPr>
          <w:rFonts w:hint="default" w:ascii="Times New Roman" w:hAnsi="Times New Roman" w:eastAsia="宋体" w:cs="Times New Roman"/>
          <w:sz w:val="24"/>
          <w:szCs w:val="24"/>
        </w:rPr>
      </w:pPr>
      <w:bookmarkStart w:id="6" w:name="_Toc8302_WPSOffice_Level1"/>
      <w:r>
        <w:rPr>
          <w:rFonts w:hint="default" w:ascii="Times New Roman" w:hAnsi="Times New Roman" w:eastAsia="宋体" w:cs="Times New Roman"/>
          <w:sz w:val="24"/>
          <w:szCs w:val="24"/>
        </w:rPr>
        <w:t>附表1：竣工验收三同时一览表</w:t>
      </w:r>
      <w:bookmarkEnd w:id="6"/>
    </w:p>
    <w:p>
      <w:pPr>
        <w:tabs>
          <w:tab w:val="left" w:leader="dot" w:pos="8400"/>
        </w:tabs>
        <w:adjustRightInd w:val="0"/>
        <w:snapToGrid w:val="0"/>
        <w:spacing w:before="78" w:beforeLines="25" w:after="78" w:afterLines="25" w:line="520" w:lineRule="exact"/>
        <w:ind w:left="840" w:hanging="840" w:hangingChars="350"/>
        <w:rPr>
          <w:bCs/>
          <w:sz w:val="24"/>
        </w:rPr>
      </w:pPr>
    </w:p>
    <w:p>
      <w:pPr>
        <w:tabs>
          <w:tab w:val="left" w:leader="dot" w:pos="8400"/>
        </w:tabs>
        <w:adjustRightInd w:val="0"/>
        <w:snapToGrid w:val="0"/>
        <w:spacing w:line="500" w:lineRule="exact"/>
        <w:rPr>
          <w:sz w:val="24"/>
        </w:rPr>
      </w:pPr>
    </w:p>
    <w:p>
      <w:pPr>
        <w:tabs>
          <w:tab w:val="left" w:leader="dot" w:pos="8400"/>
        </w:tabs>
        <w:adjustRightInd w:val="0"/>
        <w:snapToGrid w:val="0"/>
        <w:spacing w:line="500" w:lineRule="exact"/>
        <w:rPr>
          <w:bCs/>
          <w:sz w:val="24"/>
        </w:rPr>
      </w:pPr>
    </w:p>
    <w:p>
      <w:pPr>
        <w:tabs>
          <w:tab w:val="left" w:leader="dot" w:pos="8400"/>
        </w:tabs>
        <w:adjustRightInd w:val="0"/>
        <w:snapToGrid w:val="0"/>
        <w:spacing w:line="360" w:lineRule="auto"/>
        <w:rPr>
          <w:b/>
          <w:bCs/>
          <w:sz w:val="24"/>
        </w:rPr>
        <w:sectPr>
          <w:headerReference r:id="rId4" w:type="first"/>
          <w:headerReference r:id="rId3" w:type="default"/>
          <w:pgSz w:w="11906" w:h="16838"/>
          <w:pgMar w:top="1134" w:right="1134" w:bottom="1134" w:left="1134" w:header="850"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p>
    <w:sdt>
      <w:sdtPr>
        <w:rPr>
          <w:rFonts w:ascii="宋体" w:hAnsi="宋体" w:eastAsia="宋体" w:cs="Times New Roman"/>
          <w:kern w:val="2"/>
          <w:sz w:val="21"/>
          <w:szCs w:val="24"/>
          <w:lang w:val="en-US" w:eastAsia="zh-CN" w:bidi="ar-SA"/>
        </w:rPr>
        <w:id w:val="147466433"/>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2"/>
            <w:tabs>
              <w:tab w:val="right" w:leader="dot" w:pos="9638"/>
            </w:tabs>
            <w:spacing w:line="360" w:lineRule="auto"/>
            <w:rPr>
              <w:rFonts w:hint="eastAsia" w:ascii="宋体" w:hAnsi="宋体" w:eastAsia="宋体" w:cs="宋体"/>
              <w:sz w:val="24"/>
              <w:szCs w:val="24"/>
            </w:rPr>
          </w:pPr>
          <w:r>
            <w:fldChar w:fldCharType="begin"/>
          </w:r>
          <w:r>
            <w:instrText xml:space="preserve">TOC \o "1-1" \h \u </w:instrText>
          </w:r>
          <w: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_Toc28264 </w:instrText>
          </w:r>
          <w:r>
            <w:rPr>
              <w:rFonts w:hint="eastAsia" w:ascii="宋体" w:hAnsi="宋体" w:eastAsia="宋体" w:cs="宋体"/>
              <w:sz w:val="24"/>
              <w:szCs w:val="24"/>
            </w:rPr>
            <w:fldChar w:fldCharType="separate"/>
          </w:r>
          <w:r>
            <w:rPr>
              <w:rFonts w:hint="eastAsia" w:ascii="宋体" w:hAnsi="宋体" w:eastAsia="宋体" w:cs="宋体"/>
              <w:sz w:val="24"/>
              <w:szCs w:val="24"/>
            </w:rPr>
            <w:t>附   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_Toc28264 </w:instrText>
          </w:r>
          <w:r>
            <w:rPr>
              <w:rFonts w:hint="eastAsia" w:ascii="宋体" w:hAnsi="宋体" w:eastAsia="宋体" w:cs="宋体"/>
              <w:sz w:val="24"/>
              <w:szCs w:val="24"/>
            </w:rPr>
            <w:fldChar w:fldCharType="separate"/>
          </w:r>
          <w:r>
            <w:rPr>
              <w:rFonts w:hint="eastAsia" w:ascii="宋体" w:hAnsi="宋体" w:eastAsia="宋体" w:cs="宋体"/>
              <w:sz w:val="24"/>
              <w:szCs w:val="24"/>
            </w:rPr>
            <w:t>II</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_Toc30253 </w:instrText>
          </w:r>
          <w:r>
            <w:rPr>
              <w:rFonts w:hint="eastAsia" w:ascii="宋体" w:hAnsi="宋体" w:eastAsia="宋体" w:cs="宋体"/>
              <w:sz w:val="24"/>
              <w:szCs w:val="24"/>
            </w:rPr>
            <w:fldChar w:fldCharType="separate"/>
          </w:r>
          <w:r>
            <w:rPr>
              <w:rFonts w:hint="eastAsia" w:ascii="宋体" w:hAnsi="宋体" w:eastAsia="宋体" w:cs="宋体"/>
              <w:sz w:val="24"/>
              <w:szCs w:val="24"/>
            </w:rPr>
            <w:t>前   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_Toc30253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_Toc28422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一</w:t>
          </w:r>
          <w:r>
            <w:rPr>
              <w:rFonts w:hint="eastAsia" w:ascii="宋体" w:hAnsi="宋体" w:eastAsia="宋体" w:cs="宋体"/>
              <w:sz w:val="24"/>
              <w:szCs w:val="24"/>
            </w:rPr>
            <w:t>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_Toc28422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_Toc13732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二</w:t>
          </w:r>
          <w:r>
            <w:rPr>
              <w:rFonts w:hint="eastAsia" w:ascii="宋体" w:hAnsi="宋体" w:eastAsia="宋体" w:cs="宋体"/>
              <w:sz w:val="24"/>
              <w:szCs w:val="24"/>
            </w:rPr>
            <w:t>章  建设项目概况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_Toc13732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_Toc17519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三</w:t>
          </w:r>
          <w:r>
            <w:rPr>
              <w:rFonts w:hint="eastAsia" w:ascii="宋体" w:hAnsi="宋体" w:eastAsia="宋体" w:cs="宋体"/>
              <w:sz w:val="24"/>
              <w:szCs w:val="24"/>
            </w:rPr>
            <w:t>章  环评建议及环评批复要求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_Toc17519 </w:instrText>
          </w:r>
          <w:r>
            <w:rPr>
              <w:rFonts w:hint="eastAsia" w:ascii="宋体" w:hAnsi="宋体" w:eastAsia="宋体" w:cs="宋体"/>
              <w:sz w:val="24"/>
              <w:szCs w:val="24"/>
            </w:rPr>
            <w:fldChar w:fldCharType="separate"/>
          </w:r>
          <w:r>
            <w:rPr>
              <w:rFonts w:hint="eastAsia" w:ascii="宋体" w:hAnsi="宋体" w:eastAsia="宋体" w:cs="宋体"/>
              <w:sz w:val="24"/>
              <w:szCs w:val="24"/>
            </w:rPr>
            <w:t>- 23 -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_Toc26576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四</w:t>
          </w:r>
          <w:r>
            <w:rPr>
              <w:rFonts w:hint="eastAsia" w:ascii="宋体" w:hAnsi="宋体" w:eastAsia="宋体" w:cs="宋体"/>
              <w:sz w:val="24"/>
              <w:szCs w:val="24"/>
            </w:rPr>
            <w:t>章  验收监测调查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_Toc26576 </w:instrText>
          </w:r>
          <w:r>
            <w:rPr>
              <w:rFonts w:hint="eastAsia" w:ascii="宋体" w:hAnsi="宋体" w:eastAsia="宋体" w:cs="宋体"/>
              <w:sz w:val="24"/>
              <w:szCs w:val="24"/>
            </w:rPr>
            <w:fldChar w:fldCharType="separate"/>
          </w:r>
          <w:r>
            <w:rPr>
              <w:rFonts w:hint="eastAsia" w:ascii="宋体" w:hAnsi="宋体" w:eastAsia="宋体" w:cs="宋体"/>
              <w:sz w:val="24"/>
              <w:szCs w:val="24"/>
            </w:rPr>
            <w:t>- 26 -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_Toc23024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五</w:t>
          </w:r>
          <w:r>
            <w:rPr>
              <w:rFonts w:hint="eastAsia" w:ascii="宋体" w:hAnsi="宋体" w:eastAsia="宋体" w:cs="宋体"/>
              <w:sz w:val="24"/>
              <w:szCs w:val="24"/>
            </w:rPr>
            <w:t>章  验收监测内容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_Toc23024 </w:instrText>
          </w:r>
          <w:r>
            <w:rPr>
              <w:rFonts w:hint="eastAsia" w:ascii="宋体" w:hAnsi="宋体" w:eastAsia="宋体" w:cs="宋体"/>
              <w:sz w:val="24"/>
              <w:szCs w:val="24"/>
            </w:rPr>
            <w:fldChar w:fldCharType="separate"/>
          </w:r>
          <w:r>
            <w:rPr>
              <w:rFonts w:hint="eastAsia" w:ascii="宋体" w:hAnsi="宋体" w:eastAsia="宋体" w:cs="宋体"/>
              <w:sz w:val="24"/>
              <w:szCs w:val="24"/>
            </w:rPr>
            <w:t>- 27 -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_Toc21049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六</w:t>
          </w:r>
          <w:r>
            <w:rPr>
              <w:rFonts w:hint="eastAsia" w:ascii="宋体" w:hAnsi="宋体" w:eastAsia="宋体" w:cs="宋体"/>
              <w:sz w:val="24"/>
              <w:szCs w:val="24"/>
            </w:rPr>
            <w:t xml:space="preserve">章 </w:t>
          </w:r>
          <w:r>
            <w:rPr>
              <w:rFonts w:hint="eastAsia" w:ascii="宋体" w:hAnsi="宋体" w:cs="宋体"/>
              <w:sz w:val="24"/>
              <w:szCs w:val="24"/>
              <w:lang w:val="en-US" w:eastAsia="zh-CN"/>
            </w:rPr>
            <w:t xml:space="preserve"> </w:t>
          </w:r>
          <w:r>
            <w:rPr>
              <w:rFonts w:hint="eastAsia" w:ascii="宋体" w:hAnsi="宋体" w:eastAsia="宋体" w:cs="宋体"/>
              <w:sz w:val="24"/>
              <w:szCs w:val="24"/>
            </w:rPr>
            <w:t>环境管理调查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_Toc21049 </w:instrText>
          </w:r>
          <w:r>
            <w:rPr>
              <w:rFonts w:hint="eastAsia" w:ascii="宋体" w:hAnsi="宋体" w:eastAsia="宋体" w:cs="宋体"/>
              <w:sz w:val="24"/>
              <w:szCs w:val="24"/>
            </w:rPr>
            <w:fldChar w:fldCharType="separate"/>
          </w:r>
          <w:r>
            <w:rPr>
              <w:rFonts w:hint="eastAsia" w:ascii="宋体" w:hAnsi="宋体" w:eastAsia="宋体" w:cs="宋体"/>
              <w:sz w:val="24"/>
              <w:szCs w:val="24"/>
            </w:rPr>
            <w:t>- 39 -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_Toc4882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七</w:t>
          </w:r>
          <w:r>
            <w:rPr>
              <w:rFonts w:hint="eastAsia" w:ascii="宋体" w:hAnsi="宋体" w:eastAsia="宋体" w:cs="宋体"/>
              <w:sz w:val="24"/>
              <w:szCs w:val="24"/>
              <w:highlight w:val="none"/>
            </w:rPr>
            <w:t>章  环评批复</w:t>
          </w:r>
          <w:r>
            <w:rPr>
              <w:rFonts w:hint="eastAsia" w:ascii="宋体" w:hAnsi="宋体" w:eastAsia="宋体" w:cs="宋体"/>
              <w:sz w:val="24"/>
              <w:szCs w:val="24"/>
            </w:rPr>
            <w:t>落实情况检查内容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_Toc4882 </w:instrText>
          </w:r>
          <w:r>
            <w:rPr>
              <w:rFonts w:hint="eastAsia" w:ascii="宋体" w:hAnsi="宋体" w:eastAsia="宋体" w:cs="宋体"/>
              <w:sz w:val="24"/>
              <w:szCs w:val="24"/>
            </w:rPr>
            <w:fldChar w:fldCharType="separate"/>
          </w:r>
          <w:r>
            <w:rPr>
              <w:rFonts w:hint="eastAsia" w:ascii="宋体" w:hAnsi="宋体" w:eastAsia="宋体" w:cs="宋体"/>
              <w:sz w:val="24"/>
              <w:szCs w:val="24"/>
            </w:rPr>
            <w:t>- 39 -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_Toc21085 </w:instrText>
          </w:r>
          <w:r>
            <w:rPr>
              <w:rFonts w:hint="eastAsia" w:ascii="宋体" w:hAnsi="宋体" w:eastAsia="宋体" w:cs="宋体"/>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八</w:t>
          </w:r>
          <w:r>
            <w:rPr>
              <w:rFonts w:hint="eastAsia" w:ascii="宋体" w:hAnsi="宋体" w:eastAsia="宋体" w:cs="宋体"/>
              <w:sz w:val="24"/>
              <w:szCs w:val="24"/>
            </w:rPr>
            <w:t>章  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_Toc21085 </w:instrText>
          </w:r>
          <w:r>
            <w:rPr>
              <w:rFonts w:hint="eastAsia" w:ascii="宋体" w:hAnsi="宋体" w:eastAsia="宋体" w:cs="宋体"/>
              <w:sz w:val="24"/>
              <w:szCs w:val="24"/>
            </w:rPr>
            <w:fldChar w:fldCharType="separate"/>
          </w:r>
          <w:r>
            <w:rPr>
              <w:rFonts w:hint="eastAsia" w:ascii="宋体" w:hAnsi="宋体" w:eastAsia="宋体" w:cs="宋体"/>
              <w:sz w:val="24"/>
              <w:szCs w:val="24"/>
            </w:rPr>
            <w:t>- 45 -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_Toc21032 </w:instrText>
          </w:r>
          <w:r>
            <w:rPr>
              <w:rFonts w:hint="eastAsia" w:ascii="宋体" w:hAnsi="宋体" w:eastAsia="宋体" w:cs="宋体"/>
              <w:sz w:val="24"/>
              <w:szCs w:val="24"/>
            </w:rPr>
            <w:fldChar w:fldCharType="separate"/>
          </w:r>
          <w:r>
            <w:rPr>
              <w:rFonts w:hint="eastAsia" w:ascii="宋体" w:hAnsi="宋体" w:eastAsia="宋体" w:cs="宋体"/>
              <w:sz w:val="24"/>
              <w:szCs w:val="24"/>
            </w:rPr>
            <w:t>附件1</w:t>
          </w:r>
          <w:r>
            <w:rPr>
              <w:rFonts w:hint="eastAsia" w:ascii="宋体" w:hAnsi="宋体" w:eastAsia="宋体" w:cs="宋体"/>
              <w:sz w:val="24"/>
              <w:szCs w:val="24"/>
              <w:lang w:val="en-US" w:eastAsia="zh-CN"/>
            </w:rPr>
            <w:t>环评</w:t>
          </w:r>
          <w:r>
            <w:rPr>
              <w:rFonts w:hint="eastAsia" w:ascii="宋体" w:hAnsi="宋体" w:eastAsia="宋体" w:cs="宋体"/>
              <w:sz w:val="24"/>
              <w:szCs w:val="24"/>
            </w:rPr>
            <w:t>批复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_Toc21032 </w:instrText>
          </w:r>
          <w:r>
            <w:rPr>
              <w:rFonts w:hint="eastAsia" w:ascii="宋体" w:hAnsi="宋体" w:eastAsia="宋体" w:cs="宋体"/>
              <w:sz w:val="24"/>
              <w:szCs w:val="24"/>
            </w:rPr>
            <w:fldChar w:fldCharType="separate"/>
          </w:r>
          <w:r>
            <w:rPr>
              <w:rFonts w:hint="eastAsia" w:ascii="宋体" w:hAnsi="宋体" w:eastAsia="宋体" w:cs="宋体"/>
              <w:sz w:val="24"/>
              <w:szCs w:val="24"/>
            </w:rPr>
            <w:t>- 48 -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_Toc4148 </w:instrText>
          </w:r>
          <w:r>
            <w:rPr>
              <w:rFonts w:hint="eastAsia" w:ascii="宋体" w:hAnsi="宋体" w:eastAsia="宋体" w:cs="宋体"/>
              <w:sz w:val="24"/>
              <w:szCs w:val="24"/>
            </w:rPr>
            <w:fldChar w:fldCharType="separate"/>
          </w:r>
          <w:r>
            <w:rPr>
              <w:rFonts w:hint="eastAsia" w:ascii="宋体" w:hAnsi="宋体" w:eastAsia="宋体" w:cs="宋体"/>
              <w:sz w:val="24"/>
              <w:szCs w:val="24"/>
            </w:rPr>
            <w:t>附件2生产负荷</w:t>
          </w:r>
          <w:r>
            <w:rPr>
              <w:rFonts w:hint="eastAsia" w:ascii="宋体" w:hAnsi="宋体" w:eastAsia="宋体" w:cs="宋体"/>
              <w:sz w:val="24"/>
              <w:szCs w:val="24"/>
              <w:lang w:val="en-US" w:eastAsia="zh-CN"/>
            </w:rPr>
            <w:t>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_Toc4148 </w:instrText>
          </w:r>
          <w:r>
            <w:rPr>
              <w:rFonts w:hint="eastAsia" w:ascii="宋体" w:hAnsi="宋体" w:eastAsia="宋体" w:cs="宋体"/>
              <w:sz w:val="24"/>
              <w:szCs w:val="24"/>
            </w:rPr>
            <w:fldChar w:fldCharType="separate"/>
          </w:r>
          <w:r>
            <w:rPr>
              <w:rFonts w:hint="eastAsia" w:ascii="宋体" w:hAnsi="宋体" w:eastAsia="宋体" w:cs="宋体"/>
              <w:sz w:val="24"/>
              <w:szCs w:val="24"/>
            </w:rPr>
            <w:t>- 51 -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_Toc30851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附件</w:t>
          </w:r>
          <w:r>
            <w:rPr>
              <w:rFonts w:hint="eastAsia" w:ascii="宋体" w:hAnsi="宋体" w:cs="宋体"/>
              <w:sz w:val="24"/>
              <w:szCs w:val="24"/>
              <w:lang w:val="en-US" w:eastAsia="zh-CN"/>
            </w:rPr>
            <w:t>3危废处置合同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_Toc30851 </w:instrText>
          </w:r>
          <w:r>
            <w:rPr>
              <w:rFonts w:hint="eastAsia" w:ascii="宋体" w:hAnsi="宋体" w:eastAsia="宋体" w:cs="宋体"/>
              <w:sz w:val="24"/>
              <w:szCs w:val="24"/>
            </w:rPr>
            <w:fldChar w:fldCharType="separate"/>
          </w:r>
          <w:r>
            <w:rPr>
              <w:rFonts w:hint="eastAsia" w:ascii="宋体" w:hAnsi="宋体" w:eastAsia="宋体" w:cs="宋体"/>
              <w:sz w:val="24"/>
              <w:szCs w:val="24"/>
            </w:rPr>
            <w:t>- 64 -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_Toc30851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附件</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检测报告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_Toc30851 </w:instrText>
          </w:r>
          <w:r>
            <w:rPr>
              <w:rFonts w:hint="eastAsia" w:ascii="宋体" w:hAnsi="宋体" w:eastAsia="宋体" w:cs="宋体"/>
              <w:sz w:val="24"/>
              <w:szCs w:val="24"/>
            </w:rPr>
            <w:fldChar w:fldCharType="separate"/>
          </w:r>
          <w:r>
            <w:rPr>
              <w:rFonts w:hint="eastAsia" w:ascii="宋体" w:hAnsi="宋体" w:eastAsia="宋体" w:cs="宋体"/>
              <w:sz w:val="24"/>
              <w:szCs w:val="24"/>
            </w:rPr>
            <w:t>- 64 -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_Toc30851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_Toc30851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附件</w:t>
          </w:r>
          <w:r>
            <w:rPr>
              <w:rFonts w:hint="eastAsia" w:ascii="宋体" w:hAnsi="宋体" w:cs="宋体"/>
              <w:sz w:val="24"/>
              <w:szCs w:val="24"/>
              <w:lang w:val="en-US" w:eastAsia="zh-CN"/>
            </w:rPr>
            <w:t>5</w:t>
          </w:r>
          <w:r>
            <w:rPr>
              <w:rFonts w:hint="eastAsia" w:asciiTheme="minorEastAsia" w:hAnsiTheme="minorEastAsia" w:eastAsiaTheme="minorEastAsia"/>
              <w:sz w:val="24"/>
              <w:lang w:val="en-US" w:eastAsia="zh-CN"/>
            </w:rPr>
            <w:t>项目转让变更协议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_Toc30851 </w:instrText>
          </w:r>
          <w:r>
            <w:rPr>
              <w:rFonts w:hint="eastAsia" w:ascii="宋体" w:hAnsi="宋体" w:eastAsia="宋体" w:cs="宋体"/>
              <w:sz w:val="24"/>
              <w:szCs w:val="24"/>
            </w:rPr>
            <w:fldChar w:fldCharType="separate"/>
          </w:r>
          <w:r>
            <w:rPr>
              <w:rFonts w:hint="eastAsia" w:ascii="宋体" w:hAnsi="宋体" w:eastAsia="宋体" w:cs="宋体"/>
              <w:sz w:val="24"/>
              <w:szCs w:val="24"/>
            </w:rPr>
            <w:t>- 64 -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_Toc2594 </w:instrText>
          </w:r>
          <w:r>
            <w:rPr>
              <w:rFonts w:hint="eastAsia" w:ascii="宋体" w:hAnsi="宋体" w:eastAsia="宋体" w:cs="宋体"/>
              <w:sz w:val="24"/>
              <w:szCs w:val="24"/>
            </w:rPr>
            <w:fldChar w:fldCharType="separate"/>
          </w:r>
          <w:r>
            <w:rPr>
              <w:rFonts w:hint="eastAsia" w:ascii="宋体" w:hAnsi="宋体" w:eastAsia="宋体" w:cs="宋体"/>
              <w:sz w:val="24"/>
              <w:szCs w:val="24"/>
            </w:rPr>
            <w:t>建设项目工程竣工环境保护“三同时”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_Toc2594 </w:instrText>
          </w:r>
          <w:r>
            <w:rPr>
              <w:rFonts w:hint="eastAsia" w:ascii="宋体" w:hAnsi="宋体" w:eastAsia="宋体" w:cs="宋体"/>
              <w:sz w:val="24"/>
              <w:szCs w:val="24"/>
            </w:rPr>
            <w:fldChar w:fldCharType="separate"/>
          </w:r>
          <w:r>
            <w:rPr>
              <w:rFonts w:hint="eastAsia" w:ascii="宋体" w:hAnsi="宋体" w:eastAsia="宋体" w:cs="宋体"/>
              <w:sz w:val="24"/>
              <w:szCs w:val="24"/>
            </w:rPr>
            <w:t>- 78 -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_Toc11077 </w:instrText>
          </w:r>
          <w:r>
            <w:rPr>
              <w:rFonts w:hint="eastAsia" w:ascii="宋体" w:hAnsi="宋体" w:eastAsia="宋体" w:cs="宋体"/>
              <w:sz w:val="24"/>
              <w:szCs w:val="24"/>
            </w:rPr>
            <w:fldChar w:fldCharType="separate"/>
          </w:r>
          <w:r>
            <w:rPr>
              <w:rFonts w:hint="eastAsia" w:ascii="宋体" w:hAnsi="宋体" w:eastAsia="宋体" w:cs="宋体"/>
              <w:sz w:val="24"/>
              <w:szCs w:val="24"/>
            </w:rPr>
            <w:t>验收登记表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_Toc11077 </w:instrText>
          </w:r>
          <w:r>
            <w:rPr>
              <w:rFonts w:hint="eastAsia" w:ascii="宋体" w:hAnsi="宋体" w:eastAsia="宋体" w:cs="宋体"/>
              <w:sz w:val="24"/>
              <w:szCs w:val="24"/>
            </w:rPr>
            <w:fldChar w:fldCharType="separate"/>
          </w:r>
          <w:r>
            <w:rPr>
              <w:rFonts w:hint="eastAsia" w:ascii="宋体" w:hAnsi="宋体" w:eastAsia="宋体" w:cs="宋体"/>
              <w:sz w:val="24"/>
              <w:szCs w:val="24"/>
            </w:rPr>
            <w:t>- 78 -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2"/>
            <w:tabs>
              <w:tab w:val="right" w:leader="dot" w:pos="9638"/>
            </w:tabs>
            <w:spacing w:line="360" w:lineRule="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_Toc6536 </w:instrText>
          </w:r>
          <w:r>
            <w:rPr>
              <w:rFonts w:hint="eastAsia" w:ascii="宋体" w:hAnsi="宋体" w:eastAsia="宋体" w:cs="宋体"/>
              <w:sz w:val="24"/>
              <w:szCs w:val="24"/>
            </w:rPr>
            <w:fldChar w:fldCharType="separate"/>
          </w:r>
          <w:r>
            <w:rPr>
              <w:rFonts w:hint="eastAsia" w:ascii="宋体" w:hAnsi="宋体" w:eastAsia="宋体" w:cs="宋体"/>
              <w:sz w:val="24"/>
              <w:szCs w:val="24"/>
            </w:rPr>
            <w:t>注：1、排放增减量：（+）表示增加，（-）表示减少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_Toc6536 </w:instrText>
          </w:r>
          <w:r>
            <w:rPr>
              <w:rFonts w:hint="eastAsia" w:ascii="宋体" w:hAnsi="宋体" w:eastAsia="宋体" w:cs="宋体"/>
              <w:sz w:val="24"/>
              <w:szCs w:val="24"/>
            </w:rPr>
            <w:fldChar w:fldCharType="separate"/>
          </w:r>
          <w:r>
            <w:rPr>
              <w:rFonts w:hint="eastAsia" w:ascii="宋体" w:hAnsi="宋体" w:eastAsia="宋体" w:cs="宋体"/>
              <w:sz w:val="24"/>
              <w:szCs w:val="24"/>
            </w:rPr>
            <w:t>- 79 -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r>
            <w:fldChar w:fldCharType="end"/>
          </w:r>
        </w:p>
      </w:sdtContent>
    </w:sdt>
    <w:p>
      <w:pPr>
        <w:pStyle w:val="2"/>
      </w:pPr>
    </w:p>
    <w:p/>
    <w:p>
      <w:pPr>
        <w:pStyle w:val="2"/>
      </w:pPr>
    </w:p>
    <w:p/>
    <w:p>
      <w:pPr>
        <w:pStyle w:val="2"/>
      </w:pPr>
    </w:p>
    <w:p/>
    <w:p>
      <w:pPr>
        <w:pStyle w:val="2"/>
      </w:pPr>
    </w:p>
    <w:p>
      <w:pPr>
        <w:rPr>
          <w:rFonts w:hint="eastAsia" w:eastAsia="宋体"/>
          <w:lang w:val="en-US" w:eastAsia="zh-CN"/>
        </w:rPr>
      </w:pPr>
    </w:p>
    <w:p>
      <w:pPr>
        <w:pStyle w:val="2"/>
        <w:rPr>
          <w:rFonts w:hint="eastAsia" w:eastAsia="宋体"/>
          <w:lang w:val="en-US" w:eastAsia="zh-CN"/>
        </w:rPr>
      </w:pPr>
    </w:p>
    <w:p>
      <w:pPr>
        <w:rPr>
          <w:rFonts w:hint="eastAsia" w:eastAsia="宋体"/>
          <w:lang w:val="en-US" w:eastAsia="zh-CN"/>
        </w:rPr>
      </w:pPr>
    </w:p>
    <w:p>
      <w:pPr>
        <w:pStyle w:val="2"/>
        <w:rPr>
          <w:rFonts w:hint="eastAsia" w:eastAsia="宋体"/>
          <w:lang w:val="en-US" w:eastAsia="zh-CN"/>
        </w:rPr>
      </w:pPr>
    </w:p>
    <w:p>
      <w:pPr>
        <w:rPr>
          <w:rFonts w:hint="eastAsia" w:eastAsia="宋体"/>
          <w:lang w:val="en-US" w:eastAsia="zh-CN"/>
        </w:rPr>
      </w:pPr>
    </w:p>
    <w:p/>
    <w:p>
      <w:pPr>
        <w:pStyle w:val="5"/>
        <w:jc w:val="center"/>
      </w:pPr>
      <w:bookmarkStart w:id="7" w:name="_Toc30253"/>
      <w:bookmarkStart w:id="8" w:name="_Toc5619_WPSOffice_Level1"/>
      <w:r>
        <w:t>前</w:t>
      </w:r>
      <w:r>
        <w:rPr>
          <w:rFonts w:hint="eastAsia"/>
        </w:rPr>
        <w:t xml:space="preserve">   </w:t>
      </w:r>
      <w:r>
        <w:t>言</w:t>
      </w:r>
      <w:bookmarkEnd w:id="7"/>
      <w:bookmarkEnd w:id="8"/>
    </w:p>
    <w:p>
      <w:pPr>
        <w:adjustRightInd w:val="0"/>
        <w:spacing w:line="360" w:lineRule="auto"/>
        <w:ind w:firstLine="566" w:firstLineChars="236"/>
        <w:rPr>
          <w:rFonts w:hint="default" w:ascii="Times New Roman" w:hAnsi="Times New Roman" w:cs="Times New Roman"/>
          <w:sz w:val="24"/>
        </w:rPr>
      </w:pPr>
      <w:r>
        <w:rPr>
          <w:rFonts w:hint="default" w:ascii="Times New Roman" w:hAnsi="Times New Roman" w:cs="Times New Roman"/>
          <w:sz w:val="24"/>
        </w:rPr>
        <w:t>淄博建龙化工有限公司现有工程产硫酸45万吨/年，同时配套3000kW发电机组一套，利用副产蒸汽发电。目前，蒸汽并网发电机组运行和维护费用均较高，经济效益不能达到企业预期。</w:t>
      </w:r>
    </w:p>
    <w:p>
      <w:pPr>
        <w:adjustRightInd w:val="0"/>
        <w:spacing w:line="360" w:lineRule="auto"/>
        <w:ind w:firstLine="561"/>
        <w:rPr>
          <w:rFonts w:hint="default" w:ascii="Times New Roman" w:hAnsi="Times New Roman" w:cs="Times New Roman"/>
          <w:sz w:val="24"/>
        </w:rPr>
      </w:pP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sz w:val="24"/>
        </w:rPr>
        <w:t>位于淄博市张店区东部化工区，该企业硫酸需求量约4.732万吨/年，蒸汽年需求量近63.1万吨/年。为满足双方需求，达到互利共赢的目的，建龙化工和民基化工达成合作意向，由民基化工提供“现有土地”、“供电系统”、“供水系统”、“装置外消防系统”、“事故水池及导排系统”、“污水处理站”、“备用浓硫酸罐”、“办公及生活设施”等服务，建龙化工提供硫酸和蒸汽。</w:t>
      </w:r>
    </w:p>
    <w:p>
      <w:pPr>
        <w:adjustRightInd w:val="0"/>
        <w:spacing w:line="360" w:lineRule="auto"/>
        <w:ind w:firstLine="561"/>
        <w:rPr>
          <w:rFonts w:hint="default" w:ascii="Times New Roman" w:hAnsi="Times New Roman" w:eastAsia="宋体" w:cs="Times New Roman"/>
          <w:color w:val="0000FF"/>
          <w:spacing w:val="-2"/>
          <w:kern w:val="2"/>
          <w:sz w:val="24"/>
          <w:szCs w:val="24"/>
          <w:highlight w:val="none"/>
          <w:lang w:val="en-US" w:eastAsia="zh-CN" w:bidi="ar-SA"/>
        </w:rPr>
      </w:pPr>
      <w:r>
        <w:rPr>
          <w:rFonts w:hint="default" w:ascii="Times New Roman" w:hAnsi="Times New Roman" w:cs="Times New Roman"/>
          <w:sz w:val="24"/>
        </w:rPr>
        <w:t>建龙化工投资8249.42万元，在</w:t>
      </w: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sz w:val="24"/>
        </w:rPr>
        <w:t>预留项目用地上建设“30万t/a硫磺制酸搬迁改造项目”。即将现有“25万吨/年硫磺制酸装置余热综合利用项目”进行搬迁扩建，通过增加高效硫磺喷枪，提高硫磺的供应流量和增加雾化效率，提高转化和吸收效率等，原装置搬迁后可扩产至30万t/a，原厂址项目已停产拆除完成。项目建成后既可满足民基化工对硫酸及蒸汽的需求，又可减少运输过程能耗及风险，可形成极佳产业链条，实现双赢</w:t>
      </w:r>
      <w:r>
        <w:rPr>
          <w:rFonts w:hint="default" w:ascii="Times New Roman" w:hAnsi="Times New Roman" w:cs="Times New Roman"/>
          <w:sz w:val="24"/>
          <w:lang w:eastAsia="zh-CN"/>
        </w:rPr>
        <w:t>。</w:t>
      </w:r>
    </w:p>
    <w:p>
      <w:pPr>
        <w:pStyle w:val="2"/>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2"/>
          <w:kern w:val="2"/>
          <w:sz w:val="24"/>
          <w:szCs w:val="24"/>
          <w:highlight w:val="none"/>
          <w:lang w:val="en-US" w:eastAsia="zh-CN" w:bidi="ar-SA"/>
          <w14:textFill>
            <w14:solidFill>
              <w14:schemeClr w14:val="tx1"/>
            </w14:solidFill>
          </w14:textFill>
        </w:rPr>
        <w:t>山东海美侬项目咨询有限公</w:t>
      </w:r>
      <w:r>
        <w:rPr>
          <w:rFonts w:hint="default" w:ascii="Times New Roman" w:hAnsi="Times New Roman" w:cs="Times New Roman"/>
          <w:color w:val="auto"/>
          <w:spacing w:val="-2"/>
          <w:kern w:val="2"/>
          <w:sz w:val="24"/>
          <w:szCs w:val="24"/>
          <w:highlight w:val="none"/>
          <w:lang w:val="en-US" w:eastAsia="zh-CN" w:bidi="ar-SA"/>
        </w:rPr>
        <w:t>司</w:t>
      </w:r>
      <w:r>
        <w:rPr>
          <w:rFonts w:hint="default" w:ascii="Times New Roman" w:hAnsi="Times New Roman" w:eastAsia="宋体" w:cs="Times New Roman"/>
          <w:color w:val="auto"/>
          <w:spacing w:val="-2"/>
          <w:sz w:val="24"/>
          <w:szCs w:val="24"/>
          <w:highlight w:val="none"/>
          <w:lang w:val="en-US" w:eastAsia="zh-CN"/>
        </w:rPr>
        <w:t>20</w:t>
      </w:r>
      <w:r>
        <w:rPr>
          <w:rFonts w:hint="default" w:ascii="Times New Roman" w:hAnsi="Times New Roman" w:cs="Times New Roman"/>
          <w:color w:val="auto"/>
          <w:spacing w:val="-2"/>
          <w:sz w:val="24"/>
          <w:szCs w:val="24"/>
          <w:highlight w:val="none"/>
          <w:lang w:val="en-US" w:eastAsia="zh-CN"/>
        </w:rPr>
        <w:t>16</w:t>
      </w:r>
      <w:r>
        <w:rPr>
          <w:rFonts w:hint="default" w:ascii="Times New Roman" w:hAnsi="Times New Roman" w:eastAsia="宋体" w:cs="Times New Roman"/>
          <w:color w:val="auto"/>
          <w:spacing w:val="-2"/>
          <w:sz w:val="24"/>
          <w:szCs w:val="24"/>
          <w:highlight w:val="none"/>
          <w:lang w:val="en-US" w:eastAsia="zh-CN"/>
        </w:rPr>
        <w:t>年</w:t>
      </w:r>
      <w:r>
        <w:rPr>
          <w:rFonts w:hint="default" w:ascii="Times New Roman" w:hAnsi="Times New Roman" w:cs="Times New Roman"/>
          <w:color w:val="auto"/>
          <w:spacing w:val="-2"/>
          <w:sz w:val="24"/>
          <w:szCs w:val="24"/>
          <w:highlight w:val="none"/>
          <w:lang w:val="en-US" w:eastAsia="zh-CN"/>
        </w:rPr>
        <w:t>06</w:t>
      </w:r>
      <w:r>
        <w:rPr>
          <w:rFonts w:hint="default" w:ascii="Times New Roman" w:hAnsi="Times New Roman" w:eastAsia="宋体" w:cs="Times New Roman"/>
          <w:color w:val="auto"/>
          <w:spacing w:val="-2"/>
          <w:sz w:val="24"/>
          <w:szCs w:val="24"/>
          <w:highlight w:val="none"/>
          <w:lang w:val="en-US" w:eastAsia="zh-CN"/>
        </w:rPr>
        <w:t>月编制了</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pacing w:val="-2"/>
          <w:kern w:val="2"/>
          <w:sz w:val="24"/>
          <w:szCs w:val="24"/>
          <w:highlight w:val="none"/>
          <w:lang w:val="en-US" w:eastAsia="zh-CN" w:bidi="ar-SA"/>
        </w:rPr>
        <w:t>淄博建龙化工有限公司</w:t>
      </w:r>
      <w:r>
        <w:rPr>
          <w:rFonts w:hint="default" w:ascii="Times New Roman" w:hAnsi="Times New Roman" w:cs="Times New Roman"/>
          <w:bCs/>
          <w:color w:val="auto"/>
          <w:spacing w:val="-6"/>
          <w:sz w:val="24"/>
          <w:szCs w:val="24"/>
          <w:highlight w:val="none"/>
          <w:lang w:val="en-US" w:eastAsia="zh-CN"/>
        </w:rPr>
        <w:t>30万t/a硫磺制酸搬迁改造项目</w:t>
      </w:r>
      <w:r>
        <w:rPr>
          <w:rFonts w:hint="default" w:ascii="Times New Roman" w:hAnsi="Times New Roman" w:eastAsia="宋体" w:cs="Times New Roman"/>
          <w:color w:val="auto"/>
          <w:spacing w:val="-2"/>
          <w:kern w:val="2"/>
          <w:sz w:val="24"/>
          <w:szCs w:val="24"/>
          <w:highlight w:val="none"/>
          <w:lang w:val="en-US" w:eastAsia="zh-CN" w:bidi="ar-SA"/>
        </w:rPr>
        <w:t>环境影响报告</w:t>
      </w:r>
      <w:r>
        <w:rPr>
          <w:rFonts w:hint="default" w:ascii="Times New Roman" w:hAnsi="Times New Roman" w:cs="Times New Roman"/>
          <w:color w:val="auto"/>
          <w:spacing w:val="-2"/>
          <w:kern w:val="2"/>
          <w:sz w:val="24"/>
          <w:szCs w:val="24"/>
          <w:highlight w:val="none"/>
          <w:lang w:val="en-US" w:eastAsia="zh-CN" w:bidi="ar-SA"/>
        </w:rPr>
        <w:t>书</w:t>
      </w:r>
      <w:r>
        <w:rPr>
          <w:rFonts w:hint="default" w:ascii="Times New Roman" w:hAnsi="Times New Roman" w:eastAsia="宋体" w:cs="Times New Roman"/>
          <w:color w:val="auto"/>
          <w:spacing w:val="-2"/>
          <w:kern w:val="2"/>
          <w:sz w:val="24"/>
          <w:szCs w:val="24"/>
          <w:highlight w:val="none"/>
          <w:lang w:val="en-US" w:eastAsia="zh-CN" w:bidi="ar-SA"/>
        </w:rPr>
        <w:t>》，</w:t>
      </w:r>
      <w:r>
        <w:rPr>
          <w:rFonts w:hint="default" w:ascii="Times New Roman" w:hAnsi="Times New Roman" w:cs="Times New Roman"/>
          <w:color w:val="auto"/>
          <w:spacing w:val="-2"/>
          <w:sz w:val="24"/>
          <w:szCs w:val="24"/>
          <w:highlight w:val="none"/>
          <w:lang w:val="en-US" w:eastAsia="zh-CN"/>
        </w:rPr>
        <w:t>淄博</w:t>
      </w:r>
      <w:r>
        <w:rPr>
          <w:rFonts w:hint="default" w:ascii="Times New Roman" w:hAnsi="Times New Roman" w:cs="Times New Roman"/>
          <w:color w:val="000000" w:themeColor="text1"/>
          <w:spacing w:val="-2"/>
          <w:sz w:val="24"/>
          <w:szCs w:val="24"/>
          <w:highlight w:val="none"/>
          <w:lang w:val="en-US" w:eastAsia="zh-CN"/>
          <w14:textFill>
            <w14:solidFill>
              <w14:schemeClr w14:val="tx1"/>
            </w14:solidFill>
          </w14:textFill>
        </w:rPr>
        <w:t>市环境保护局</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于</w:t>
      </w:r>
      <w:r>
        <w:rPr>
          <w:rFonts w:hint="default" w:ascii="Times New Roman" w:hAnsi="Times New Roman" w:cs="Times New Roman"/>
          <w:color w:val="000000" w:themeColor="text1"/>
          <w:spacing w:val="-2"/>
          <w:sz w:val="24"/>
          <w:szCs w:val="24"/>
          <w:highlight w:val="none"/>
          <w:lang w:val="en-US" w:eastAsia="zh-CN"/>
          <w14:textFill>
            <w14:solidFill>
              <w14:schemeClr w14:val="tx1"/>
            </w14:solidFill>
          </w14:textFill>
        </w:rPr>
        <w:t>2016年06月06日</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以</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淄环审[2016]52号</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文件</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批复报告</w:t>
      </w:r>
      <w:r>
        <w:rPr>
          <w:rFonts w:hint="default" w:ascii="Times New Roman" w:hAnsi="Times New Roman" w:cs="Times New Roman"/>
          <w:color w:val="000000" w:themeColor="text1"/>
          <w:spacing w:val="-2"/>
          <w:sz w:val="24"/>
          <w:szCs w:val="24"/>
          <w:highlight w:val="none"/>
          <w:lang w:val="en-US" w:eastAsia="zh-CN"/>
          <w14:textFill>
            <w14:solidFill>
              <w14:schemeClr w14:val="tx1"/>
            </w14:solidFill>
          </w14:textFill>
        </w:rPr>
        <w:t>书</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w:t>
      </w:r>
    </w:p>
    <w:p>
      <w:pPr>
        <w:pStyle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sz w:val="24"/>
          <w:lang w:eastAsia="zh-CN"/>
        </w:rPr>
        <w:t>项目于</w:t>
      </w:r>
      <w:r>
        <w:rPr>
          <w:rFonts w:hint="eastAsia" w:cs="Times New Roman"/>
          <w:sz w:val="24"/>
          <w:lang w:val="en-US" w:eastAsia="zh-CN"/>
        </w:rPr>
        <w:t>2019年02月开工建设，2020年06月建成并进行调试运行。</w:t>
      </w:r>
    </w:p>
    <w:p>
      <w:pPr>
        <w:tabs>
          <w:tab w:val="left" w:pos="3850"/>
        </w:tabs>
        <w:spacing w:before="62" w:beforeLines="20" w:after="62" w:afterLines="20" w:line="360" w:lineRule="auto"/>
        <w:ind w:firstLine="470" w:firstLineChars="196"/>
        <w:outlineLvl w:val="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9" w:name="_Toc8066"/>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新增</w:t>
      </w:r>
      <w:r>
        <w:rPr>
          <w:rFonts w:hint="default" w:ascii="Times New Roman" w:hAnsi="Times New Roman" w:eastAsia="宋体" w:cs="Times New Roman"/>
          <w:color w:val="000000" w:themeColor="text1"/>
          <w:sz w:val="24"/>
          <w:szCs w:val="24"/>
          <w:highlight w:val="none"/>
          <w14:textFill>
            <w14:solidFill>
              <w14:schemeClr w14:val="tx1"/>
            </w14:solidFill>
          </w14:textFill>
        </w:rPr>
        <w:t>劳动定员为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14:textFill>
            <w14:solidFill>
              <w14:schemeClr w14:val="tx1"/>
            </w14:solidFill>
          </w14:textFill>
        </w:rPr>
        <w:t>人，</w:t>
      </w:r>
      <w:r>
        <w:rPr>
          <w:rFonts w:hint="default" w:ascii="Times New Roman" w:hAnsi="Times New Roman" w:cs="Times New Roman"/>
          <w:color w:val="000000" w:themeColor="text1"/>
          <w:sz w:val="24"/>
          <w14:textFill>
            <w14:solidFill>
              <w14:schemeClr w14:val="tx1"/>
            </w14:solidFill>
          </w14:textFill>
        </w:rPr>
        <w:t>全年开车时间8000小时</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为连续生产。生产人员实行四班三倒工作制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bookmarkEnd w:id="9"/>
    </w:p>
    <w:p>
      <w:pPr>
        <w:spacing w:line="360" w:lineRule="auto"/>
        <w:ind w:firstLine="480" w:firstLineChars="200"/>
        <w:rPr>
          <w:rFonts w:hint="default" w:ascii="Times New Roman" w:hAnsi="Times New Roman" w:eastAsia="宋体" w:cs="Times New Roman"/>
          <w:spacing w:val="-4"/>
          <w:sz w:val="24"/>
          <w:szCs w:val="24"/>
          <w:highlight w:val="none"/>
        </w:rPr>
      </w:pPr>
      <w:r>
        <w:rPr>
          <w:rFonts w:hint="default" w:ascii="Times New Roman" w:hAnsi="Times New Roman" w:cs="Times New Roman"/>
          <w:sz w:val="24"/>
          <w:szCs w:val="24"/>
          <w:lang w:val="en-US" w:eastAsia="zh-CN"/>
        </w:rPr>
        <w:t>山东民基新材料科技有限公司</w:t>
      </w:r>
      <w:r>
        <w:rPr>
          <w:rFonts w:hint="default" w:ascii="Times New Roman" w:hAnsi="Times New Roman" w:eastAsia="宋体" w:cs="Times New Roman"/>
          <w:spacing w:val="-4"/>
          <w:sz w:val="24"/>
          <w:szCs w:val="24"/>
          <w:highlight w:val="none"/>
        </w:rPr>
        <w:t>委托</w:t>
      </w:r>
      <w:r>
        <w:rPr>
          <w:rFonts w:hint="default" w:ascii="Times New Roman" w:hAnsi="Times New Roman" w:eastAsia="宋体" w:cs="Times New Roman"/>
          <w:spacing w:val="-4"/>
          <w:sz w:val="24"/>
          <w:szCs w:val="24"/>
          <w:highlight w:val="none"/>
          <w:lang w:eastAsia="zh-CN"/>
        </w:rPr>
        <w:t>山东方杰环境检测有限公</w:t>
      </w:r>
      <w:r>
        <w:rPr>
          <w:rFonts w:hint="default" w:ascii="Times New Roman" w:hAnsi="Times New Roman" w:eastAsia="宋体" w:cs="Times New Roman"/>
          <w:color w:val="auto"/>
          <w:spacing w:val="-4"/>
          <w:sz w:val="24"/>
          <w:szCs w:val="24"/>
          <w:highlight w:val="none"/>
          <w:lang w:eastAsia="zh-CN"/>
        </w:rPr>
        <w:t>司</w:t>
      </w:r>
      <w:r>
        <w:rPr>
          <w:rFonts w:hint="default" w:ascii="Times New Roman" w:hAnsi="Times New Roman" w:eastAsia="宋体" w:cs="Times New Roman"/>
          <w:color w:val="auto"/>
          <w:spacing w:val="-4"/>
          <w:sz w:val="24"/>
          <w:szCs w:val="24"/>
          <w:highlight w:val="none"/>
        </w:rPr>
        <w:t>于</w:t>
      </w:r>
      <w:r>
        <w:rPr>
          <w:rFonts w:hint="default" w:ascii="Times New Roman" w:hAnsi="Times New Roman" w:eastAsia="宋体" w:cs="Times New Roman"/>
          <w:color w:val="auto"/>
          <w:spacing w:val="-4"/>
          <w:sz w:val="24"/>
          <w:szCs w:val="24"/>
          <w:highlight w:val="none"/>
          <w:lang w:val="en-US" w:eastAsia="zh-CN"/>
        </w:rPr>
        <w:t>2020</w:t>
      </w:r>
      <w:r>
        <w:rPr>
          <w:rFonts w:hint="default" w:ascii="Times New Roman" w:hAnsi="Times New Roman" w:eastAsia="宋体" w:cs="Times New Roman"/>
          <w:color w:val="auto"/>
          <w:spacing w:val="-4"/>
          <w:sz w:val="24"/>
          <w:szCs w:val="24"/>
          <w:highlight w:val="none"/>
        </w:rPr>
        <w:t>年</w:t>
      </w:r>
      <w:r>
        <w:rPr>
          <w:rFonts w:hint="default" w:ascii="Times New Roman" w:hAnsi="Times New Roman" w:eastAsia="宋体" w:cs="Times New Roman"/>
          <w:color w:val="auto"/>
          <w:spacing w:val="-4"/>
          <w:sz w:val="24"/>
          <w:szCs w:val="24"/>
          <w:highlight w:val="none"/>
          <w:lang w:val="en-US" w:eastAsia="zh-CN"/>
        </w:rPr>
        <w:t>0</w:t>
      </w:r>
      <w:r>
        <w:rPr>
          <w:rFonts w:hint="default" w:ascii="Times New Roman" w:hAnsi="Times New Roman" w:cs="Times New Roman"/>
          <w:color w:val="auto"/>
          <w:spacing w:val="-4"/>
          <w:sz w:val="24"/>
          <w:szCs w:val="24"/>
          <w:highlight w:val="none"/>
          <w:lang w:val="en-US" w:eastAsia="zh-CN"/>
        </w:rPr>
        <w:t>9</w:t>
      </w:r>
      <w:r>
        <w:rPr>
          <w:rFonts w:hint="default" w:ascii="Times New Roman" w:hAnsi="Times New Roman" w:eastAsia="宋体" w:cs="Times New Roman"/>
          <w:color w:val="auto"/>
          <w:spacing w:val="-4"/>
          <w:sz w:val="24"/>
          <w:szCs w:val="24"/>
          <w:highlight w:val="none"/>
        </w:rPr>
        <w:t>月</w:t>
      </w:r>
      <w:r>
        <w:rPr>
          <w:rFonts w:hint="default" w:ascii="Times New Roman" w:hAnsi="Times New Roman" w:eastAsia="宋体" w:cs="Times New Roman"/>
          <w:spacing w:val="-4"/>
          <w:sz w:val="24"/>
          <w:szCs w:val="24"/>
          <w:highlight w:val="none"/>
        </w:rPr>
        <w:t>承担了项目的竣工环境保护验收监测工作。接受委托后，</w:t>
      </w:r>
      <w:r>
        <w:rPr>
          <w:rFonts w:hint="default" w:ascii="Times New Roman" w:hAnsi="Times New Roman" w:eastAsia="宋体" w:cs="Times New Roman"/>
          <w:spacing w:val="-4"/>
          <w:sz w:val="24"/>
          <w:szCs w:val="24"/>
          <w:highlight w:val="none"/>
          <w:lang w:eastAsia="zh-CN"/>
        </w:rPr>
        <w:t>山东方杰环境检测有限公司</w:t>
      </w:r>
      <w:r>
        <w:rPr>
          <w:rFonts w:hint="default" w:ascii="Times New Roman" w:hAnsi="Times New Roman" w:eastAsia="宋体" w:cs="Times New Roman"/>
          <w:spacing w:val="-4"/>
          <w:sz w:val="24"/>
          <w:szCs w:val="24"/>
          <w:highlight w:val="none"/>
        </w:rPr>
        <w:t>组织技术人员于</w:t>
      </w:r>
      <w:r>
        <w:rPr>
          <w:rFonts w:hint="default" w:ascii="Times New Roman" w:hAnsi="Times New Roman" w:eastAsia="宋体" w:cs="Times New Roman"/>
          <w:color w:val="auto"/>
          <w:spacing w:val="-4"/>
          <w:sz w:val="24"/>
          <w:szCs w:val="24"/>
          <w:highlight w:val="none"/>
          <w:lang w:val="en-US" w:eastAsia="zh-CN"/>
        </w:rPr>
        <w:t>2020</w:t>
      </w:r>
      <w:r>
        <w:rPr>
          <w:rFonts w:hint="default" w:ascii="Times New Roman" w:hAnsi="Times New Roman" w:eastAsia="宋体" w:cs="Times New Roman"/>
          <w:color w:val="auto"/>
          <w:spacing w:val="-4"/>
          <w:sz w:val="24"/>
          <w:szCs w:val="24"/>
          <w:highlight w:val="none"/>
        </w:rPr>
        <w:t>年</w:t>
      </w:r>
      <w:r>
        <w:rPr>
          <w:rFonts w:hint="default" w:ascii="Times New Roman" w:hAnsi="Times New Roman" w:cs="Times New Roman"/>
          <w:color w:val="auto"/>
          <w:spacing w:val="-4"/>
          <w:sz w:val="24"/>
          <w:szCs w:val="24"/>
          <w:highlight w:val="none"/>
          <w:lang w:val="en-US" w:eastAsia="zh-CN"/>
        </w:rPr>
        <w:t>09</w:t>
      </w:r>
      <w:r>
        <w:rPr>
          <w:rFonts w:hint="default" w:ascii="Times New Roman" w:hAnsi="Times New Roman" w:eastAsia="宋体" w:cs="Times New Roman"/>
          <w:color w:val="auto"/>
          <w:spacing w:val="-4"/>
          <w:sz w:val="24"/>
          <w:szCs w:val="24"/>
          <w:highlight w:val="none"/>
        </w:rPr>
        <w:t>月</w:t>
      </w:r>
      <w:r>
        <w:rPr>
          <w:rFonts w:hint="default" w:ascii="Times New Roman" w:hAnsi="Times New Roman" w:cs="Times New Roman"/>
          <w:color w:val="auto"/>
          <w:spacing w:val="-4"/>
          <w:sz w:val="24"/>
          <w:szCs w:val="24"/>
          <w:highlight w:val="none"/>
          <w:lang w:val="en-US" w:eastAsia="zh-CN"/>
        </w:rPr>
        <w:t>24</w:t>
      </w:r>
      <w:r>
        <w:rPr>
          <w:rFonts w:hint="default" w:ascii="Times New Roman" w:hAnsi="Times New Roman" w:eastAsia="宋体" w:cs="Times New Roman"/>
          <w:color w:val="auto"/>
          <w:spacing w:val="-4"/>
          <w:sz w:val="24"/>
          <w:szCs w:val="24"/>
          <w:highlight w:val="none"/>
        </w:rPr>
        <w:t>日进行</w:t>
      </w:r>
      <w:r>
        <w:rPr>
          <w:rFonts w:hint="default" w:ascii="Times New Roman" w:hAnsi="Times New Roman" w:eastAsia="宋体" w:cs="Times New Roman"/>
          <w:spacing w:val="-4"/>
          <w:sz w:val="24"/>
          <w:szCs w:val="24"/>
          <w:highlight w:val="none"/>
        </w:rPr>
        <w:t>了现场勘查和资料收集，编制了《</w:t>
      </w: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bCs/>
          <w:color w:val="auto"/>
          <w:spacing w:val="-6"/>
          <w:sz w:val="24"/>
          <w:szCs w:val="24"/>
          <w:highlight w:val="none"/>
          <w:lang w:val="en-US" w:eastAsia="zh-CN"/>
        </w:rPr>
        <w:t>30万t/a硫磺制酸搬迁改造项目</w:t>
      </w:r>
      <w:r>
        <w:rPr>
          <w:rFonts w:hint="default" w:ascii="Times New Roman" w:hAnsi="Times New Roman" w:eastAsia="宋体" w:cs="Times New Roman"/>
          <w:spacing w:val="-4"/>
          <w:sz w:val="24"/>
          <w:szCs w:val="24"/>
          <w:highlight w:val="none"/>
        </w:rPr>
        <w:t>竣工环境保护验收方案</w:t>
      </w:r>
      <w:r>
        <w:rPr>
          <w:rFonts w:hint="default" w:ascii="Times New Roman" w:hAnsi="Times New Roman" w:eastAsia="宋体" w:cs="Times New Roman"/>
          <w:spacing w:val="-4"/>
          <w:sz w:val="24"/>
          <w:szCs w:val="24"/>
          <w:highlight w:val="none"/>
          <w:lang w:eastAsia="zh-CN"/>
        </w:rPr>
        <w:t>》；</w:t>
      </w:r>
      <w:r>
        <w:rPr>
          <w:rFonts w:hint="default" w:ascii="Times New Roman" w:hAnsi="Times New Roman" w:cs="Times New Roman"/>
          <w:color w:val="auto"/>
          <w:spacing w:val="-4"/>
          <w:sz w:val="24"/>
          <w:szCs w:val="24"/>
          <w:highlight w:val="none"/>
          <w:lang w:eastAsia="zh-CN"/>
        </w:rPr>
        <w:t>2020年09月25日</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en-US" w:eastAsia="zh-CN"/>
        </w:rPr>
        <w:t>2020年09月26日</w:t>
      </w:r>
      <w:r>
        <w:rPr>
          <w:rFonts w:hint="default" w:ascii="Times New Roman" w:hAnsi="Times New Roman" w:eastAsia="宋体" w:cs="Times New Roman"/>
          <w:color w:val="auto"/>
          <w:spacing w:val="-4"/>
          <w:sz w:val="24"/>
          <w:szCs w:val="24"/>
          <w:highlight w:val="none"/>
        </w:rPr>
        <w:t>进</w:t>
      </w:r>
      <w:r>
        <w:rPr>
          <w:rFonts w:hint="default" w:ascii="Times New Roman" w:hAnsi="Times New Roman" w:eastAsia="宋体" w:cs="Times New Roman"/>
          <w:spacing w:val="-4"/>
          <w:sz w:val="24"/>
          <w:szCs w:val="24"/>
          <w:highlight w:val="none"/>
        </w:rPr>
        <w:t>行了现场监测和环境管理检查，在此基础上编制完成了《</w:t>
      </w: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spacing w:val="-2"/>
          <w:kern w:val="2"/>
          <w:sz w:val="24"/>
          <w:szCs w:val="24"/>
          <w:highlight w:val="none"/>
          <w:lang w:val="en-US" w:eastAsia="zh-CN" w:bidi="ar-SA"/>
        </w:rPr>
        <w:t>30万t/a硫磺制酸搬迁改造项目</w:t>
      </w:r>
      <w:r>
        <w:rPr>
          <w:rFonts w:hint="default" w:ascii="Times New Roman" w:hAnsi="Times New Roman" w:eastAsia="宋体" w:cs="Times New Roman"/>
          <w:color w:val="auto"/>
          <w:sz w:val="24"/>
          <w:szCs w:val="24"/>
          <w:highlight w:val="none"/>
          <w:lang w:val="en-US" w:eastAsia="zh-CN"/>
        </w:rPr>
        <w:t>竣工</w:t>
      </w:r>
      <w:r>
        <w:rPr>
          <w:rFonts w:hint="default" w:ascii="Times New Roman" w:hAnsi="Times New Roman" w:eastAsia="宋体" w:cs="Times New Roman"/>
          <w:spacing w:val="-4"/>
          <w:sz w:val="24"/>
          <w:szCs w:val="24"/>
          <w:highlight w:val="none"/>
        </w:rPr>
        <w:t>环境保护验收</w:t>
      </w:r>
      <w:r>
        <w:rPr>
          <w:rFonts w:hint="default" w:ascii="Times New Roman" w:hAnsi="Times New Roman" w:eastAsia="宋体" w:cs="Times New Roman"/>
          <w:spacing w:val="-4"/>
          <w:sz w:val="24"/>
          <w:szCs w:val="24"/>
          <w:highlight w:val="none"/>
          <w:lang w:val="en-US" w:eastAsia="zh-CN"/>
        </w:rPr>
        <w:t>监测</w:t>
      </w:r>
      <w:r>
        <w:rPr>
          <w:rFonts w:hint="default" w:ascii="Times New Roman" w:hAnsi="Times New Roman" w:eastAsia="宋体" w:cs="Times New Roman"/>
          <w:spacing w:val="-4"/>
          <w:sz w:val="24"/>
          <w:szCs w:val="24"/>
          <w:highlight w:val="none"/>
        </w:rPr>
        <w:t>报告》。</w:t>
      </w:r>
    </w:p>
    <w:p>
      <w:pPr>
        <w:spacing w:before="156" w:beforeLines="50" w:line="240" w:lineRule="auto"/>
        <w:ind w:right="720" w:firstLine="480" w:firstLineChars="200"/>
        <w:jc w:val="right"/>
        <w:rPr>
          <w:rFonts w:hint="default" w:ascii="Times New Roman" w:hAnsi="Times New Roman" w:cs="Times New Roman"/>
          <w:sz w:val="24"/>
        </w:rPr>
      </w:pPr>
      <w:r>
        <w:rPr>
          <w:rFonts w:hint="default" w:ascii="Times New Roman" w:hAnsi="Times New Roman" w:cs="Times New Roman"/>
          <w:sz w:val="24"/>
        </w:rPr>
        <w:t>项目组</w:t>
      </w:r>
    </w:p>
    <w:p>
      <w:pPr>
        <w:spacing w:line="240" w:lineRule="auto"/>
        <w:ind w:right="357" w:firstLine="480" w:firstLineChars="200"/>
        <w:jc w:val="right"/>
        <w:rPr>
          <w:rFonts w:hint="default" w:ascii="Times New Roman" w:hAnsi="Times New Roman" w:cs="Times New Roman"/>
          <w:color w:val="auto"/>
          <w:sz w:val="24"/>
          <w:highlight w:val="none"/>
        </w:rPr>
        <w:sectPr>
          <w:footerReference r:id="rId5"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cs="Times New Roman"/>
          <w:color w:val="auto"/>
          <w:sz w:val="24"/>
          <w:lang w:val="en-US" w:eastAsia="zh-CN"/>
        </w:rPr>
        <w:t>2020</w:t>
      </w:r>
      <w:r>
        <w:rPr>
          <w:rFonts w:hint="default" w:ascii="Times New Roman" w:hAnsi="Times New Roman" w:cs="Times New Roman"/>
          <w:color w:val="auto"/>
          <w:sz w:val="24"/>
        </w:rPr>
        <w:t>年</w:t>
      </w:r>
      <w:r>
        <w:rPr>
          <w:rFonts w:hint="eastAsia" w:cs="Times New Roman"/>
          <w:color w:val="auto"/>
          <w:sz w:val="24"/>
          <w:lang w:val="en-US" w:eastAsia="zh-CN"/>
        </w:rPr>
        <w:t>10</w:t>
      </w:r>
      <w:r>
        <w:rPr>
          <w:rFonts w:hint="default" w:ascii="Times New Roman" w:hAnsi="Times New Roman" w:cs="Times New Roman"/>
          <w:color w:val="auto"/>
          <w:sz w:val="24"/>
          <w:highlight w:val="none"/>
        </w:rPr>
        <w:t>月</w:t>
      </w:r>
    </w:p>
    <w:p>
      <w:pPr>
        <w:pStyle w:val="5"/>
        <w:jc w:val="center"/>
      </w:pPr>
      <w:bookmarkStart w:id="10" w:name="_Toc19144_WPSOffice_Level1"/>
      <w:bookmarkStart w:id="11" w:name="_Toc28356"/>
      <w:bookmarkStart w:id="12" w:name="_Toc28422"/>
      <w:r>
        <w:t>第</w:t>
      </w:r>
      <w:r>
        <w:rPr>
          <w:rFonts w:hint="eastAsia"/>
          <w:lang w:val="en-US" w:eastAsia="zh-CN"/>
        </w:rPr>
        <w:t>一</w:t>
      </w:r>
      <w:r>
        <w:t xml:space="preserve">章  </w:t>
      </w:r>
      <w:r>
        <w:rPr>
          <w:rFonts w:hint="eastAsia"/>
        </w:rPr>
        <w:t xml:space="preserve"> 总论</w:t>
      </w:r>
      <w:bookmarkEnd w:id="10"/>
      <w:bookmarkEnd w:id="11"/>
      <w:bookmarkEnd w:id="12"/>
    </w:p>
    <w:p>
      <w:pPr>
        <w:pStyle w:val="6"/>
        <w:rPr>
          <w:rFonts w:hint="eastAsia"/>
        </w:rPr>
      </w:pPr>
      <w:bookmarkStart w:id="13" w:name="_Toc21590_WPSOffice_Level2"/>
      <w:bookmarkStart w:id="14" w:name="_Toc8975"/>
      <w:r>
        <w:rPr>
          <w:rFonts w:hint="eastAsia"/>
        </w:rPr>
        <w:t>1.1 建设内容及目的</w:t>
      </w:r>
      <w:bookmarkEnd w:id="13"/>
      <w:bookmarkEnd w:id="14"/>
    </w:p>
    <w:p>
      <w:pPr>
        <w:pStyle w:val="7"/>
        <w:rPr>
          <w:rFonts w:hint="eastAsia"/>
        </w:rPr>
      </w:pPr>
      <w:bookmarkStart w:id="15" w:name="_Toc29034"/>
      <w:bookmarkStart w:id="16" w:name="_Toc21590_WPSOffice_Level3"/>
      <w:r>
        <w:rPr>
          <w:rFonts w:hint="eastAsia"/>
        </w:rPr>
        <w:t>1.1.1 验收内容</w:t>
      </w:r>
      <w:bookmarkEnd w:id="15"/>
      <w:bookmarkEnd w:id="16"/>
    </w:p>
    <w:p>
      <w:pPr>
        <w:pStyle w:val="88"/>
        <w:numPr>
          <w:ilvl w:val="0"/>
          <w:numId w:val="1"/>
        </w:numPr>
        <w:spacing w:line="480" w:lineRule="exact"/>
        <w:ind w:left="868"/>
        <w:jc w:val="both"/>
        <w:rPr>
          <w:rFonts w:ascii="Times New Roman" w:hAnsi="Times New Roman" w:cs="Times New Roman"/>
          <w:b w:val="0"/>
          <w:bCs w:val="0"/>
          <w:szCs w:val="24"/>
        </w:rPr>
      </w:pPr>
      <w:r>
        <w:rPr>
          <w:rFonts w:hint="eastAsia" w:ascii="Times New Roman" w:hAnsi="Times New Roman" w:cs="Times New Roman"/>
          <w:b w:val="0"/>
          <w:bCs w:val="0"/>
          <w:szCs w:val="24"/>
        </w:rPr>
        <w:t>核查项目在设计、施工和试运营阶段对环评报告、环评批复中所提出的环保措施的落实情况。</w:t>
      </w:r>
    </w:p>
    <w:p>
      <w:pPr>
        <w:pStyle w:val="88"/>
        <w:numPr>
          <w:ilvl w:val="0"/>
          <w:numId w:val="1"/>
        </w:numPr>
        <w:spacing w:line="480" w:lineRule="exact"/>
        <w:ind w:left="868"/>
        <w:jc w:val="both"/>
        <w:rPr>
          <w:rFonts w:ascii="Times New Roman" w:hAnsi="Times New Roman" w:cs="Times New Roman"/>
          <w:b w:val="0"/>
          <w:bCs w:val="0"/>
          <w:szCs w:val="24"/>
        </w:rPr>
      </w:pPr>
      <w:r>
        <w:rPr>
          <w:rFonts w:hint="eastAsia" w:ascii="Times New Roman" w:hAnsi="Times New Roman" w:cs="Times New Roman"/>
          <w:b w:val="0"/>
          <w:bCs w:val="0"/>
          <w:szCs w:val="24"/>
        </w:rPr>
        <w:t>核查项目实际建设内容、实际生产能力、产品内容及原辅料的使用情况。</w:t>
      </w:r>
    </w:p>
    <w:p>
      <w:pPr>
        <w:pStyle w:val="88"/>
        <w:numPr>
          <w:ilvl w:val="0"/>
          <w:numId w:val="1"/>
        </w:numPr>
        <w:spacing w:line="480" w:lineRule="exact"/>
        <w:ind w:left="868"/>
        <w:jc w:val="both"/>
        <w:rPr>
          <w:rFonts w:ascii="Times New Roman" w:hAnsi="Times New Roman" w:cs="Times New Roman"/>
          <w:b w:val="0"/>
          <w:bCs w:val="0"/>
          <w:szCs w:val="24"/>
        </w:rPr>
      </w:pPr>
      <w:r>
        <w:rPr>
          <w:rFonts w:hint="eastAsia" w:ascii="Times New Roman" w:hAnsi="Times New Roman" w:cs="Times New Roman"/>
          <w:b w:val="0"/>
          <w:bCs w:val="0"/>
          <w:szCs w:val="24"/>
        </w:rPr>
        <w:t>核查项目各类污染物实际产生情况及采取的污染控制措施，分析各项污染控制措施实施的有效性；通过现场检查和实地监测，核查项目污染物达标排放情况。</w:t>
      </w:r>
    </w:p>
    <w:p>
      <w:pPr>
        <w:pStyle w:val="88"/>
        <w:numPr>
          <w:ilvl w:val="0"/>
          <w:numId w:val="1"/>
        </w:numPr>
        <w:spacing w:line="480" w:lineRule="exact"/>
        <w:ind w:left="868"/>
        <w:jc w:val="both"/>
        <w:rPr>
          <w:rFonts w:ascii="Times New Roman" w:hAnsi="Times New Roman" w:cs="Times New Roman"/>
          <w:b w:val="0"/>
          <w:bCs w:val="0"/>
          <w:szCs w:val="24"/>
        </w:rPr>
      </w:pPr>
      <w:r>
        <w:rPr>
          <w:rFonts w:hint="eastAsia" w:ascii="Times New Roman" w:hAnsi="Times New Roman" w:cs="Times New Roman"/>
          <w:b w:val="0"/>
          <w:bCs w:val="0"/>
          <w:szCs w:val="24"/>
        </w:rPr>
        <w:t>核查项目周边敏感保护目标分布及受影响情况；核查项目卫生防护距离内是否有新建环境敏感建筑物。</w:t>
      </w:r>
    </w:p>
    <w:p>
      <w:pPr>
        <w:pStyle w:val="7"/>
      </w:pPr>
      <w:bookmarkStart w:id="17" w:name="_Toc2130"/>
      <w:bookmarkStart w:id="18" w:name="_Toc32347_WPSOffice_Level3"/>
      <w:r>
        <w:rPr>
          <w:rFonts w:hint="eastAsia"/>
        </w:rPr>
        <w:t>1.1.2 验收目的</w:t>
      </w:r>
      <w:bookmarkEnd w:id="17"/>
      <w:bookmarkEnd w:id="18"/>
    </w:p>
    <w:p>
      <w:pPr>
        <w:pStyle w:val="88"/>
        <w:spacing w:line="480" w:lineRule="exact"/>
        <w:ind w:firstLine="465"/>
        <w:jc w:val="both"/>
        <w:rPr>
          <w:rFonts w:ascii="Times New Roman" w:hAnsi="Times New Roman" w:cs="Times New Roman"/>
          <w:b w:val="0"/>
          <w:bCs w:val="0"/>
          <w:szCs w:val="24"/>
        </w:rPr>
      </w:pPr>
      <w:r>
        <w:rPr>
          <w:rFonts w:hint="eastAsia" w:ascii="Times New Roman" w:hAnsi="Times New Roman" w:cs="Times New Roman"/>
          <w:b w:val="0"/>
          <w:bCs w:val="0"/>
          <w:szCs w:val="24"/>
        </w:rPr>
        <w:t>本次验收的主要目的是通过对项目污染物排放达标情况、环保设施运行情况、污染物治理效果、环境风险和环境管理水平检查，综合分析、评价得出结论，以验收报告的形式为环境保护行政主管部门提供建设项目竣工环境保护验收及验收后的日常监督管理提供技术依据。</w:t>
      </w:r>
    </w:p>
    <w:p>
      <w:pPr>
        <w:pStyle w:val="6"/>
        <w:rPr>
          <w:rFonts w:hint="eastAsia"/>
        </w:rPr>
      </w:pPr>
      <w:bookmarkStart w:id="19" w:name="_Toc32347_WPSOffice_Level2"/>
      <w:bookmarkStart w:id="20" w:name="_Toc12960"/>
      <w:r>
        <w:rPr>
          <w:rFonts w:hint="eastAsia"/>
        </w:rPr>
        <w:t>1.2 验收依据</w:t>
      </w:r>
      <w:bookmarkEnd w:id="19"/>
      <w:bookmarkEnd w:id="20"/>
    </w:p>
    <w:p>
      <w:pPr>
        <w:pStyle w:val="7"/>
      </w:pPr>
      <w:bookmarkStart w:id="21" w:name="_Toc18386"/>
      <w:bookmarkStart w:id="22" w:name="_Toc32657_WPSOffice_Level3"/>
      <w:r>
        <w:rPr>
          <w:rFonts w:hint="eastAsia"/>
        </w:rPr>
        <w:t>1.2.1 法律法规、条例</w:t>
      </w:r>
      <w:bookmarkEnd w:id="21"/>
      <w:bookmarkEnd w:id="22"/>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《中华人民共和国环境保护法》（201</w:t>
      </w:r>
      <w:r>
        <w:rPr>
          <w:rFonts w:hint="eastAsia" w:cs="Times New Roman"/>
          <w:sz w:val="24"/>
          <w:szCs w:val="24"/>
          <w:lang w:val="en-US" w:eastAsia="zh-CN"/>
        </w:rPr>
        <w:t>5</w:t>
      </w:r>
      <w:r>
        <w:rPr>
          <w:rFonts w:hint="default" w:ascii="Times New Roman" w:hAnsi="Times New Roman" w:eastAsia="宋体" w:cs="Times New Roman"/>
          <w:sz w:val="24"/>
          <w:szCs w:val="24"/>
        </w:rPr>
        <w:t>.</w:t>
      </w:r>
      <w:r>
        <w:rPr>
          <w:rFonts w:hint="eastAsia" w:cs="Times New Roman"/>
          <w:sz w:val="24"/>
          <w:szCs w:val="24"/>
          <w:lang w:val="en-US" w:eastAsia="zh-CN"/>
        </w:rPr>
        <w:t>0</w:t>
      </w:r>
      <w:r>
        <w:rPr>
          <w:rFonts w:hint="default" w:ascii="Times New Roman" w:hAnsi="Times New Roman" w:eastAsia="宋体" w:cs="Times New Roman"/>
          <w:sz w:val="24"/>
          <w:szCs w:val="24"/>
        </w:rPr>
        <w:t>1.</w:t>
      </w:r>
      <w:r>
        <w:rPr>
          <w:rFonts w:hint="eastAsia" w:cs="Times New Roman"/>
          <w:sz w:val="24"/>
          <w:szCs w:val="24"/>
          <w:lang w:val="en-US" w:eastAsia="zh-CN"/>
        </w:rPr>
        <w:t>0</w:t>
      </w:r>
      <w:r>
        <w:rPr>
          <w:rFonts w:hint="default" w:ascii="Times New Roman" w:hAnsi="Times New Roman" w:eastAsia="宋体" w:cs="Times New Roman"/>
          <w:sz w:val="24"/>
          <w:szCs w:val="24"/>
        </w:rPr>
        <w:t>1）</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《中华人民共和国大气污染防治法（201</w:t>
      </w:r>
      <w:r>
        <w:rPr>
          <w:rFonts w:hint="eastAsia" w:cs="Times New Roman"/>
          <w:sz w:val="24"/>
          <w:szCs w:val="24"/>
          <w:lang w:val="en-US" w:eastAsia="zh-CN"/>
        </w:rPr>
        <w:t>8</w:t>
      </w:r>
      <w:r>
        <w:rPr>
          <w:rFonts w:hint="default" w:ascii="Times New Roman" w:hAnsi="Times New Roman" w:eastAsia="宋体" w:cs="Times New Roman"/>
          <w:sz w:val="24"/>
          <w:szCs w:val="24"/>
        </w:rPr>
        <w:t>年修订）》（201</w:t>
      </w:r>
      <w:r>
        <w:rPr>
          <w:rFonts w:hint="eastAsia" w:cs="Times New Roman"/>
          <w:sz w:val="24"/>
          <w:szCs w:val="24"/>
          <w:lang w:val="en-US" w:eastAsia="zh-CN"/>
        </w:rPr>
        <w:t>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01.01</w:t>
      </w:r>
      <w:r>
        <w:rPr>
          <w:rFonts w:hint="default" w:ascii="Times New Roman" w:hAnsi="Times New Roman" w:eastAsia="宋体" w:cs="Times New Roman"/>
          <w:sz w:val="24"/>
          <w:szCs w:val="24"/>
        </w:rPr>
        <w:t>）</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《中华人民共和国水污染防治法》（</w:t>
      </w:r>
      <w:r>
        <w:rPr>
          <w:rFonts w:hint="default" w:ascii="Times New Roman" w:hAnsi="Times New Roman" w:eastAsia="宋体" w:cs="Times New Roman"/>
          <w:sz w:val="24"/>
          <w:szCs w:val="24"/>
          <w:highlight w:val="none"/>
          <w:lang w:val="en-US" w:eastAsia="zh-CN"/>
        </w:rPr>
        <w:t>2018.01.01</w:t>
      </w:r>
      <w:r>
        <w:rPr>
          <w:rFonts w:hint="default" w:ascii="Times New Roman" w:hAnsi="Times New Roman" w:eastAsia="宋体" w:cs="Times New Roman"/>
          <w:sz w:val="24"/>
          <w:szCs w:val="24"/>
          <w:highlight w:val="none"/>
        </w:rPr>
        <w:t>）</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《中华人民共和国固体废物污染防治法》（</w:t>
      </w:r>
      <w:r>
        <w:rPr>
          <w:rFonts w:hint="default" w:ascii="Times New Roman" w:hAnsi="Times New Roman" w:eastAsia="宋体" w:cs="Times New Roman"/>
          <w:sz w:val="24"/>
          <w:szCs w:val="24"/>
          <w:lang w:val="en-US" w:eastAsia="zh-CN"/>
        </w:rPr>
        <w:t>2016.11.07</w:t>
      </w:r>
      <w:r>
        <w:rPr>
          <w:rFonts w:hint="default" w:ascii="Times New Roman" w:hAnsi="Times New Roman" w:eastAsia="宋体" w:cs="Times New Roman"/>
          <w:sz w:val="24"/>
          <w:szCs w:val="24"/>
        </w:rPr>
        <w:t>）</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《中华人民共和国环境噪声污染防治法（201</w:t>
      </w:r>
      <w:r>
        <w:rPr>
          <w:rFonts w:hint="eastAsia" w:cs="Times New Roman"/>
          <w:sz w:val="24"/>
          <w:szCs w:val="24"/>
          <w:lang w:val="en-US" w:eastAsia="zh-CN"/>
        </w:rPr>
        <w:t>8</w:t>
      </w:r>
      <w:r>
        <w:rPr>
          <w:rFonts w:hint="default" w:ascii="Times New Roman" w:hAnsi="Times New Roman" w:eastAsia="宋体" w:cs="Times New Roman"/>
          <w:sz w:val="24"/>
          <w:szCs w:val="24"/>
        </w:rPr>
        <w:t>年修订）》（20</w:t>
      </w:r>
      <w:r>
        <w:rPr>
          <w:rFonts w:hint="eastAsia" w:cs="Times New Roman"/>
          <w:sz w:val="24"/>
          <w:szCs w:val="24"/>
          <w:lang w:val="en-US" w:eastAsia="zh-CN"/>
        </w:rPr>
        <w:t>18</w:t>
      </w:r>
      <w:r>
        <w:rPr>
          <w:rFonts w:hint="default" w:ascii="Times New Roman" w:hAnsi="Times New Roman" w:eastAsia="宋体" w:cs="Times New Roman"/>
          <w:sz w:val="24"/>
          <w:szCs w:val="24"/>
        </w:rPr>
        <w:t>.1</w:t>
      </w:r>
      <w:r>
        <w:rPr>
          <w:rFonts w:hint="eastAsia" w:cs="Times New Roman"/>
          <w:sz w:val="24"/>
          <w:szCs w:val="24"/>
          <w:lang w:val="en-US" w:eastAsia="zh-CN"/>
        </w:rPr>
        <w:t>2</w:t>
      </w:r>
      <w:r>
        <w:rPr>
          <w:rFonts w:hint="default" w:ascii="Times New Roman" w:hAnsi="Times New Roman" w:eastAsia="宋体" w:cs="Times New Roman"/>
          <w:sz w:val="24"/>
          <w:szCs w:val="24"/>
        </w:rPr>
        <w:t>.2</w:t>
      </w:r>
      <w:r>
        <w:rPr>
          <w:rFonts w:hint="eastAsia" w:cs="Times New Roman"/>
          <w:sz w:val="24"/>
          <w:szCs w:val="24"/>
          <w:lang w:val="en-US" w:eastAsia="zh-CN"/>
        </w:rPr>
        <w:t>9</w:t>
      </w:r>
      <w:r>
        <w:rPr>
          <w:rFonts w:hint="default" w:ascii="Times New Roman" w:hAnsi="Times New Roman" w:eastAsia="宋体" w:cs="Times New Roman"/>
          <w:sz w:val="24"/>
          <w:szCs w:val="24"/>
        </w:rPr>
        <w:t>）</w:t>
      </w:r>
    </w:p>
    <w:p>
      <w:pPr>
        <w:numPr>
          <w:ilvl w:val="0"/>
          <w:numId w:val="2"/>
        </w:numPr>
        <w:tabs>
          <w:tab w:val="left" w:pos="938"/>
          <w:tab w:val="clear" w:pos="1320"/>
        </w:tabs>
        <w:spacing w:line="360" w:lineRule="auto"/>
        <w:ind w:left="1050" w:hanging="504"/>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《中华人民共和国环境影响评价法（201</w:t>
      </w:r>
      <w:r>
        <w:rPr>
          <w:rFonts w:hint="eastAsia" w:cs="Times New Roman"/>
          <w:sz w:val="24"/>
          <w:szCs w:val="24"/>
          <w:lang w:val="en-US" w:eastAsia="zh-CN"/>
        </w:rPr>
        <w:t>8</w:t>
      </w:r>
      <w:r>
        <w:rPr>
          <w:rFonts w:hint="default" w:ascii="Times New Roman" w:hAnsi="Times New Roman" w:eastAsia="宋体" w:cs="Times New Roman"/>
          <w:sz w:val="24"/>
          <w:szCs w:val="24"/>
        </w:rPr>
        <w:t>年修订）》（20</w:t>
      </w:r>
      <w:r>
        <w:rPr>
          <w:rFonts w:hint="eastAsia" w:cs="Times New Roman"/>
          <w:sz w:val="24"/>
          <w:szCs w:val="24"/>
          <w:lang w:val="en-US" w:eastAsia="zh-CN"/>
        </w:rPr>
        <w:t>18</w:t>
      </w:r>
      <w:r>
        <w:rPr>
          <w:rFonts w:hint="default" w:ascii="Times New Roman" w:hAnsi="Times New Roman" w:eastAsia="宋体" w:cs="Times New Roman"/>
          <w:sz w:val="24"/>
          <w:szCs w:val="24"/>
        </w:rPr>
        <w:t>.1</w:t>
      </w:r>
      <w:r>
        <w:rPr>
          <w:rFonts w:hint="eastAsia" w:cs="Times New Roman"/>
          <w:sz w:val="24"/>
          <w:szCs w:val="24"/>
          <w:lang w:val="en-US" w:eastAsia="zh-CN"/>
        </w:rPr>
        <w:t>2</w:t>
      </w:r>
      <w:r>
        <w:rPr>
          <w:rFonts w:hint="default" w:ascii="Times New Roman" w:hAnsi="Times New Roman" w:eastAsia="宋体" w:cs="Times New Roman"/>
          <w:sz w:val="24"/>
          <w:szCs w:val="24"/>
        </w:rPr>
        <w:t>.2</w:t>
      </w:r>
      <w:r>
        <w:rPr>
          <w:rFonts w:hint="eastAsia" w:cs="Times New Roman"/>
          <w:sz w:val="24"/>
          <w:szCs w:val="24"/>
          <w:lang w:val="en-US" w:eastAsia="zh-CN"/>
        </w:rPr>
        <w:t>9</w:t>
      </w:r>
      <w:r>
        <w:rPr>
          <w:rFonts w:hint="default" w:ascii="Times New Roman" w:hAnsi="Times New Roman" w:eastAsia="宋体" w:cs="Times New Roman"/>
          <w:sz w:val="24"/>
          <w:szCs w:val="24"/>
        </w:rPr>
        <w:t>）</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《山东省环境保护条例（201</w:t>
      </w:r>
      <w:r>
        <w:rPr>
          <w:rFonts w:hint="eastAsia" w:cs="Times New Roman"/>
          <w:sz w:val="24"/>
          <w:szCs w:val="24"/>
          <w:lang w:val="en-US" w:eastAsia="zh-CN"/>
        </w:rPr>
        <w:t>8</w:t>
      </w:r>
      <w:r>
        <w:rPr>
          <w:rFonts w:hint="default" w:ascii="Times New Roman" w:hAnsi="Times New Roman" w:eastAsia="宋体" w:cs="Times New Roman"/>
          <w:sz w:val="24"/>
          <w:szCs w:val="24"/>
        </w:rPr>
        <w:t>年修订）》（20</w:t>
      </w:r>
      <w:r>
        <w:rPr>
          <w:rFonts w:hint="eastAsia" w:cs="Times New Roman"/>
          <w:sz w:val="24"/>
          <w:szCs w:val="24"/>
          <w:lang w:val="en-US" w:eastAsia="zh-CN"/>
        </w:rPr>
        <w:t>19.01.01</w:t>
      </w:r>
      <w:r>
        <w:rPr>
          <w:rFonts w:hint="default" w:ascii="Times New Roman" w:hAnsi="Times New Roman" w:eastAsia="宋体" w:cs="Times New Roman"/>
          <w:sz w:val="24"/>
          <w:szCs w:val="24"/>
        </w:rPr>
        <w:t>）</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《建设项目环境保护管理条例》（国务院令第682号，2017年）</w:t>
      </w:r>
    </w:p>
    <w:p>
      <w:pPr>
        <w:numPr>
          <w:ilvl w:val="0"/>
          <w:numId w:val="2"/>
        </w:numPr>
        <w:tabs>
          <w:tab w:val="left" w:pos="938"/>
          <w:tab w:val="clear" w:pos="1320"/>
        </w:tabs>
        <w:spacing w:line="360" w:lineRule="auto"/>
        <w:ind w:hanging="80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《建设项目竣工环境保护验收技术指南 污染影响类》的公告 （</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号</w:t>
      </w:r>
      <w:r>
        <w:rPr>
          <w:rFonts w:hint="default" w:ascii="Times New Roman" w:hAnsi="Times New Roman" w:eastAsia="宋体" w:cs="Times New Roman"/>
          <w:sz w:val="24"/>
          <w:szCs w:val="24"/>
          <w:lang w:val="en-US" w:eastAsia="zh-CN"/>
        </w:rPr>
        <w:t>2018.05.15</w:t>
      </w:r>
      <w:r>
        <w:rPr>
          <w:rFonts w:hint="default" w:ascii="Times New Roman" w:hAnsi="Times New Roman" w:eastAsia="宋体" w:cs="Times New Roman"/>
          <w:sz w:val="24"/>
          <w:szCs w:val="24"/>
        </w:rPr>
        <w:t>）</w:t>
      </w:r>
    </w:p>
    <w:p>
      <w:pPr>
        <w:pStyle w:val="2"/>
        <w:numPr>
          <w:ilvl w:val="0"/>
          <w:numId w:val="3"/>
        </w:numPr>
        <w:spacing w:line="360" w:lineRule="auto"/>
        <w:ind w:left="42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关于进一步加强环境影响评价管理防范环境风险的通知</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环发（2012）77号</w:t>
      </w:r>
      <w:r>
        <w:rPr>
          <w:rFonts w:hint="default" w:ascii="Times New Roman" w:hAnsi="Times New Roman" w:eastAsia="宋体" w:cs="Times New Roman"/>
          <w:sz w:val="24"/>
          <w:szCs w:val="24"/>
        </w:rPr>
        <w:t>]</w:t>
      </w:r>
    </w:p>
    <w:p>
      <w:pPr>
        <w:numPr>
          <w:ilvl w:val="0"/>
          <w:numId w:val="3"/>
        </w:numPr>
        <w:tabs>
          <w:tab w:val="left" w:pos="938"/>
        </w:tabs>
        <w:spacing w:line="360" w:lineRule="auto"/>
        <w:ind w:left="420" w:leftChars="0" w:firstLine="0" w:firstLineChars="0"/>
        <w:rPr>
          <w:rFonts w:hint="default"/>
        </w:rPr>
      </w:pPr>
      <w:r>
        <w:rPr>
          <w:rFonts w:hint="default" w:ascii="Times New Roman" w:hAnsi="Times New Roman" w:eastAsia="宋体" w:cs="Times New Roman"/>
          <w:sz w:val="24"/>
          <w:szCs w:val="24"/>
        </w:rPr>
        <w:t>关于发布《建设项目竣工环境保护验收暂行办法》的公告 （国环规环评[2017]4</w:t>
      </w:r>
      <w:r>
        <w:rPr>
          <w:rFonts w:hint="eastAsia" w:cs="Times New Roman"/>
          <w:sz w:val="24"/>
          <w:szCs w:val="24"/>
          <w:lang w:eastAsia="zh-CN"/>
        </w:rPr>
        <w:t>号）</w:t>
      </w:r>
    </w:p>
    <w:p>
      <w:pPr>
        <w:numPr>
          <w:ilvl w:val="0"/>
          <w:numId w:val="3"/>
        </w:numPr>
        <w:tabs>
          <w:tab w:val="left" w:pos="938"/>
        </w:tabs>
        <w:spacing w:line="360" w:lineRule="auto"/>
        <w:ind w:left="42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《关于印发环评管理中部分行业建设项目重大变动清单的通知》（环办〔2015〕52号）</w:t>
      </w:r>
    </w:p>
    <w:p>
      <w:pPr>
        <w:pStyle w:val="7"/>
        <w:rPr>
          <w:rFonts w:hint="eastAsia" w:ascii="Times New Roman" w:hAnsi="Times New Roman" w:cs="Times New Roman" w:eastAsiaTheme="minorEastAsia"/>
          <w:b w:val="0"/>
          <w:bCs w:val="0"/>
          <w:color w:val="auto"/>
          <w:kern w:val="2"/>
          <w:sz w:val="24"/>
          <w:szCs w:val="24"/>
          <w:lang w:val="en-US" w:eastAsia="zh-CN" w:bidi="ar-SA"/>
        </w:rPr>
      </w:pPr>
      <w:bookmarkStart w:id="23" w:name="_Toc26712"/>
      <w:bookmarkStart w:id="24" w:name="_Toc29070_WPSOffice_Level3"/>
      <w:r>
        <w:rPr>
          <w:rFonts w:hint="eastAsia" w:ascii="宋体" w:hAnsi="宋体" w:eastAsia="宋体" w:cs="宋体"/>
          <w:sz w:val="24"/>
          <w:szCs w:val="24"/>
        </w:rPr>
        <w:t>1.2.2</w:t>
      </w:r>
      <w:r>
        <w:rPr>
          <w:rFonts w:hint="eastAsia" w:ascii="宋体" w:hAnsi="宋体" w:eastAsia="宋体" w:cs="宋体"/>
          <w:color w:val="auto"/>
          <w:sz w:val="24"/>
          <w:szCs w:val="24"/>
        </w:rPr>
        <w:t xml:space="preserve"> 验收标准</w:t>
      </w:r>
      <w:bookmarkEnd w:id="23"/>
      <w:bookmarkEnd w:id="24"/>
    </w:p>
    <w:p>
      <w:pPr>
        <w:numPr>
          <w:ilvl w:val="0"/>
          <w:numId w:val="4"/>
        </w:numPr>
        <w:tabs>
          <w:tab w:val="left" w:pos="938"/>
        </w:tabs>
        <w:spacing w:line="360" w:lineRule="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sz w:val="24"/>
          <w:szCs w:val="24"/>
        </w:rPr>
        <w:t>《区域性大气污染物综合排放标准》（DB37/2376-2019）表1中重点控制区标准</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《污水排入城镇下水道水质标准》(CJ343-2010)表1中B级标准</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《硫酸工业污染物排放标准》 (GB26132-2010)表6、表7排放限值要求</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rPr>
      </w:pPr>
      <w:r>
        <w:rPr>
          <w:rFonts w:hint="eastAsia" w:cs="Times New Roman"/>
          <w:color w:val="auto"/>
          <w:spacing w:val="-4"/>
          <w:sz w:val="24"/>
          <w:szCs w:val="24"/>
          <w:lang w:eastAsia="zh-CN"/>
        </w:rPr>
        <w:t>山东省《锅炉大气污染物排放标准》</w:t>
      </w:r>
      <w:r>
        <w:rPr>
          <w:rFonts w:hint="default" w:ascii="Times New Roman" w:hAnsi="Times New Roman" w:eastAsia="宋体" w:cs="Times New Roman"/>
          <w:color w:val="auto"/>
          <w:spacing w:val="-4"/>
          <w:sz w:val="24"/>
          <w:szCs w:val="24"/>
        </w:rPr>
        <w:t>（DB37/2374-201</w:t>
      </w:r>
      <w:r>
        <w:rPr>
          <w:rFonts w:hint="default" w:ascii="Times New Roman" w:hAnsi="Times New Roman" w:eastAsia="宋体" w:cs="Times New Roman"/>
          <w:color w:val="auto"/>
          <w:spacing w:val="-4"/>
          <w:sz w:val="24"/>
          <w:szCs w:val="24"/>
          <w:lang w:val="en-US" w:eastAsia="zh-CN"/>
        </w:rPr>
        <w:t>8</w:t>
      </w:r>
      <w:r>
        <w:rPr>
          <w:rFonts w:hint="default" w:ascii="Times New Roman" w:hAnsi="Times New Roman" w:eastAsia="宋体" w:cs="Times New Roman"/>
          <w:color w:val="auto"/>
          <w:spacing w:val="-4"/>
          <w:sz w:val="24"/>
          <w:szCs w:val="24"/>
        </w:rPr>
        <w:t>）</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lang w:eastAsia="zh-CN"/>
        </w:rPr>
        <w:t>《硫酸工业污染排放标准》（</w:t>
      </w:r>
      <w:r>
        <w:rPr>
          <w:rFonts w:hint="default" w:ascii="Times New Roman" w:hAnsi="Times New Roman" w:eastAsia="宋体" w:cs="Times New Roman"/>
          <w:color w:val="auto"/>
          <w:spacing w:val="-4"/>
          <w:sz w:val="24"/>
          <w:szCs w:val="24"/>
          <w:lang w:val="en-US" w:eastAsia="zh-CN"/>
        </w:rPr>
        <w:t>GB26132-2010</w:t>
      </w:r>
      <w:r>
        <w:rPr>
          <w:rFonts w:hint="default" w:ascii="Times New Roman" w:hAnsi="Times New Roman" w:eastAsia="宋体" w:cs="Times New Roman"/>
          <w:color w:val="auto"/>
          <w:spacing w:val="-4"/>
          <w:sz w:val="24"/>
          <w:szCs w:val="24"/>
          <w:lang w:eastAsia="zh-CN"/>
        </w:rPr>
        <w:t>）表</w:t>
      </w:r>
      <w:r>
        <w:rPr>
          <w:rFonts w:hint="default" w:ascii="Times New Roman" w:hAnsi="Times New Roman" w:eastAsia="宋体" w:cs="Times New Roman"/>
          <w:color w:val="auto"/>
          <w:spacing w:val="-4"/>
          <w:sz w:val="24"/>
          <w:szCs w:val="24"/>
          <w:lang w:val="en-US" w:eastAsia="zh-CN"/>
        </w:rPr>
        <w:t>8排放限值要求</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sz w:val="24"/>
          <w:szCs w:val="24"/>
        </w:rPr>
        <w:t>《大气污染物综合排放标准》（GB16297-1996）表2中标准</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《工业企业厂界环境噪声排放标准》（GB12348-2008）表1中3类标准</w:t>
      </w:r>
    </w:p>
    <w:p>
      <w:pPr>
        <w:numPr>
          <w:ilvl w:val="0"/>
          <w:numId w:val="4"/>
        </w:numPr>
        <w:tabs>
          <w:tab w:val="left" w:pos="938"/>
        </w:tabs>
        <w:spacing w:line="360" w:lineRule="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《危险废物贮存污染控制标准》（GB18597-2001）及其修改单</w:t>
      </w:r>
    </w:p>
    <w:p>
      <w:pPr>
        <w:pStyle w:val="7"/>
        <w:rPr>
          <w:rFonts w:hint="eastAsia" w:ascii="宋体" w:hAnsi="宋体" w:eastAsia="宋体" w:cs="宋体"/>
          <w:color w:val="auto"/>
        </w:rPr>
      </w:pPr>
      <w:bookmarkStart w:id="25" w:name="_Toc8302_WPSOffice_Level3"/>
      <w:bookmarkStart w:id="26" w:name="_Toc20773"/>
      <w:r>
        <w:rPr>
          <w:rFonts w:hint="eastAsia" w:ascii="宋体" w:hAnsi="宋体" w:eastAsia="宋体" w:cs="宋体"/>
        </w:rPr>
        <w:t>1.2.3</w:t>
      </w:r>
      <w:r>
        <w:rPr>
          <w:rFonts w:hint="eastAsia" w:ascii="宋体" w:hAnsi="宋体" w:eastAsia="宋体" w:cs="宋体"/>
          <w:color w:val="C00000"/>
        </w:rPr>
        <w:t xml:space="preserve"> </w:t>
      </w:r>
      <w:r>
        <w:rPr>
          <w:rFonts w:hint="eastAsia" w:ascii="宋体" w:hAnsi="宋体" w:eastAsia="宋体" w:cs="宋体"/>
          <w:color w:val="auto"/>
        </w:rPr>
        <w:t>项目依据</w:t>
      </w:r>
      <w:bookmarkEnd w:id="25"/>
      <w:bookmarkEnd w:id="26"/>
    </w:p>
    <w:p>
      <w:pPr>
        <w:numPr>
          <w:ilvl w:val="0"/>
          <w:numId w:val="4"/>
        </w:numPr>
        <w:tabs>
          <w:tab w:val="left" w:pos="938"/>
        </w:tabs>
        <w:spacing w:line="360" w:lineRule="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w:t>
      </w:r>
      <w:r>
        <w:rPr>
          <w:rFonts w:hint="eastAsia" w:cs="Times New Roman"/>
          <w:color w:val="auto"/>
          <w:spacing w:val="-2"/>
          <w:kern w:val="2"/>
          <w:sz w:val="24"/>
          <w:szCs w:val="24"/>
          <w:lang w:val="en-US" w:eastAsia="zh-CN" w:bidi="ar-SA"/>
        </w:rPr>
        <w:t>淄博建龙化工有限公司30万t/a硫磺制酸搬迁改造项目</w:t>
      </w:r>
      <w:r>
        <w:rPr>
          <w:rFonts w:hint="default" w:ascii="Times New Roman" w:hAnsi="Times New Roman" w:eastAsia="宋体" w:cs="Times New Roman"/>
          <w:color w:val="auto"/>
          <w:sz w:val="24"/>
          <w:szCs w:val="24"/>
          <w:lang w:val="en-US" w:eastAsia="zh-CN"/>
        </w:rPr>
        <w:t>竣工</w:t>
      </w:r>
      <w:r>
        <w:rPr>
          <w:rFonts w:hint="default" w:ascii="Times New Roman" w:hAnsi="Times New Roman" w:cs="Times New Roman"/>
          <w:color w:val="auto"/>
          <w:spacing w:val="-4"/>
          <w:sz w:val="24"/>
        </w:rPr>
        <w:t>环境影响报告</w:t>
      </w:r>
      <w:r>
        <w:rPr>
          <w:rFonts w:hint="eastAsia" w:cs="Times New Roman"/>
          <w:color w:val="auto"/>
          <w:spacing w:val="-4"/>
          <w:sz w:val="24"/>
          <w:lang w:eastAsia="zh-CN"/>
        </w:rPr>
        <w:t>书</w:t>
      </w:r>
      <w:r>
        <w:rPr>
          <w:rFonts w:hint="default" w:ascii="Times New Roman" w:hAnsi="Times New Roman" w:cs="Times New Roman"/>
          <w:color w:val="auto"/>
          <w:spacing w:val="-4"/>
          <w:sz w:val="24"/>
        </w:rPr>
        <w:t>》</w:t>
      </w:r>
    </w:p>
    <w:p>
      <w:pPr>
        <w:tabs>
          <w:tab w:val="left" w:pos="938"/>
        </w:tabs>
        <w:spacing w:line="360" w:lineRule="auto"/>
        <w:ind w:left="993"/>
        <w:rPr>
          <w:rFonts w:hint="default"/>
          <w:bCs/>
          <w:color w:val="FF0000"/>
          <w:sz w:val="24"/>
          <w:highlight w:val="none"/>
          <w:lang w:val="en-US" w:eastAsia="zh-CN"/>
        </w:rPr>
      </w:pPr>
      <w:r>
        <w:rPr>
          <w:rFonts w:hint="default"/>
          <w:bCs/>
          <w:color w:val="auto"/>
          <w:sz w:val="24"/>
          <w:highlight w:val="none"/>
          <w:lang w:val="en-US" w:eastAsia="zh-CN"/>
        </w:rPr>
        <w:t>（</w:t>
      </w:r>
      <w:r>
        <w:rPr>
          <w:rFonts w:hint="eastAsia"/>
          <w:bCs/>
          <w:color w:val="auto"/>
          <w:sz w:val="24"/>
          <w:highlight w:val="none"/>
          <w:lang w:val="en-US" w:eastAsia="zh-CN"/>
        </w:rPr>
        <w:t>山东海美侬项目咨询有限公司</w:t>
      </w:r>
      <w:r>
        <w:rPr>
          <w:rFonts w:hint="default"/>
          <w:bCs/>
          <w:color w:val="auto"/>
          <w:sz w:val="24"/>
          <w:highlight w:val="none"/>
          <w:lang w:val="en-US" w:eastAsia="zh-CN"/>
        </w:rPr>
        <w:t>，20</w:t>
      </w:r>
      <w:r>
        <w:rPr>
          <w:rFonts w:hint="eastAsia"/>
          <w:bCs/>
          <w:color w:val="auto"/>
          <w:sz w:val="24"/>
          <w:highlight w:val="none"/>
          <w:lang w:val="en-US" w:eastAsia="zh-CN"/>
        </w:rPr>
        <w:t>16</w:t>
      </w:r>
      <w:r>
        <w:rPr>
          <w:rFonts w:hint="default"/>
          <w:bCs/>
          <w:color w:val="auto"/>
          <w:sz w:val="24"/>
          <w:highlight w:val="none"/>
          <w:lang w:val="en-US" w:eastAsia="zh-CN"/>
        </w:rPr>
        <w:t>年</w:t>
      </w:r>
      <w:r>
        <w:rPr>
          <w:rFonts w:hint="eastAsia"/>
          <w:bCs/>
          <w:color w:val="auto"/>
          <w:sz w:val="24"/>
          <w:highlight w:val="none"/>
          <w:lang w:val="en-US" w:eastAsia="zh-CN"/>
        </w:rPr>
        <w:t>06</w:t>
      </w:r>
      <w:r>
        <w:rPr>
          <w:rFonts w:hint="default"/>
          <w:bCs/>
          <w:color w:val="auto"/>
          <w:sz w:val="24"/>
          <w:highlight w:val="none"/>
          <w:lang w:val="en-US" w:eastAsia="zh-CN"/>
        </w:rPr>
        <w:t>月）</w:t>
      </w:r>
    </w:p>
    <w:p>
      <w:pPr>
        <w:numPr>
          <w:ilvl w:val="0"/>
          <w:numId w:val="4"/>
        </w:numPr>
        <w:tabs>
          <w:tab w:val="left" w:pos="938"/>
        </w:tabs>
        <w:spacing w:line="360" w:lineRule="auto"/>
        <w:rPr>
          <w:rFonts w:hint="default" w:ascii="Times New Roman" w:hAnsi="Times New Roman" w:cs="Times New Roman"/>
          <w:bCs/>
          <w:color w:val="auto"/>
          <w:spacing w:val="-5"/>
          <w:sz w:val="24"/>
        </w:rPr>
      </w:pPr>
      <w:r>
        <w:rPr>
          <w:rFonts w:hint="default" w:ascii="Times New Roman" w:hAnsi="Times New Roman" w:cs="Times New Roman"/>
          <w:bCs/>
          <w:color w:val="auto"/>
          <w:spacing w:val="-5"/>
          <w:sz w:val="24"/>
        </w:rPr>
        <w:t>《关于</w:t>
      </w:r>
      <w:r>
        <w:rPr>
          <w:rFonts w:hint="eastAsia" w:cs="Times New Roman"/>
          <w:color w:val="auto"/>
          <w:spacing w:val="-2"/>
          <w:kern w:val="2"/>
          <w:sz w:val="24"/>
          <w:szCs w:val="24"/>
          <w:lang w:val="en-US" w:eastAsia="zh-CN" w:bidi="ar-SA"/>
        </w:rPr>
        <w:t>淄博建龙化工有限公司30万t/a硫磺制酸搬迁改造项目</w:t>
      </w:r>
      <w:r>
        <w:rPr>
          <w:rFonts w:hint="default" w:ascii="Times New Roman" w:hAnsi="Times New Roman" w:cs="Times New Roman"/>
          <w:color w:val="auto"/>
          <w:spacing w:val="-5"/>
          <w:sz w:val="24"/>
        </w:rPr>
        <w:t>环境影响报告</w:t>
      </w:r>
      <w:r>
        <w:rPr>
          <w:rFonts w:hint="eastAsia" w:cs="Times New Roman"/>
          <w:color w:val="auto"/>
          <w:spacing w:val="-5"/>
          <w:sz w:val="24"/>
          <w:lang w:eastAsia="zh-CN"/>
        </w:rPr>
        <w:t>书</w:t>
      </w:r>
      <w:r>
        <w:rPr>
          <w:rFonts w:hint="default" w:ascii="Times New Roman" w:hAnsi="Times New Roman" w:cs="Times New Roman"/>
          <w:bCs/>
          <w:color w:val="auto"/>
          <w:spacing w:val="-5"/>
          <w:sz w:val="24"/>
        </w:rPr>
        <w:t>的批复》</w:t>
      </w:r>
    </w:p>
    <w:p>
      <w:pPr>
        <w:tabs>
          <w:tab w:val="left" w:pos="938"/>
        </w:tabs>
        <w:spacing w:line="360" w:lineRule="auto"/>
        <w:ind w:left="993"/>
        <w:rPr>
          <w:rFonts w:hint="default" w:ascii="Times New Roman" w:hAnsi="Times New Roman" w:cs="Times New Roman"/>
          <w:bCs/>
          <w:color w:val="auto"/>
          <w:spacing w:val="-5"/>
          <w:sz w:val="24"/>
        </w:rPr>
      </w:pPr>
      <w:r>
        <w:rPr>
          <w:rFonts w:hint="default" w:ascii="Times New Roman" w:hAnsi="Times New Roman" w:cs="Times New Roman"/>
          <w:bCs/>
          <w:color w:val="auto"/>
          <w:spacing w:val="-5"/>
          <w:sz w:val="24"/>
        </w:rPr>
        <w:t>（</w:t>
      </w:r>
      <w:r>
        <w:rPr>
          <w:rFonts w:hint="eastAsia"/>
          <w:bCs/>
          <w:color w:val="auto"/>
          <w:sz w:val="24"/>
          <w:highlight w:val="none"/>
          <w:lang w:val="en-US" w:eastAsia="zh-CN"/>
        </w:rPr>
        <w:t>淄环审[2016]52号</w:t>
      </w:r>
      <w:r>
        <w:rPr>
          <w:rFonts w:hint="default" w:ascii="Times New Roman" w:hAnsi="Times New Roman" w:cs="Times New Roman"/>
          <w:color w:val="auto"/>
          <w:spacing w:val="-5"/>
          <w:sz w:val="24"/>
          <w:highlight w:val="none"/>
        </w:rPr>
        <w:t>，</w:t>
      </w:r>
      <w:r>
        <w:rPr>
          <w:rFonts w:hint="eastAsia" w:cs="Times New Roman"/>
          <w:color w:val="auto"/>
          <w:spacing w:val="-2"/>
          <w:sz w:val="24"/>
          <w:highlight w:val="none"/>
          <w:lang w:eastAsia="zh-CN"/>
        </w:rPr>
        <w:t>2016年06月06日</w:t>
      </w:r>
      <w:r>
        <w:rPr>
          <w:rFonts w:hint="default" w:ascii="Times New Roman" w:hAnsi="Times New Roman" w:cs="Times New Roman"/>
          <w:bCs/>
          <w:color w:val="auto"/>
          <w:spacing w:val="-5"/>
          <w:sz w:val="24"/>
          <w:highlight w:val="none"/>
        </w:rPr>
        <w:t>）</w:t>
      </w:r>
    </w:p>
    <w:p>
      <w:pPr>
        <w:pStyle w:val="6"/>
        <w:rPr>
          <w:rFonts w:hint="eastAsia"/>
        </w:rPr>
      </w:pPr>
      <w:bookmarkStart w:id="27" w:name="_Toc32657_WPSOffice_Level2"/>
      <w:bookmarkStart w:id="28" w:name="_Toc14225"/>
      <w:r>
        <w:rPr>
          <w:rFonts w:hint="eastAsia"/>
        </w:rPr>
        <w:t>1.3 验收对象</w:t>
      </w:r>
      <w:bookmarkEnd w:id="27"/>
      <w:bookmarkEnd w:id="28"/>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本</w:t>
      </w:r>
      <w:r>
        <w:rPr>
          <w:rFonts w:hint="default" w:ascii="Times New Roman" w:hAnsi="Times New Roman" w:eastAsia="宋体" w:cs="Times New Roman"/>
          <w:sz w:val="24"/>
          <w:szCs w:val="24"/>
          <w:highlight w:val="none"/>
        </w:rPr>
        <w:t>项目验收范围</w:t>
      </w:r>
      <w:r>
        <w:rPr>
          <w:rFonts w:hint="eastAsia" w:cs="Times New Roman"/>
          <w:sz w:val="24"/>
          <w:szCs w:val="24"/>
          <w:highlight w:val="none"/>
          <w:lang w:eastAsia="zh-CN"/>
        </w:rPr>
        <w:t>包括：</w:t>
      </w:r>
      <w:r>
        <w:rPr>
          <w:rFonts w:hint="default" w:ascii="Times New Roman" w:hAnsi="Times New Roman" w:cs="Times New Roman" w:eastAsiaTheme="minorEastAsia"/>
          <w:color w:val="auto"/>
          <w:sz w:val="24"/>
          <w:szCs w:val="24"/>
        </w:rPr>
        <w:t>主体工程为</w:t>
      </w:r>
      <w:r>
        <w:rPr>
          <w:rFonts w:hint="eastAsia" w:cs="Times New Roman" w:eastAsiaTheme="minorEastAsia"/>
          <w:color w:val="auto"/>
          <w:sz w:val="24"/>
          <w:szCs w:val="24"/>
          <w:lang w:val="en-US" w:eastAsia="zh-CN"/>
        </w:rPr>
        <w:t>生产</w:t>
      </w:r>
      <w:r>
        <w:rPr>
          <w:rFonts w:hint="default" w:ascii="Times New Roman" w:hAnsi="Times New Roman" w:cs="Times New Roman" w:eastAsiaTheme="minorEastAsia"/>
          <w:color w:val="auto"/>
          <w:sz w:val="24"/>
          <w:szCs w:val="24"/>
        </w:rPr>
        <w:t>车间，辅助工程</w:t>
      </w:r>
      <w:r>
        <w:rPr>
          <w:rFonts w:hint="eastAsia" w:cs="Times New Roman" w:eastAsiaTheme="minorEastAsia"/>
          <w:color w:val="auto"/>
          <w:sz w:val="24"/>
          <w:szCs w:val="24"/>
          <w:lang w:eastAsia="zh-CN"/>
        </w:rPr>
        <w:t>、公用工程、</w:t>
      </w:r>
      <w:r>
        <w:rPr>
          <w:rFonts w:hint="eastAsia" w:cs="Times New Roman" w:eastAsiaTheme="minorEastAsia"/>
          <w:color w:val="auto"/>
          <w:sz w:val="24"/>
          <w:szCs w:val="24"/>
          <w:lang w:val="en-US" w:eastAsia="zh-CN"/>
        </w:rPr>
        <w:t>储运工程</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以及环保工程</w:t>
      </w:r>
      <w:r>
        <w:rPr>
          <w:rFonts w:hint="default" w:ascii="Times New Roman" w:hAnsi="Times New Roman" w:cs="Times New Roman" w:eastAsiaTheme="minorEastAsia"/>
          <w:color w:val="auto"/>
          <w:sz w:val="24"/>
          <w:szCs w:val="24"/>
        </w:rPr>
        <w:t>。本次验收对象见表1-1。</w:t>
      </w:r>
    </w:p>
    <w:p>
      <w:pPr>
        <w:spacing w:line="480" w:lineRule="exact"/>
        <w:ind w:firstLine="561"/>
        <w:jc w:val="center"/>
        <w:rPr>
          <w:rFonts w:hint="default" w:ascii="Times New Roman" w:hAnsi="Times New Roman" w:cs="Times New Roman" w:eastAsiaTheme="minorEastAsia"/>
          <w:sz w:val="24"/>
          <w:szCs w:val="24"/>
        </w:rPr>
      </w:pPr>
      <w:bookmarkStart w:id="29" w:name="_Toc29070_WPSOffice_Level2"/>
      <w:r>
        <w:rPr>
          <w:rFonts w:hint="default" w:ascii="Times New Roman" w:hAnsi="Times New Roman" w:cs="Times New Roman" w:eastAsiaTheme="minorEastAsia"/>
          <w:sz w:val="24"/>
          <w:szCs w:val="24"/>
        </w:rPr>
        <w:t>表1-1  验收对象</w:t>
      </w:r>
      <w:bookmarkEnd w:id="29"/>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231"/>
        <w:gridCol w:w="1695"/>
        <w:gridCol w:w="6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566" w:type="dxa"/>
            <w:gridSpan w:val="3"/>
            <w:tcBorders>
              <w:tl2br w:val="nil"/>
              <w:tr2bl w:val="nil"/>
            </w:tcBorders>
            <w:vAlign w:val="center"/>
          </w:tcPr>
          <w:p>
            <w:pPr>
              <w:autoSpaceDE w:val="0"/>
              <w:autoSpaceDN w:val="0"/>
              <w:adjustRightInd w:val="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类  别</w:t>
            </w:r>
          </w:p>
        </w:tc>
        <w:tc>
          <w:tcPr>
            <w:tcW w:w="6288"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验收监测（或调查）对象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污染物排放</w:t>
            </w:r>
          </w:p>
        </w:tc>
        <w:tc>
          <w:tcPr>
            <w:tcW w:w="1231"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sz w:val="24"/>
                <w:szCs w:val="24"/>
              </w:rPr>
              <w:t>废气</w:t>
            </w:r>
          </w:p>
        </w:tc>
        <w:tc>
          <w:tcPr>
            <w:tcW w:w="1695"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lang w:val="en-US" w:eastAsia="zh-CN"/>
              </w:rPr>
            </w:pPr>
            <w:r>
              <w:rPr>
                <w:rFonts w:hint="eastAsia" w:cs="Times New Roman" w:eastAsiaTheme="minorEastAsia"/>
                <w:sz w:val="24"/>
                <w:szCs w:val="24"/>
                <w:lang w:val="en-US" w:eastAsia="zh-CN"/>
              </w:rPr>
              <w:t>有组织</w:t>
            </w:r>
          </w:p>
        </w:tc>
        <w:tc>
          <w:tcPr>
            <w:tcW w:w="6288" w:type="dxa"/>
            <w:tcBorders>
              <w:tl2br w:val="nil"/>
              <w:tr2bl w:val="nil"/>
            </w:tcBorders>
            <w:vAlign w:val="center"/>
          </w:tcPr>
          <w:p>
            <w:pPr>
              <w:autoSpaceDE w:val="0"/>
              <w:autoSpaceDN w:val="0"/>
              <w:adjustRightInd w:val="0"/>
              <w:rPr>
                <w:rFonts w:hint="default" w:cs="Times New Roman" w:eastAsiaTheme="minorEastAsia"/>
                <w:spacing w:val="-4"/>
                <w:sz w:val="24"/>
                <w:szCs w:val="24"/>
                <w:lang w:val="en-US" w:eastAsia="zh-CN"/>
              </w:rPr>
            </w:pPr>
            <w:r>
              <w:rPr>
                <w:rFonts w:hint="eastAsia" w:ascii="Times New Roman" w:hAnsi="Times New Roman" w:cs="Times New Roman"/>
                <w:sz w:val="24"/>
                <w:szCs w:val="24"/>
                <w:lang w:val="en-US" w:eastAsia="zh-CN"/>
              </w:rPr>
              <w:t>硫酸雾</w:t>
            </w:r>
            <w:r>
              <w:rPr>
                <w:rFonts w:hint="default" w:ascii="Times New Roman" w:hAnsi="Times New Roman" w:eastAsia="宋体" w:cs="Times New Roman"/>
                <w:sz w:val="24"/>
                <w:szCs w:val="24"/>
                <w:lang w:val="en-US" w:eastAsia="zh-CN"/>
              </w:rPr>
              <w:t>、二氧化硫、氮氧化物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rPr>
            </w:pPr>
          </w:p>
        </w:tc>
        <w:tc>
          <w:tcPr>
            <w:tcW w:w="1231"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eastAsiaTheme="minorEastAsia"/>
                <w:kern w:val="2"/>
                <w:sz w:val="24"/>
                <w:szCs w:val="24"/>
                <w:lang w:val="en-US" w:eastAsia="zh-CN" w:bidi="ar-SA"/>
              </w:rPr>
            </w:pPr>
          </w:p>
        </w:tc>
        <w:tc>
          <w:tcPr>
            <w:tcW w:w="1695" w:type="dxa"/>
            <w:tcBorders>
              <w:tl2br w:val="nil"/>
              <w:tr2bl w:val="nil"/>
            </w:tcBorders>
            <w:vAlign w:val="center"/>
          </w:tcPr>
          <w:p>
            <w:pPr>
              <w:autoSpaceDE w:val="0"/>
              <w:autoSpaceDN w:val="0"/>
              <w:adjustRightInd w:val="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sz w:val="24"/>
                <w:szCs w:val="24"/>
              </w:rPr>
              <w:t>厂界无组织</w:t>
            </w:r>
          </w:p>
        </w:tc>
        <w:tc>
          <w:tcPr>
            <w:tcW w:w="6288" w:type="dxa"/>
            <w:tcBorders>
              <w:tl2br w:val="nil"/>
              <w:tr2bl w:val="nil"/>
            </w:tcBorders>
            <w:vAlign w:val="center"/>
          </w:tcPr>
          <w:p>
            <w:pPr>
              <w:autoSpaceDE w:val="0"/>
              <w:autoSpaceDN w:val="0"/>
              <w:adjustRightInd w:val="0"/>
              <w:rPr>
                <w:rFonts w:hint="default" w:cs="Times New Roman" w:eastAsiaTheme="minorEastAsia"/>
                <w:spacing w:val="-4"/>
                <w:sz w:val="24"/>
                <w:szCs w:val="24"/>
                <w:lang w:val="en-US" w:eastAsia="zh-CN"/>
              </w:rPr>
            </w:pPr>
            <w:r>
              <w:rPr>
                <w:rFonts w:hint="default" w:ascii="Times New Roman" w:hAnsi="Times New Roman" w:eastAsia="宋体" w:cs="Times New Roman"/>
                <w:sz w:val="24"/>
                <w:szCs w:val="24"/>
                <w:lang w:val="en-US" w:eastAsia="zh-CN"/>
              </w:rPr>
              <w:t>颗粒物、</w:t>
            </w:r>
            <w:r>
              <w:rPr>
                <w:rFonts w:hint="eastAsia" w:ascii="Times New Roman" w:hAnsi="Times New Roman" w:cs="Times New Roman"/>
                <w:sz w:val="24"/>
                <w:szCs w:val="24"/>
                <w:lang w:val="en-US" w:eastAsia="zh-CN"/>
              </w:rPr>
              <w:t>硫酸雾</w:t>
            </w:r>
            <w:r>
              <w:rPr>
                <w:rFonts w:hint="default" w:ascii="Times New Roman" w:hAnsi="Times New Roman" w:eastAsia="宋体" w:cs="Times New Roman"/>
                <w:sz w:val="24"/>
                <w:szCs w:val="24"/>
                <w:lang w:val="en-US" w:eastAsia="zh-CN"/>
              </w:rPr>
              <w:t>、二氧化硫、氮氧化物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0" w:type="dxa"/>
            <w:vMerge w:val="continue"/>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rPr>
            </w:pPr>
          </w:p>
        </w:tc>
        <w:tc>
          <w:tcPr>
            <w:tcW w:w="2926" w:type="dxa"/>
            <w:gridSpan w:val="2"/>
            <w:tcBorders>
              <w:tl2br w:val="nil"/>
              <w:tr2bl w:val="nil"/>
            </w:tcBorders>
            <w:vAlign w:val="center"/>
          </w:tcPr>
          <w:p>
            <w:pPr>
              <w:autoSpaceDE w:val="0"/>
              <w:autoSpaceDN w:val="0"/>
              <w:adjustRightInd w:val="0"/>
              <w:jc w:val="center"/>
              <w:rPr>
                <w:rFonts w:hint="eastAsia" w:cs="Times New Roman" w:eastAsiaTheme="minorEastAsia"/>
                <w:sz w:val="24"/>
                <w:szCs w:val="24"/>
                <w:lang w:eastAsia="zh-CN"/>
              </w:rPr>
            </w:pPr>
            <w:r>
              <w:rPr>
                <w:rFonts w:hint="eastAsia" w:cs="Times New Roman" w:eastAsiaTheme="minorEastAsia"/>
                <w:kern w:val="2"/>
                <w:sz w:val="24"/>
                <w:szCs w:val="24"/>
                <w:lang w:val="en-US" w:eastAsia="zh-CN" w:bidi="ar-SA"/>
              </w:rPr>
              <w:t>废水</w:t>
            </w:r>
          </w:p>
        </w:tc>
        <w:tc>
          <w:tcPr>
            <w:tcW w:w="6288" w:type="dxa"/>
            <w:tcBorders>
              <w:tl2br w:val="nil"/>
              <w:tr2bl w:val="nil"/>
            </w:tcBorders>
            <w:vAlign w:val="center"/>
          </w:tcPr>
          <w:p>
            <w:pPr>
              <w:autoSpaceDE w:val="0"/>
              <w:autoSpaceDN w:val="0"/>
              <w:adjustRightInd w:val="0"/>
              <w:rPr>
                <w:rFonts w:hint="eastAsia" w:cs="Times New Roman" w:eastAsiaTheme="minorEastAsia"/>
                <w:spacing w:val="-4"/>
                <w:sz w:val="24"/>
                <w:szCs w:val="24"/>
                <w:lang w:val="en-US" w:eastAsia="zh-CN"/>
              </w:rPr>
            </w:pPr>
            <w:r>
              <w:rPr>
                <w:rFonts w:hint="eastAsia" w:ascii="Times New Roman" w:hAnsi="Times New Roman" w:cs="Times New Roman"/>
                <w:color w:val="auto"/>
                <w:sz w:val="24"/>
                <w:szCs w:val="24"/>
                <w:lang w:val="en-US" w:eastAsia="zh-CN"/>
              </w:rPr>
              <w:t>p</w:t>
            </w:r>
            <w:r>
              <w:rPr>
                <w:rFonts w:hint="default" w:ascii="Times New Roman" w:hAnsi="Times New Roman" w:eastAsia="宋体" w:cs="Times New Roman"/>
                <w:color w:val="auto"/>
                <w:sz w:val="24"/>
                <w:szCs w:val="24"/>
                <w:lang w:val="en-US" w:eastAsia="zh-CN"/>
              </w:rPr>
              <w:t>H值</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悬浮物、化学需氧量、</w:t>
            </w:r>
            <w:r>
              <w:rPr>
                <w:rFonts w:hint="default" w:ascii="Times New Roman" w:hAnsi="Times New Roman" w:eastAsia="宋体" w:cs="Times New Roman"/>
                <w:b w:val="0"/>
                <w:bCs w:val="0"/>
                <w:color w:val="auto"/>
                <w:sz w:val="24"/>
                <w:szCs w:val="24"/>
                <w:lang w:val="en-US" w:eastAsia="zh-CN"/>
              </w:rPr>
              <w:t>氨氮（以N计）</w:t>
            </w:r>
            <w:r>
              <w:rPr>
                <w:rFonts w:hint="default" w:ascii="Times New Roman" w:hAnsi="Times New Roman" w:eastAsia="宋体" w:cs="Times New Roman"/>
                <w:color w:val="auto"/>
                <w:sz w:val="24"/>
                <w:szCs w:val="24"/>
                <w:lang w:val="en-US" w:eastAsia="zh-CN"/>
              </w:rPr>
              <w:t>、全盐量、</w:t>
            </w:r>
            <w:r>
              <w:rPr>
                <w:rFonts w:hint="eastAsia" w:ascii="Times New Roman" w:hAnsi="Times New Roman" w:cs="Times New Roman"/>
                <w:color w:val="auto"/>
                <w:sz w:val="24"/>
                <w:szCs w:val="24"/>
                <w:lang w:val="en-US" w:eastAsia="zh-CN"/>
              </w:rPr>
              <w:t>硫酸盐</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五日生化需氧量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40" w:type="dxa"/>
            <w:vMerge w:val="continue"/>
            <w:tcBorders>
              <w:tl2br w:val="nil"/>
              <w:tr2bl w:val="nil"/>
            </w:tcBorders>
            <w:vAlign w:val="center"/>
          </w:tcPr>
          <w:p>
            <w:pPr>
              <w:autoSpaceDE w:val="0"/>
              <w:autoSpaceDN w:val="0"/>
              <w:adjustRightInd w:val="0"/>
              <w:ind w:firstLine="480"/>
              <w:jc w:val="center"/>
              <w:rPr>
                <w:rFonts w:hint="default" w:ascii="Times New Roman" w:hAnsi="Times New Roman" w:cs="Times New Roman" w:eastAsiaTheme="minorEastAsia"/>
                <w:sz w:val="24"/>
                <w:szCs w:val="24"/>
              </w:rPr>
            </w:pPr>
          </w:p>
        </w:tc>
        <w:tc>
          <w:tcPr>
            <w:tcW w:w="2926" w:type="dxa"/>
            <w:gridSpan w:val="2"/>
            <w:tcBorders>
              <w:tl2br w:val="nil"/>
              <w:tr2bl w:val="nil"/>
            </w:tcBorders>
            <w:vAlign w:val="center"/>
          </w:tcPr>
          <w:p>
            <w:pPr>
              <w:autoSpaceDE w:val="0"/>
              <w:autoSpaceDN w:val="0"/>
              <w:adjustRightInd w:val="0"/>
              <w:spacing w:line="360" w:lineRule="auto"/>
              <w:jc w:val="center"/>
              <w:rPr>
                <w:rFonts w:hint="default" w:ascii="Times New Roman" w:hAnsi="Times New Roman" w:cs="Times New Roman" w:eastAsiaTheme="minorEastAsia"/>
                <w:sz w:val="24"/>
                <w:szCs w:val="24"/>
              </w:rPr>
            </w:pPr>
            <w:r>
              <w:rPr>
                <w:rFonts w:hint="eastAsia" w:cs="Times New Roman" w:eastAsiaTheme="minorEastAsia"/>
                <w:sz w:val="24"/>
                <w:szCs w:val="24"/>
                <w:lang w:val="en-US" w:eastAsia="zh-CN"/>
              </w:rPr>
              <w:t>一般工业固废</w:t>
            </w:r>
          </w:p>
        </w:tc>
        <w:tc>
          <w:tcPr>
            <w:tcW w:w="6288" w:type="dxa"/>
            <w:tcBorders>
              <w:tl2br w:val="nil"/>
              <w:tr2bl w:val="nil"/>
            </w:tcBorders>
            <w:vAlign w:val="center"/>
          </w:tcPr>
          <w:p>
            <w:pPr>
              <w:autoSpaceDE w:val="0"/>
              <w:autoSpaceDN w:val="0"/>
              <w:adjustRightInd w:val="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固废最终处置措施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vMerge w:val="continue"/>
            <w:tcBorders>
              <w:tl2br w:val="nil"/>
              <w:tr2bl w:val="nil"/>
            </w:tcBorders>
            <w:vAlign w:val="center"/>
          </w:tcPr>
          <w:p>
            <w:pPr>
              <w:autoSpaceDE w:val="0"/>
              <w:autoSpaceDN w:val="0"/>
              <w:adjustRightInd w:val="0"/>
              <w:ind w:firstLine="480"/>
              <w:jc w:val="center"/>
              <w:rPr>
                <w:rFonts w:hint="default" w:ascii="Times New Roman" w:hAnsi="Times New Roman" w:cs="Times New Roman" w:eastAsiaTheme="minorEastAsia"/>
                <w:sz w:val="24"/>
                <w:szCs w:val="24"/>
              </w:rPr>
            </w:pPr>
          </w:p>
        </w:tc>
        <w:tc>
          <w:tcPr>
            <w:tcW w:w="2926" w:type="dxa"/>
            <w:gridSpan w:val="2"/>
            <w:tcBorders>
              <w:tl2br w:val="nil"/>
              <w:tr2bl w:val="nil"/>
            </w:tcBorders>
            <w:vAlign w:val="center"/>
          </w:tcPr>
          <w:p>
            <w:pPr>
              <w:autoSpaceDE w:val="0"/>
              <w:autoSpaceDN w:val="0"/>
              <w:adjustRightInd w:val="0"/>
              <w:spacing w:line="360" w:lineRule="auto"/>
              <w:jc w:val="center"/>
              <w:rPr>
                <w:rFonts w:hint="eastAsia" w:cs="Times New Roman" w:eastAsiaTheme="minorEastAsia"/>
                <w:sz w:val="24"/>
                <w:szCs w:val="24"/>
                <w:lang w:val="en-US" w:eastAsia="zh-CN"/>
              </w:rPr>
            </w:pPr>
            <w:r>
              <w:rPr>
                <w:rFonts w:hint="eastAsia" w:cs="Times New Roman" w:eastAsiaTheme="minorEastAsia"/>
                <w:sz w:val="24"/>
                <w:szCs w:val="24"/>
                <w:lang w:val="en-US" w:eastAsia="zh-CN"/>
              </w:rPr>
              <w:t>危险废物</w:t>
            </w:r>
          </w:p>
        </w:tc>
        <w:tc>
          <w:tcPr>
            <w:tcW w:w="6288" w:type="dxa"/>
            <w:tcBorders>
              <w:tl2br w:val="nil"/>
              <w:tr2bl w:val="nil"/>
            </w:tcBorders>
            <w:vAlign w:val="center"/>
          </w:tcPr>
          <w:p>
            <w:pPr>
              <w:autoSpaceDE w:val="0"/>
              <w:autoSpaceDN w:val="0"/>
              <w:adjustRightInd w:val="0"/>
              <w:rPr>
                <w:rFonts w:hint="default" w:ascii="Times New Roman" w:hAnsi="Times New Roman" w:cs="Times New Roman" w:eastAsiaTheme="minorEastAsia"/>
                <w:sz w:val="24"/>
                <w:szCs w:val="24"/>
              </w:rPr>
            </w:pPr>
            <w:r>
              <w:rPr>
                <w:rFonts w:hint="eastAsia" w:cs="Times New Roman" w:eastAsiaTheme="minorEastAsia"/>
                <w:sz w:val="24"/>
                <w:szCs w:val="24"/>
                <w:lang w:val="en-US" w:eastAsia="zh-CN"/>
              </w:rPr>
              <w:t>危废</w:t>
            </w:r>
            <w:r>
              <w:rPr>
                <w:rFonts w:hint="default" w:ascii="Times New Roman" w:hAnsi="Times New Roman" w:cs="Times New Roman" w:eastAsiaTheme="minorEastAsia"/>
                <w:sz w:val="24"/>
                <w:szCs w:val="24"/>
              </w:rPr>
              <w:t>最终处置措施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vMerge w:val="continue"/>
            <w:tcBorders>
              <w:tl2br w:val="nil"/>
              <w:tr2bl w:val="nil"/>
            </w:tcBorders>
            <w:vAlign w:val="center"/>
          </w:tcPr>
          <w:p>
            <w:pPr>
              <w:autoSpaceDE w:val="0"/>
              <w:autoSpaceDN w:val="0"/>
              <w:adjustRightInd w:val="0"/>
              <w:ind w:firstLine="480"/>
              <w:jc w:val="center"/>
              <w:rPr>
                <w:rFonts w:hint="default" w:ascii="Times New Roman" w:hAnsi="Times New Roman" w:cs="Times New Roman" w:eastAsiaTheme="minorEastAsia"/>
                <w:sz w:val="24"/>
                <w:szCs w:val="24"/>
              </w:rPr>
            </w:pPr>
          </w:p>
        </w:tc>
        <w:tc>
          <w:tcPr>
            <w:tcW w:w="2926" w:type="dxa"/>
            <w:gridSpan w:val="2"/>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噪声</w:t>
            </w:r>
          </w:p>
        </w:tc>
        <w:tc>
          <w:tcPr>
            <w:tcW w:w="6288" w:type="dxa"/>
            <w:tcBorders>
              <w:tl2br w:val="nil"/>
              <w:tr2bl w:val="nil"/>
            </w:tcBorders>
            <w:vAlign w:val="center"/>
          </w:tcPr>
          <w:p>
            <w:pPr>
              <w:autoSpaceDE w:val="0"/>
              <w:autoSpaceDN w:val="0"/>
              <w:adjustRightInd w:val="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厂界噪声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dxa"/>
            <w:gridSpan w:val="3"/>
            <w:tcBorders>
              <w:tl2br w:val="nil"/>
              <w:tr2bl w:val="nil"/>
            </w:tcBorders>
            <w:vAlign w:val="center"/>
          </w:tcPr>
          <w:p>
            <w:pPr>
              <w:autoSpaceDE w:val="0"/>
              <w:autoSpaceDN w:val="0"/>
              <w:adjustRightInd w:val="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环境风险</w:t>
            </w:r>
          </w:p>
        </w:tc>
        <w:tc>
          <w:tcPr>
            <w:tcW w:w="6288" w:type="dxa"/>
            <w:tcBorders>
              <w:tl2br w:val="nil"/>
              <w:tr2bl w:val="nil"/>
            </w:tcBorders>
            <w:vAlign w:val="center"/>
          </w:tcPr>
          <w:p>
            <w:pPr>
              <w:autoSpaceDE w:val="0"/>
              <w:autoSpaceDN w:val="0"/>
              <w:adjustRightInd w:val="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环境风险防范措施落实情况</w:t>
            </w:r>
          </w:p>
        </w:tc>
      </w:tr>
    </w:tbl>
    <w:p>
      <w:pPr>
        <w:pStyle w:val="2"/>
        <w:ind w:left="0" w:leftChars="0" w:firstLine="0" w:firstLineChars="0"/>
        <w:jc w:val="center"/>
        <w:rPr>
          <w:rFonts w:hint="default" w:ascii="Times New Roman" w:hAnsi="Times New Roman" w:cs="Times New Roman" w:eastAsiaTheme="minorEastAsia"/>
          <w:sz w:val="24"/>
          <w:szCs w:val="24"/>
        </w:rPr>
      </w:pPr>
    </w:p>
    <w:p>
      <w:pPr>
        <w:rPr>
          <w:rFonts w:hint="default"/>
        </w:rPr>
      </w:pPr>
    </w:p>
    <w:p>
      <w:pPr>
        <w:pStyle w:val="2"/>
        <w:ind w:left="0" w:leftChars="0" w:firstLine="0" w:firstLineChars="0"/>
        <w:rPr>
          <w:rFonts w:hint="default" w:ascii="Times New Roman" w:hAnsi="Times New Roman" w:cs="Times New Roman" w:eastAsiaTheme="minorEastAsia"/>
          <w:sz w:val="24"/>
          <w:szCs w:val="24"/>
        </w:rPr>
        <w:sectPr>
          <w:footerReference r:id="rId6"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adjustRightInd w:val="0"/>
        <w:snapToGrid w:val="0"/>
        <w:spacing w:line="20" w:lineRule="exact"/>
        <w:jc w:val="center"/>
        <w:rPr>
          <w:rFonts w:eastAsia="黑体"/>
          <w:sz w:val="32"/>
          <w:szCs w:val="32"/>
        </w:rPr>
      </w:pPr>
    </w:p>
    <w:p>
      <w:pPr>
        <w:pStyle w:val="5"/>
        <w:jc w:val="center"/>
      </w:pPr>
      <w:bookmarkStart w:id="30" w:name="_Toc13732"/>
      <w:bookmarkStart w:id="31" w:name="_Toc25093"/>
      <w:bookmarkStart w:id="32" w:name="_Toc30654_WPSOffice_Level1"/>
      <w:r>
        <w:t>第</w:t>
      </w:r>
      <w:r>
        <w:rPr>
          <w:rFonts w:hint="eastAsia"/>
          <w:lang w:val="en-US" w:eastAsia="zh-CN"/>
        </w:rPr>
        <w:t>二</w:t>
      </w:r>
      <w:r>
        <w:t xml:space="preserve">章 </w:t>
      </w:r>
      <w:r>
        <w:rPr>
          <w:rFonts w:hint="eastAsia"/>
        </w:rPr>
        <w:t xml:space="preserve"> 建设项目概况</w:t>
      </w:r>
      <w:bookmarkEnd w:id="30"/>
      <w:bookmarkEnd w:id="31"/>
      <w:bookmarkEnd w:id="32"/>
    </w:p>
    <w:p>
      <w:pPr>
        <w:pStyle w:val="6"/>
        <w:rPr>
          <w:rFonts w:hint="eastAsia"/>
        </w:rPr>
      </w:pPr>
      <w:bookmarkStart w:id="33" w:name="_Toc8302_WPSOffice_Level2"/>
      <w:bookmarkStart w:id="34" w:name="_Toc18671"/>
      <w:r>
        <w:rPr>
          <w:rFonts w:hint="eastAsia"/>
        </w:rPr>
        <w:t>2.1 地理位置及平面布置</w:t>
      </w:r>
      <w:bookmarkEnd w:id="33"/>
      <w:bookmarkEnd w:id="34"/>
    </w:p>
    <w:p>
      <w:pPr>
        <w:pStyle w:val="7"/>
        <w:rPr>
          <w:color w:val="auto"/>
        </w:rPr>
      </w:pPr>
      <w:bookmarkStart w:id="35" w:name="_Toc8979"/>
      <w:bookmarkStart w:id="36" w:name="_Toc5176_WPSOffice_Level3"/>
      <w:r>
        <w:rPr>
          <w:rFonts w:hint="eastAsia"/>
        </w:rPr>
        <w:t>2.1</w:t>
      </w:r>
      <w:r>
        <w:rPr>
          <w:rFonts w:hint="eastAsia"/>
          <w:color w:val="auto"/>
        </w:rPr>
        <w:t>.1 地理位置</w:t>
      </w:r>
      <w:bookmarkEnd w:id="35"/>
      <w:bookmarkEnd w:id="36"/>
    </w:p>
    <w:p>
      <w:pPr>
        <w:spacing w:line="500" w:lineRule="exact"/>
        <w:ind w:left="2" w:leftChars="1" w:firstLine="470" w:firstLineChars="196"/>
        <w:rPr>
          <w:rFonts w:hint="eastAsia" w:eastAsia="宋体"/>
          <w:highlight w:val="none"/>
          <w:lang w:eastAsia="zh-CN"/>
        </w:rPr>
      </w:pPr>
      <w:r>
        <w:rPr>
          <w:bCs/>
          <w:sz w:val="24"/>
        </w:rPr>
        <w:t>项目</w:t>
      </w:r>
      <w:r>
        <w:rPr>
          <w:rFonts w:hint="default"/>
          <w:bCs/>
          <w:sz w:val="24"/>
        </w:rPr>
        <w:t>位</w:t>
      </w:r>
      <w:r>
        <w:rPr>
          <w:rFonts w:hint="default"/>
          <w:bCs/>
          <w:color w:val="auto"/>
          <w:sz w:val="24"/>
        </w:rPr>
        <w:t>于</w:t>
      </w:r>
      <w:r>
        <w:rPr>
          <w:rFonts w:hint="eastAsia" w:cs="Times New Roman"/>
          <w:color w:val="auto"/>
          <w:spacing w:val="-2"/>
          <w:sz w:val="24"/>
          <w:szCs w:val="24"/>
          <w:lang w:eastAsia="zh-CN"/>
        </w:rPr>
        <w:t>张店区东部化工区</w:t>
      </w:r>
      <w:r>
        <w:rPr>
          <w:rFonts w:hint="eastAsia" w:ascii="Times New Roman" w:hAnsi="Times New Roman" w:cs="Times New Roman"/>
          <w:sz w:val="24"/>
          <w:szCs w:val="24"/>
          <w:lang w:val="en-US" w:eastAsia="zh-CN"/>
        </w:rPr>
        <w:t>山东民基新材料科技有限公司</w:t>
      </w:r>
      <w:r>
        <w:rPr>
          <w:rFonts w:hint="eastAsia" w:cs="Times New Roman"/>
          <w:color w:val="auto"/>
          <w:spacing w:val="-2"/>
          <w:sz w:val="24"/>
          <w:szCs w:val="24"/>
          <w:lang w:eastAsia="zh-CN"/>
        </w:rPr>
        <w:t>厂区内预留用地上</w:t>
      </w:r>
      <w:r>
        <w:rPr>
          <w:rFonts w:hint="eastAsia"/>
          <w:bCs/>
          <w:color w:val="auto"/>
          <w:sz w:val="24"/>
          <w:lang w:eastAsia="zh-CN"/>
        </w:rPr>
        <w:t>，</w:t>
      </w:r>
      <w:r>
        <w:rPr>
          <w:bCs/>
          <w:sz w:val="24"/>
        </w:rPr>
        <w:t>地理位置</w:t>
      </w:r>
      <w:r>
        <w:rPr>
          <w:bCs/>
          <w:sz w:val="24"/>
          <w:highlight w:val="none"/>
        </w:rPr>
        <w:t>见图</w:t>
      </w:r>
      <w:r>
        <w:rPr>
          <w:rFonts w:hint="eastAsia"/>
          <w:bCs/>
          <w:sz w:val="24"/>
          <w:highlight w:val="none"/>
        </w:rPr>
        <w:t>2</w:t>
      </w:r>
      <w:r>
        <w:rPr>
          <w:bCs/>
          <w:sz w:val="24"/>
          <w:highlight w:val="none"/>
        </w:rPr>
        <w:t>-1。</w:t>
      </w:r>
      <w:r>
        <w:rPr>
          <w:rFonts w:hint="eastAsia"/>
          <w:highlight w:val="none"/>
        </w:rPr>
        <w:t xml:space="preserve"> </w:t>
      </w:r>
    </w:p>
    <w:p>
      <w:pPr>
        <w:pStyle w:val="2"/>
        <w:ind w:left="0" w:leftChars="0" w:firstLine="0" w:firstLineChars="0"/>
        <w:jc w:val="both"/>
        <w:rPr>
          <w:rFonts w:hint="eastAsia" w:eastAsia="宋体"/>
          <w:color w:val="auto"/>
          <w:sz w:val="24"/>
          <w:lang w:eastAsia="zh-CN"/>
        </w:rPr>
      </w:pPr>
      <w:bookmarkStart w:id="37" w:name="_Toc5176_WPSOffice_Level2"/>
      <w:r>
        <w:rPr>
          <w:rFonts w:hint="eastAsia" w:eastAsia="宋体"/>
          <w:color w:val="auto"/>
          <w:sz w:val="24"/>
          <w:lang w:eastAsia="zh-CN"/>
        </w:rPr>
        <w:drawing>
          <wp:inline distT="0" distB="0" distL="114300" distR="114300">
            <wp:extent cx="6262370" cy="4312920"/>
            <wp:effectExtent l="0" t="0" r="5080" b="11430"/>
            <wp:docPr id="2" name="图片 2" descr="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理位置"/>
                    <pic:cNvPicPr>
                      <a:picLocks noChangeAspect="1"/>
                    </pic:cNvPicPr>
                  </pic:nvPicPr>
                  <pic:blipFill>
                    <a:blip r:embed="rId14"/>
                    <a:stretch>
                      <a:fillRect/>
                    </a:stretch>
                  </pic:blipFill>
                  <pic:spPr>
                    <a:xfrm>
                      <a:off x="0" y="0"/>
                      <a:ext cx="6262370" cy="4312920"/>
                    </a:xfrm>
                    <a:prstGeom prst="rect">
                      <a:avLst/>
                    </a:prstGeom>
                  </pic:spPr>
                </pic:pic>
              </a:graphicData>
            </a:graphic>
          </wp:inline>
        </w:drawing>
      </w:r>
      <w:r>
        <w:rPr>
          <w:color w:val="auto"/>
          <w:sz w:val="24"/>
        </w:rPr>
        <mc:AlternateContent>
          <mc:Choice Requires="wps">
            <w:drawing>
              <wp:anchor distT="0" distB="0" distL="114300" distR="114300" simplePos="0" relativeHeight="252474368" behindDoc="0" locked="0" layoutInCell="1" allowOverlap="1">
                <wp:simplePos x="0" y="0"/>
                <wp:positionH relativeFrom="column">
                  <wp:posOffset>3245485</wp:posOffset>
                </wp:positionH>
                <wp:positionV relativeFrom="paragraph">
                  <wp:posOffset>2327275</wp:posOffset>
                </wp:positionV>
                <wp:extent cx="1181100" cy="666750"/>
                <wp:effectExtent l="12700" t="12700" r="25400" b="120650"/>
                <wp:wrapNone/>
                <wp:docPr id="227" name=" 227"/>
                <wp:cNvGraphicFramePr/>
                <a:graphic xmlns:a="http://schemas.openxmlformats.org/drawingml/2006/main">
                  <a:graphicData uri="http://schemas.microsoft.com/office/word/2010/wordprocessingShape">
                    <wps:wsp>
                      <wps:cNvSpPr/>
                      <wps:spPr>
                        <a:xfrm>
                          <a:off x="3999230" y="3778885"/>
                          <a:ext cx="1181100" cy="666750"/>
                        </a:xfrm>
                        <a:prstGeom prst="wedgeEllipseCallout">
                          <a:avLst>
                            <a:gd name="adj1" fmla="val -25046"/>
                            <a:gd name="adj2" fmla="val 656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anchor="ctr"/>
                    </wps:wsp>
                  </a:graphicData>
                </a:graphic>
              </wp:anchor>
            </w:drawing>
          </mc:Choice>
          <mc:Fallback>
            <w:pict>
              <v:shape id=" 227" o:spid="_x0000_s1026" o:spt="63" type="#_x0000_t63" style="position:absolute;left:0pt;margin-left:255.55pt;margin-top:183.25pt;height:52.5pt;width:93pt;z-index:252474368;v-text-anchor:middle;mso-width-relative:page;mso-height-relative:page;" filled="f" stroked="t" coordsize="21600,21600" o:gfxdata="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fV1QbZAAAACwEAAA8AAAAAAAAAAQAgAAAAIgAAAGRycy9kb3ducmV2LnhtbFBLAQIUABQA&#10;AAAIAIdO4kD34DKK7wEAAMwDAAAOAAAAAAAAAAEAIAAAACgBAABkcnMvZTJvRG9jLnhtbFBLBQYA&#10;AAAABgAGAFkBAACJBQAAAAA=&#10;" adj="5390,24991">
                <v:fill on="f" focussize="0,0"/>
                <v:stroke weight="2pt" color="#000000 [3213]" joinstyle="round"/>
                <v:imagedata o:title=""/>
                <o:lock v:ext="edit" aspectratio="f"/>
                <v:textbox>
                  <w:txbxContent>
                    <w:p>
                      <w:pPr>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sz w:val="24"/>
        </w:rPr>
        <mc:AlternateContent>
          <mc:Choice Requires="wps">
            <w:drawing>
              <wp:anchor distT="0" distB="0" distL="114300" distR="114300" simplePos="0" relativeHeight="1863353344" behindDoc="0" locked="0" layoutInCell="1" allowOverlap="1">
                <wp:simplePos x="0" y="0"/>
                <wp:positionH relativeFrom="column">
                  <wp:posOffset>3466465</wp:posOffset>
                </wp:positionH>
                <wp:positionV relativeFrom="paragraph">
                  <wp:posOffset>3093720</wp:posOffset>
                </wp:positionV>
                <wp:extent cx="75565" cy="75565"/>
                <wp:effectExtent l="12700" t="12700" r="26035" b="45085"/>
                <wp:wrapNone/>
                <wp:docPr id="4" name="泪滴形 4"/>
                <wp:cNvGraphicFramePr/>
                <a:graphic xmlns:a="http://schemas.openxmlformats.org/drawingml/2006/main">
                  <a:graphicData uri="http://schemas.microsoft.com/office/word/2010/wordprocessingShape">
                    <wps:wsp>
                      <wps:cNvSpPr/>
                      <wps:spPr>
                        <a:xfrm rot="7620000">
                          <a:off x="3261360" y="4574540"/>
                          <a:ext cx="75565" cy="75565"/>
                        </a:xfrm>
                        <a:prstGeom prst="teardrop">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2.95pt;margin-top:243.6pt;height:5.95pt;width:5.95pt;rotation:8323072f;z-index:1863353344;v-text-anchor:middle;mso-width-relative:page;mso-height-relative:page;" fillcolor="#FF0000" filled="t" stroked="t" coordsize="75565,75565" o:gfxdata="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bFFWtsAAAALAQAADwAAAAAAAAABACAAAAAiAAAAZHJzL2Rvd25yZXYueG1sUEsBAhQAFAAAAAgA&#10;h07iQA7ufphbAgAArQQAAA4AAAAAAAAAAQAgAAAAKgEAAGRycy9lMm9Eb2MueG1sUEsFBgAAAAAG&#10;AAYAWQEAAPcFAAAAAA==&#10;" path="m0,37782c0,16916,16916,0,37782,0c50376,0,62970,0,75565,0c75565,12594,75565,25188,75565,37782c75565,58648,58649,75564,37783,75564c16917,75564,1,58648,1,37782xe">
                <v:path o:connectlocs="75565,37782;64498,64498;37782,75565;11066,64498;0,37782;11066,11066;37782,0;75565,0" o:connectangles="0,82,82,82,164,247,247,247"/>
                <v:fill on="t" focussize="0,0"/>
                <v:stroke weight="2pt" color="#FF0000 [3204]" joinstyle="round"/>
                <v:imagedata o:title=""/>
                <o:lock v:ext="edit" aspectratio="f"/>
              </v:shape>
            </w:pict>
          </mc:Fallback>
        </mc:AlternateContent>
      </w:r>
    </w:p>
    <w:p>
      <w:pPr>
        <w:pStyle w:val="2"/>
        <w:ind w:firstLine="480"/>
        <w:jc w:val="center"/>
        <w:rPr>
          <w:rFonts w:hint="eastAsia"/>
          <w:color w:val="auto"/>
        </w:rPr>
      </w:pPr>
      <w:r>
        <w:rPr>
          <w:rFonts w:hint="eastAsia"/>
          <w:color w:val="auto"/>
        </w:rPr>
        <w:t>图2-1</w:t>
      </w:r>
      <w:r>
        <w:rPr>
          <w:rFonts w:hint="eastAsia"/>
          <w:color w:val="auto"/>
          <w:lang w:val="en-US" w:eastAsia="zh-CN"/>
        </w:rPr>
        <w:t xml:space="preserve"> </w:t>
      </w:r>
      <w:r>
        <w:rPr>
          <w:rFonts w:hint="eastAsia"/>
          <w:color w:val="auto"/>
        </w:rPr>
        <w:t>地理位置</w:t>
      </w:r>
      <w:bookmarkEnd w:id="37"/>
    </w:p>
    <w:p>
      <w:pPr>
        <w:spacing w:before="80" w:beforeLines="25" w:after="80" w:afterLines="25" w:line="500" w:lineRule="exact"/>
        <w:rPr>
          <w:rFonts w:hint="eastAsia" w:ascii="宋体" w:hAnsi="宋体" w:eastAsia="宋体" w:cs="宋体"/>
          <w:b/>
          <w:bCs/>
          <w:color w:val="auto"/>
          <w:sz w:val="24"/>
        </w:rPr>
      </w:pPr>
      <w:r>
        <w:rPr>
          <w:rFonts w:hint="eastAsia" w:ascii="宋体" w:hAnsi="宋体" w:eastAsia="宋体" w:cs="宋体"/>
          <w:b/>
          <w:bCs/>
          <w:color w:val="auto"/>
          <w:sz w:val="24"/>
        </w:rPr>
        <w:t>2.1.2 厂区平面布置</w:t>
      </w:r>
    </w:p>
    <w:p>
      <w:pPr>
        <w:adjustRightInd w:val="0"/>
        <w:spacing w:line="360" w:lineRule="auto"/>
        <w:ind w:firstLine="480"/>
        <w:rPr>
          <w:rFonts w:hint="eastAsia" w:ascii="宋体" w:hAnsi="宋体" w:cs="宋体"/>
          <w:sz w:val="24"/>
          <w:lang w:val="zh-CN"/>
        </w:rPr>
      </w:pPr>
      <w:r>
        <w:rPr>
          <w:rFonts w:ascii="Times New Roman" w:hAnsi="Times New Roman"/>
          <w:sz w:val="24"/>
        </w:rPr>
        <w:t>项目位于</w:t>
      </w:r>
      <w:r>
        <w:rPr>
          <w:rFonts w:hint="eastAsia" w:ascii="Times New Roman" w:hAnsi="Times New Roman" w:cs="Times New Roman"/>
          <w:color w:val="auto"/>
          <w:spacing w:val="-2"/>
          <w:sz w:val="24"/>
          <w:szCs w:val="24"/>
          <w:lang w:eastAsia="zh-CN"/>
        </w:rPr>
        <w:t>张店区东部化工区</w:t>
      </w:r>
      <w:r>
        <w:rPr>
          <w:rFonts w:hint="eastAsia" w:ascii="Times New Roman" w:hAnsi="Times New Roman" w:cs="Times New Roman"/>
          <w:sz w:val="24"/>
          <w:szCs w:val="24"/>
          <w:lang w:val="en-US" w:eastAsia="zh-CN"/>
        </w:rPr>
        <w:t>山东民基新材料科技有限公司</w:t>
      </w:r>
      <w:r>
        <w:rPr>
          <w:rFonts w:hint="eastAsia" w:ascii="Times New Roman" w:hAnsi="Times New Roman" w:cs="Times New Roman"/>
          <w:color w:val="auto"/>
          <w:spacing w:val="-2"/>
          <w:sz w:val="24"/>
          <w:szCs w:val="24"/>
          <w:lang w:eastAsia="zh-CN"/>
        </w:rPr>
        <w:t>厂区</w:t>
      </w:r>
      <w:r>
        <w:rPr>
          <w:rFonts w:hint="eastAsia" w:cs="Times New Roman"/>
          <w:color w:val="auto"/>
          <w:spacing w:val="-2"/>
          <w:sz w:val="24"/>
          <w:szCs w:val="24"/>
          <w:lang w:eastAsia="zh-CN"/>
        </w:rPr>
        <w:t>东侧</w:t>
      </w:r>
      <w:r>
        <w:rPr>
          <w:rFonts w:hint="eastAsia" w:ascii="Times New Roman" w:hAnsi="Times New Roman" w:cs="Times New Roman"/>
          <w:color w:val="auto"/>
          <w:spacing w:val="-2"/>
          <w:sz w:val="24"/>
          <w:szCs w:val="24"/>
          <w:lang w:eastAsia="zh-CN"/>
        </w:rPr>
        <w:t>预留用地</w:t>
      </w:r>
      <w:r>
        <w:rPr>
          <w:rFonts w:hint="eastAsia" w:ascii="Times New Roman" w:hAnsi="Times New Roman" w:cs="Times New Roman"/>
          <w:color w:val="000000" w:themeColor="text1"/>
          <w:spacing w:val="-2"/>
          <w:sz w:val="24"/>
          <w:szCs w:val="24"/>
          <w:lang w:eastAsia="zh-CN"/>
          <w14:textFill>
            <w14:solidFill>
              <w14:schemeClr w14:val="tx1"/>
            </w14:solidFill>
          </w14:textFill>
        </w:rPr>
        <w:t>上</w:t>
      </w:r>
      <w:r>
        <w:rPr>
          <w:rFonts w:hint="eastAsia" w:cs="Times New Roman"/>
          <w:color w:val="000000" w:themeColor="text1"/>
          <w:spacing w:val="-2"/>
          <w:sz w:val="24"/>
          <w:szCs w:val="24"/>
          <w:lang w:eastAsia="zh-CN"/>
          <w14:textFill>
            <w14:solidFill>
              <w14:schemeClr w14:val="tx1"/>
            </w14:solidFill>
          </w14:textFill>
        </w:rPr>
        <w:t>。</w:t>
      </w:r>
      <w:r>
        <w:rPr>
          <w:rFonts w:hint="eastAsia" w:ascii="宋体" w:hAnsi="宋体" w:cs="宋体"/>
          <w:sz w:val="24"/>
          <w:lang w:val="zh-CN"/>
        </w:rPr>
        <w:t>靠近公辅工程区。便于公用工程的供应，方便物料的输入和输出，即可接受厂外输入原料，又可将产品供应民基化工。紧邻氯乙酸车间，物料输送距离短，便于节能降耗，减少物料流失，提高生产效率。装置区采取集中式布置，减少了土地的占用及运输的距离，缩短厂区内运输距离。</w:t>
      </w:r>
    </w:p>
    <w:p>
      <w:pPr>
        <w:adjustRightInd w:val="0"/>
        <w:spacing w:line="360" w:lineRule="auto"/>
        <w:ind w:firstLine="480"/>
        <w:rPr>
          <w:rFonts w:hint="eastAsia" w:ascii="宋体" w:hAnsi="宋体" w:cs="宋体"/>
          <w:sz w:val="24"/>
          <w:lang w:val="zh-CN"/>
        </w:rPr>
      </w:pPr>
      <w:r>
        <w:rPr>
          <w:rFonts w:hint="eastAsia" w:ascii="宋体" w:hAnsi="宋体" w:cs="宋体"/>
          <w:sz w:val="24"/>
          <w:lang w:val="zh-CN"/>
        </w:rPr>
        <w:t>设有人流、物流2个出入口，这样实现人物分流，方便管理和生产，有利于人流、物流进出厂区，便于保护厂区内有序的生产环境。</w:t>
      </w:r>
    </w:p>
    <w:p>
      <w:pPr>
        <w:adjustRightInd w:val="0"/>
        <w:spacing w:line="360" w:lineRule="auto"/>
        <w:ind w:firstLine="480"/>
        <w:rPr>
          <w:rFonts w:hint="eastAsia"/>
          <w:lang w:val="zh-CN"/>
        </w:rPr>
      </w:pPr>
      <w:r>
        <w:rPr>
          <w:rFonts w:hint="eastAsia" w:ascii="宋体" w:hAnsi="宋体" w:cs="宋体"/>
          <w:sz w:val="24"/>
          <w:lang w:val="zh-CN"/>
        </w:rPr>
        <w:t>办公生活区按照民基新材料科技有限公司布置，位于整个厂区的南部，不处于生产装置区和储罐区常年主导风向的下风向；同时办公生活区距生产区有一定距离，并且中间有绿化带相隔，办公生活区受生产区各污染因素的影响较小，保证办公生活区安静、卫生、优美的环境。靠近民基新材料科技有限公司的事故水池，便于事故废水的导排。</w:t>
      </w:r>
      <w:r>
        <w:rPr>
          <w:rFonts w:hint="eastAsia" w:ascii="宋体" w:hAnsi="宋体" w:cs="宋体"/>
          <w:sz w:val="24"/>
        </w:rPr>
        <w:t>民基化工厂区南高北低，废水可自流进入事故水池，事故水管线依托现有道路敷设，管径为DN400。</w:t>
      </w:r>
    </w:p>
    <w:p>
      <w:pPr>
        <w:pStyle w:val="95"/>
        <w:spacing w:line="360" w:lineRule="auto"/>
        <w:ind w:firstLine="480" w:firstLineChars="200"/>
        <w:rPr>
          <w:rFonts w:hint="eastAsia" w:ascii="Times New Roman" w:hAnsi="Times New Roman" w:eastAsia="宋体"/>
          <w:color w:val="000000" w:themeColor="text1"/>
          <w:sz w:val="24"/>
          <w:vertAlign w:val="superscript"/>
          <w:lang w:eastAsia="zh-CN"/>
          <w14:textFill>
            <w14:solidFill>
              <w14:schemeClr w14:val="tx1"/>
            </w14:solidFill>
          </w14:textFill>
        </w:rPr>
      </w:pPr>
      <w:r>
        <w:rPr>
          <w:rFonts w:hint="eastAsia" w:ascii="宋体" w:hAnsi="宋体" w:cs="宋体"/>
          <w:kern w:val="0"/>
          <w:sz w:val="24"/>
        </w:rPr>
        <w:t>平面布置包括硫磺制酸转化工段、干吸工段、罐区、脱盐水装置、循环水装置、污水处理装置。其中主装置（包括转化工段、干吸工段）布置在民基</w:t>
      </w:r>
      <w:r>
        <w:rPr>
          <w:rFonts w:hint="eastAsia" w:ascii="宋体" w:hAnsi="宋体" w:cs="宋体"/>
          <w:kern w:val="0"/>
          <w:sz w:val="24"/>
          <w:lang w:eastAsia="zh-CN"/>
        </w:rPr>
        <w:t>新材料科技有限公司</w:t>
      </w:r>
      <w:r>
        <w:rPr>
          <w:rFonts w:hint="eastAsia" w:ascii="宋体" w:hAnsi="宋体" w:cs="宋体"/>
          <w:kern w:val="0"/>
          <w:sz w:val="24"/>
        </w:rPr>
        <w:t>控制分析楼的东侧。主装置、余热回收等布置在西侧，罐区布置在东侧。东边道路的东侧布置循环水装置。脱盐水装置在民基</w:t>
      </w:r>
      <w:r>
        <w:rPr>
          <w:rFonts w:hint="eastAsia" w:ascii="宋体" w:hAnsi="宋体" w:cs="宋体"/>
          <w:kern w:val="0"/>
          <w:sz w:val="24"/>
          <w:lang w:eastAsia="zh-CN"/>
        </w:rPr>
        <w:t>新材料科技有限公司</w:t>
      </w:r>
      <w:r>
        <w:rPr>
          <w:rFonts w:hint="eastAsia" w:ascii="宋体" w:hAnsi="宋体" w:cs="宋体"/>
          <w:kern w:val="0"/>
          <w:sz w:val="24"/>
        </w:rPr>
        <w:t>西侧公用工程站内。</w:t>
      </w:r>
    </w:p>
    <w:p>
      <w:pPr>
        <w:pStyle w:val="95"/>
        <w:spacing w:line="360" w:lineRule="auto"/>
        <w:ind w:firstLine="480" w:firstLineChars="200"/>
        <w:rPr>
          <w:rFonts w:ascii="Times New Roman" w:hAnsi="Times New Roman"/>
          <w:sz w:val="24"/>
        </w:rPr>
      </w:pPr>
      <w:r>
        <w:rPr>
          <w:rFonts w:ascii="Times New Roman" w:hAnsi="Times New Roman"/>
          <w:sz w:val="24"/>
        </w:rPr>
        <w:t>本项目</w:t>
      </w:r>
      <w:r>
        <w:rPr>
          <w:rFonts w:hint="eastAsia" w:ascii="宋体" w:hAnsi="宋体" w:cs="宋体"/>
          <w:sz w:val="24"/>
          <w:lang w:val="zh-CN"/>
        </w:rPr>
        <w:t>总平面能够布置做到功能区明确、工艺管线短捷、物流顺畅、布局紧凑合理、节约用地；从工艺、节约用地和对外环境影响来看，从环保角度讲，厂区的总平面布置基本合理。综上所述，迁建项目厂区平面布置较为合理。</w:t>
      </w:r>
    </w:p>
    <w:p>
      <w:pPr>
        <w:pStyle w:val="2"/>
        <w:ind w:left="0" w:leftChars="0" w:firstLine="0" w:firstLineChars="0"/>
        <w:rPr>
          <w:color w:val="auto"/>
        </w:rPr>
      </w:pPr>
      <w:r>
        <w:rPr>
          <w:rFonts w:hint="eastAsia" w:hAnsi="宋体"/>
          <w:bCs/>
          <w:color w:val="auto"/>
        </w:rPr>
        <w:t>总平面布置图</w:t>
      </w:r>
      <w:r>
        <w:rPr>
          <w:bCs/>
          <w:color w:val="auto"/>
          <w:sz w:val="24"/>
          <w:highlight w:val="none"/>
        </w:rPr>
        <w:t>见图</w:t>
      </w:r>
      <w:r>
        <w:rPr>
          <w:rFonts w:hint="eastAsia"/>
          <w:bCs/>
          <w:color w:val="auto"/>
          <w:sz w:val="24"/>
          <w:highlight w:val="none"/>
        </w:rPr>
        <w:t>2</w:t>
      </w:r>
      <w:r>
        <w:rPr>
          <w:bCs/>
          <w:color w:val="auto"/>
          <w:sz w:val="24"/>
          <w:highlight w:val="none"/>
        </w:rPr>
        <w:t>-</w:t>
      </w:r>
      <w:r>
        <w:rPr>
          <w:rFonts w:hint="eastAsia"/>
          <w:bCs/>
          <w:color w:val="auto"/>
          <w:sz w:val="24"/>
          <w:highlight w:val="none"/>
          <w:lang w:val="en-US" w:eastAsia="zh-CN"/>
        </w:rPr>
        <w:t>2</w:t>
      </w:r>
    </w:p>
    <w:p>
      <w:pPr>
        <w:pStyle w:val="2"/>
        <w:ind w:left="0" w:leftChars="0" w:firstLine="0" w:firstLineChars="0"/>
        <w:rPr>
          <w:rFonts w:hint="eastAsia" w:eastAsia="宋体"/>
          <w:b/>
          <w:bCs/>
          <w:color w:val="auto"/>
          <w:lang w:eastAsia="zh-CN"/>
        </w:rPr>
      </w:pPr>
      <w:bookmarkStart w:id="38" w:name="OLE_LINK5"/>
      <w:r>
        <w:rPr>
          <w:color w:val="auto"/>
        </w:rPr>
        <w:drawing>
          <wp:inline distT="0" distB="0" distL="114300" distR="114300">
            <wp:extent cx="5819775" cy="41878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t="3167" b="1461"/>
                    <a:stretch>
                      <a:fillRect/>
                    </a:stretch>
                  </pic:blipFill>
                  <pic:spPr>
                    <a:xfrm>
                      <a:off x="0" y="0"/>
                      <a:ext cx="5819775" cy="4187825"/>
                    </a:xfrm>
                    <a:prstGeom prst="rect">
                      <a:avLst/>
                    </a:prstGeom>
                    <a:noFill/>
                    <a:ln>
                      <a:noFill/>
                    </a:ln>
                  </pic:spPr>
                </pic:pic>
              </a:graphicData>
            </a:graphic>
          </wp:inline>
        </w:drawing>
      </w:r>
    </w:p>
    <w:p>
      <w:pPr>
        <w:pStyle w:val="2"/>
        <w:ind w:left="0" w:leftChars="0" w:firstLine="0" w:firstLineChars="0"/>
        <w:jc w:val="center"/>
        <w:rPr>
          <w:color w:val="auto"/>
        </w:rPr>
      </w:pPr>
      <w:r>
        <w:rPr>
          <w:rFonts w:hint="eastAsia" w:hAnsi="宋体"/>
          <w:bCs/>
          <w:color w:val="auto"/>
          <w:lang w:val="en-US" w:eastAsia="zh-CN"/>
        </w:rPr>
        <w:t xml:space="preserve">图2-2 </w:t>
      </w:r>
      <w:r>
        <w:rPr>
          <w:rFonts w:hint="eastAsia" w:hAnsi="宋体"/>
          <w:bCs/>
          <w:color w:val="auto"/>
        </w:rPr>
        <w:t>总平面布置图</w:t>
      </w:r>
    </w:p>
    <w:p>
      <w:pPr>
        <w:pStyle w:val="2"/>
        <w:ind w:left="0" w:leftChars="0" w:firstLine="0" w:firstLineChars="0"/>
        <w:rPr>
          <w:rFonts w:hint="eastAsia"/>
          <w:b/>
          <w:bCs/>
        </w:rPr>
      </w:pPr>
      <w:r>
        <w:rPr>
          <w:b/>
          <w:bCs/>
          <w:sz w:val="21"/>
        </w:rPr>
        <mc:AlternateContent>
          <mc:Choice Requires="wps">
            <w:drawing>
              <wp:anchor distT="0" distB="0" distL="114300" distR="114300" simplePos="0" relativeHeight="252454912" behindDoc="0" locked="0" layoutInCell="1" allowOverlap="1">
                <wp:simplePos x="0" y="0"/>
                <wp:positionH relativeFrom="column">
                  <wp:posOffset>1302385</wp:posOffset>
                </wp:positionH>
                <wp:positionV relativeFrom="paragraph">
                  <wp:posOffset>106045</wp:posOffset>
                </wp:positionV>
                <wp:extent cx="76200" cy="156845"/>
                <wp:effectExtent l="0" t="0" r="0" b="0"/>
                <wp:wrapNone/>
                <wp:docPr id="68" name="文本框 68"/>
                <wp:cNvGraphicFramePr/>
                <a:graphic xmlns:a="http://schemas.openxmlformats.org/drawingml/2006/main">
                  <a:graphicData uri="http://schemas.microsoft.com/office/word/2010/wordprocessingShape">
                    <wps:wsp>
                      <wps:cNvSpPr txBox="1"/>
                      <wps:spPr>
                        <a:xfrm flipH="1">
                          <a:off x="0" y="0"/>
                          <a:ext cx="76200"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eastAsiaTheme="min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02.55pt;margin-top:8.35pt;height:12.35pt;width:6pt;z-index:252454912;mso-width-relative:page;mso-height-relative:page;" filled="f" stroked="f" coordsize="21600,21600" o:gfxdata="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9kk9&#10;1QAAAAkBAAAPAAAAAAAAAAEAIAAAACIAAABkcnMvZG93bnJldi54bWxQSwECFAAUAAAACACHTuJA&#10;VV0vNSQCAAAiBAAADgAAAAAAAAABACAAAAAkAQAAZHJzL2Uyb0RvYy54bWxQSwUGAAAAAAYABgBZ&#10;AQAAugUAAAAA&#10;">
                <v:fill on="f" focussize="0,0"/>
                <v:stroke on="f" weight="0.5pt"/>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eastAsiaTheme="minorEastAsia"/>
                          <w:sz w:val="24"/>
                          <w:szCs w:val="24"/>
                          <w:lang w:val="en-US" w:eastAsia="zh-CN"/>
                        </w:rPr>
                      </w:pPr>
                    </w:p>
                  </w:txbxContent>
                </v:textbox>
              </v:shape>
            </w:pict>
          </mc:Fallback>
        </mc:AlternateContent>
      </w:r>
      <w:bookmarkEnd w:id="38"/>
      <w:bookmarkStart w:id="39" w:name="_Toc19144_WPSOffice_Level2"/>
      <w:bookmarkStart w:id="40" w:name="_Toc1961"/>
      <w:r>
        <w:rPr>
          <w:rFonts w:hint="eastAsia"/>
          <w:b/>
          <w:bCs/>
        </w:rPr>
        <w:t>2.2 环境保护敏感目标情况</w:t>
      </w:r>
      <w:bookmarkEnd w:id="39"/>
      <w:bookmarkEnd w:id="40"/>
      <w:bookmarkStart w:id="41" w:name="_Toc11169_WPSOffice_Level2"/>
      <w:bookmarkStart w:id="42" w:name="_Toc16122"/>
    </w:p>
    <w:p>
      <w:pPr>
        <w:pStyle w:val="2"/>
        <w:ind w:left="0" w:leftChars="0" w:firstLine="480" w:firstLineChars="200"/>
        <w:rPr>
          <w:color w:val="auto"/>
          <w:sz w:val="24"/>
        </w:rPr>
      </w:pPr>
      <w:r>
        <w:rPr>
          <w:rFonts w:hint="eastAsia"/>
          <w:sz w:val="24"/>
          <w:lang w:eastAsia="zh-CN"/>
        </w:rPr>
        <w:t>环评报告书</w:t>
      </w:r>
      <w:r>
        <w:rPr>
          <w:rFonts w:hint="eastAsia"/>
          <w:sz w:val="24"/>
        </w:rPr>
        <w:t>确定的</w:t>
      </w:r>
      <w:r>
        <w:rPr>
          <w:rFonts w:hint="eastAsia"/>
          <w:color w:val="auto"/>
          <w:sz w:val="24"/>
        </w:rPr>
        <w:t>项目不涉及环境保护目标搬迁问题。</w:t>
      </w:r>
    </w:p>
    <w:p>
      <w:pPr>
        <w:spacing w:line="460" w:lineRule="exact"/>
        <w:ind w:firstLine="480" w:firstLineChars="200"/>
        <w:rPr>
          <w:rFonts w:hint="eastAsia" w:eastAsia="宋体"/>
          <w:sz w:val="24"/>
          <w:szCs w:val="24"/>
          <w:lang w:eastAsia="zh-CN"/>
        </w:rPr>
      </w:pPr>
      <w:r>
        <w:rPr>
          <w:rFonts w:hint="eastAsia"/>
          <w:color w:val="auto"/>
          <w:sz w:val="24"/>
        </w:rPr>
        <w:t>项目</w:t>
      </w:r>
      <w:r>
        <w:rPr>
          <w:rFonts w:hint="eastAsia" w:hAnsi="宋体"/>
          <w:sz w:val="24"/>
          <w:szCs w:val="24"/>
        </w:rPr>
        <w:t>卫生防护距离为厂界外300m</w:t>
      </w:r>
      <w:r>
        <w:rPr>
          <w:rFonts w:hint="eastAsia"/>
          <w:sz w:val="24"/>
          <w:szCs w:val="24"/>
        </w:rPr>
        <w:t>。</w:t>
      </w:r>
      <w:r>
        <w:rPr>
          <w:rFonts w:hint="eastAsia"/>
          <w:color w:val="auto"/>
          <w:sz w:val="24"/>
          <w:szCs w:val="24"/>
        </w:rPr>
        <w:t>距离厂区</w:t>
      </w:r>
      <w:r>
        <w:rPr>
          <w:color w:val="auto"/>
          <w:sz w:val="24"/>
          <w:szCs w:val="24"/>
        </w:rPr>
        <w:t>最近的敏感</w:t>
      </w:r>
      <w:r>
        <w:rPr>
          <w:rFonts w:hint="eastAsia"/>
          <w:color w:val="auto"/>
          <w:sz w:val="24"/>
          <w:szCs w:val="24"/>
          <w:lang w:eastAsia="zh-CN"/>
        </w:rPr>
        <w:t>点</w:t>
      </w:r>
      <w:r>
        <w:rPr>
          <w:color w:val="auto"/>
          <w:sz w:val="24"/>
          <w:szCs w:val="24"/>
        </w:rPr>
        <w:t>为约</w:t>
      </w:r>
      <w:r>
        <w:rPr>
          <w:rFonts w:hint="eastAsia"/>
          <w:color w:val="auto"/>
          <w:sz w:val="24"/>
          <w:szCs w:val="24"/>
        </w:rPr>
        <w:t>2</w:t>
      </w:r>
      <w:r>
        <w:rPr>
          <w:rFonts w:hint="eastAsia"/>
          <w:color w:val="auto"/>
          <w:sz w:val="24"/>
          <w:szCs w:val="24"/>
          <w:lang w:val="en-US" w:eastAsia="zh-CN"/>
        </w:rPr>
        <w:t>500</w:t>
      </w:r>
      <w:r>
        <w:rPr>
          <w:color w:val="auto"/>
          <w:sz w:val="24"/>
          <w:szCs w:val="24"/>
        </w:rPr>
        <w:t>米处的</w:t>
      </w:r>
      <w:r>
        <w:rPr>
          <w:rFonts w:hint="eastAsia"/>
          <w:color w:val="auto"/>
          <w:sz w:val="24"/>
          <w:szCs w:val="24"/>
        </w:rPr>
        <w:t>沣水镇炒米村</w:t>
      </w:r>
      <w:r>
        <w:rPr>
          <w:color w:val="auto"/>
          <w:sz w:val="24"/>
          <w:szCs w:val="24"/>
        </w:rPr>
        <w:t>，</w:t>
      </w:r>
      <w:r>
        <w:rPr>
          <w:rFonts w:hint="eastAsia"/>
          <w:color w:val="auto"/>
          <w:sz w:val="24"/>
          <w:szCs w:val="24"/>
        </w:rPr>
        <w:t>满足卫生防护距离要求</w:t>
      </w:r>
      <w:r>
        <w:rPr>
          <w:rFonts w:hint="eastAsia" w:hAnsi="宋体"/>
          <w:color w:val="auto"/>
          <w:sz w:val="24"/>
          <w:szCs w:val="24"/>
        </w:rPr>
        <w:t>。</w:t>
      </w:r>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rPr>
      </w:pPr>
      <w:r>
        <w:rPr>
          <w:rFonts w:hint="eastAsia"/>
        </w:rPr>
        <w:t>2.3 项目工程概况</w:t>
      </w:r>
      <w:bookmarkEnd w:id="41"/>
      <w:bookmarkEnd w:id="42"/>
    </w:p>
    <w:p>
      <w:pPr>
        <w:spacing w:line="360" w:lineRule="auto"/>
        <w:ind w:firstLine="480" w:firstLineChars="200"/>
        <w:rPr>
          <w:rFonts w:hint="default" w:ascii="Times New Roman" w:hAnsi="Times New Roman" w:cs="Times New Roman"/>
          <w:color w:val="000000" w:themeColor="text1"/>
          <w:spacing w:val="-2"/>
          <w:kern w:val="2"/>
          <w:sz w:val="24"/>
          <w:szCs w:val="24"/>
          <w:lang w:val="en-US" w:eastAsia="zh-CN" w:bidi="ar-SA"/>
          <w14:textFill>
            <w14:solidFill>
              <w14:schemeClr w14:val="tx1"/>
            </w14:solidFill>
          </w14:textFill>
        </w:rPr>
      </w:pPr>
      <w:r>
        <w:rPr>
          <w:rFonts w:hint="default" w:ascii="Times New Roman" w:hAnsi="Times New Roman" w:eastAsia="黑体" w:cs="Times New Roman"/>
          <w:sz w:val="24"/>
          <w:szCs w:val="24"/>
        </w:rPr>
        <w:t>（</w:t>
      </w:r>
      <w:r>
        <w:rPr>
          <w:rFonts w:hint="default" w:ascii="Times New Roman" w:hAnsi="Times New Roman" w:cs="Times New Roman" w:eastAsiaTheme="minorEastAsia"/>
          <w:sz w:val="24"/>
          <w:szCs w:val="24"/>
        </w:rPr>
        <w:t>1）项目名称</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default" w:ascii="Times New Roman" w:hAnsi="Times New Roman" w:cs="Times New Roman"/>
          <w:color w:val="000000" w:themeColor="text1"/>
          <w:spacing w:val="-2"/>
          <w:kern w:val="2"/>
          <w:sz w:val="24"/>
          <w:szCs w:val="24"/>
          <w:lang w:val="en-US" w:eastAsia="zh-CN" w:bidi="ar-SA"/>
          <w14:textFill>
            <w14:solidFill>
              <w14:schemeClr w14:val="tx1"/>
            </w14:solidFill>
          </w14:textFill>
        </w:rPr>
        <w:t>30万t/a硫磺制酸搬迁改造项目。</w:t>
      </w:r>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（2）建设性质</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新建。</w:t>
      </w:r>
    </w:p>
    <w:p>
      <w:pPr>
        <w:spacing w:before="62" w:beforeLines="20" w:after="62" w:afterLines="20" w:line="360" w:lineRule="auto"/>
        <w:ind w:left="2" w:leftChars="1" w:firstLine="470" w:firstLineChars="196"/>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（3）建设地点：</w:t>
      </w:r>
      <w:r>
        <w:rPr>
          <w:rFonts w:hint="default" w:ascii="Times New Roman" w:hAnsi="Times New Roman" w:cs="Times New Roman" w:eastAsiaTheme="minorEastAsia"/>
          <w:color w:val="000000" w:themeColor="text1"/>
          <w:spacing w:val="-2"/>
          <w:sz w:val="24"/>
          <w:szCs w:val="24"/>
          <w:lang w:eastAsia="zh-CN"/>
          <w14:textFill>
            <w14:solidFill>
              <w14:schemeClr w14:val="tx1"/>
            </w14:solidFill>
          </w14:textFill>
        </w:rPr>
        <w:t>张店区东部化工区</w:t>
      </w: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eastAsiaTheme="minorEastAsia"/>
          <w:color w:val="000000" w:themeColor="text1"/>
          <w:spacing w:val="-2"/>
          <w:sz w:val="24"/>
          <w:szCs w:val="24"/>
          <w:lang w:eastAsia="zh-CN"/>
          <w14:textFill>
            <w14:solidFill>
              <w14:schemeClr w14:val="tx1"/>
            </w14:solidFill>
          </w14:textFill>
        </w:rPr>
        <w:t>厂区内东侧预留用地上。</w:t>
      </w:r>
    </w:p>
    <w:p>
      <w:pPr>
        <w:spacing w:before="62" w:beforeLines="20" w:after="62" w:afterLines="20" w:line="360" w:lineRule="auto"/>
        <w:ind w:left="2" w:leftChars="1" w:firstLine="470" w:firstLineChars="196"/>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（4）建设内容：</w:t>
      </w:r>
      <w:r>
        <w:rPr>
          <w:rFonts w:hint="default" w:ascii="Times New Roman" w:hAnsi="Times New Roman" w:cs="Times New Roman" w:eastAsiaTheme="minorEastAsia"/>
          <w:color w:val="000000" w:themeColor="text1"/>
          <w:sz w:val="24"/>
          <w:szCs w:val="24"/>
          <w14:textFill>
            <w14:solidFill>
              <w14:schemeClr w14:val="tx1"/>
            </w14:solidFill>
          </w14:textFill>
        </w:rPr>
        <w:t>主体工程为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14:textFill>
            <w14:solidFill>
              <w14:schemeClr w14:val="tx1"/>
            </w14:solidFill>
          </w14:textFill>
        </w:rPr>
        <w:t>车间，辅助工程</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、公用工程、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储运工程、环保工程</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widowControl/>
        <w:adjustRightInd w:val="0"/>
        <w:spacing w:line="360" w:lineRule="auto"/>
        <w:ind w:left="13" w:leftChars="6" w:firstLine="480" w:firstLineChars="200"/>
        <w:rPr>
          <w:rFonts w:hint="default" w:ascii="Times New Roman" w:hAnsi="Times New Roman" w:eastAsia="宋体" w:cs="Times New Roman"/>
          <w:sz w:val="24"/>
          <w:lang w:eastAsia="zh-CN"/>
        </w:rPr>
      </w:pPr>
      <w:r>
        <w:rPr>
          <w:rFonts w:hint="default" w:ascii="Times New Roman" w:hAnsi="Times New Roman" w:cs="Times New Roman" w:eastAsiaTheme="minorEastAsia"/>
          <w:sz w:val="24"/>
          <w:szCs w:val="24"/>
        </w:rPr>
        <w:t>（5）建设规模：</w:t>
      </w:r>
      <w:r>
        <w:rPr>
          <w:rFonts w:hint="default" w:ascii="Times New Roman" w:hAnsi="Times New Roman" w:cs="Times New Roman"/>
          <w:sz w:val="24"/>
        </w:rPr>
        <w:t>年产硫酸30万吨</w:t>
      </w:r>
      <w:r>
        <w:rPr>
          <w:rFonts w:hint="default" w:ascii="Times New Roman" w:hAnsi="Times New Roman" w:cs="Times New Roman"/>
          <w:sz w:val="24"/>
          <w:lang w:eastAsia="zh-CN"/>
        </w:rPr>
        <w:t>。</w:t>
      </w:r>
    </w:p>
    <w:p>
      <w:pPr>
        <w:spacing w:before="62" w:beforeLines="20" w:after="62" w:afterLines="20" w:line="360" w:lineRule="auto"/>
        <w:ind w:firstLine="470" w:firstLineChars="196"/>
        <w:rPr>
          <w:rFonts w:hint="default" w:ascii="Times New Roman" w:hAnsi="Times New Roman" w:eastAsia="宋体" w:cs="Times New Roman"/>
          <w:color w:val="auto"/>
          <w:sz w:val="24"/>
          <w:szCs w:val="24"/>
          <w:vertAlign w:val="subscript"/>
          <w:lang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（6）</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占地</w:t>
      </w:r>
      <w:r>
        <w:rPr>
          <w:rFonts w:hint="default" w:ascii="Times New Roman" w:hAnsi="Times New Roman" w:cs="Times New Roman" w:eastAsiaTheme="minorEastAsia"/>
          <w:color w:val="000000" w:themeColor="text1"/>
          <w:sz w:val="24"/>
          <w:szCs w:val="24"/>
          <w14:textFill>
            <w14:solidFill>
              <w14:schemeClr w14:val="tx1"/>
            </w14:solidFill>
          </w14:textFill>
        </w:rPr>
        <w:t>面积</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lang w:val="en-US" w:eastAsia="zh-CN"/>
        </w:rPr>
        <w:t>14856m</w:t>
      </w:r>
      <w:r>
        <w:rPr>
          <w:rFonts w:hint="default" w:ascii="Times New Roman" w:hAnsi="Times New Roman" w:cs="Times New Roman"/>
          <w:color w:val="auto"/>
          <w:sz w:val="24"/>
          <w:vertAlign w:val="superscript"/>
        </w:rPr>
        <w:t>2</w:t>
      </w:r>
      <w:r>
        <w:rPr>
          <w:rFonts w:hint="default"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p>
    <w:p>
      <w:pPr>
        <w:spacing w:before="62" w:beforeLines="20" w:after="62" w:afterLines="20" w:line="360" w:lineRule="auto"/>
        <w:ind w:firstLine="470" w:firstLineChars="196"/>
        <w:rPr>
          <w:rFonts w:hint="default" w:ascii="Times New Roman" w:hAnsi="Times New Roman" w:cs="Times New Roman" w:eastAsiaTheme="minorEastAsia"/>
          <w:bCs/>
          <w:color w:val="000000" w:themeColor="text1"/>
          <w:sz w:val="24"/>
          <w:szCs w:val="24"/>
          <w:highlight w:val="red"/>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7）劳动定员</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：新增</w:t>
      </w:r>
      <w:r>
        <w:rPr>
          <w:rFonts w:hint="default" w:ascii="Times New Roman" w:hAnsi="Times New Roman" w:cs="Times New Roman" w:eastAsiaTheme="minorEastAsia"/>
          <w:bCs/>
          <w:color w:val="000000" w:themeColor="text1"/>
          <w:sz w:val="24"/>
          <w:szCs w:val="24"/>
          <w14:textFill>
            <w14:solidFill>
              <w14:schemeClr w14:val="tx1"/>
            </w14:solidFill>
          </w14:textFill>
        </w:rPr>
        <w:t>劳动定员</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48</w:t>
      </w:r>
      <w:r>
        <w:rPr>
          <w:rFonts w:hint="default" w:ascii="Times New Roman" w:hAnsi="Times New Roman" w:cs="Times New Roman" w:eastAsiaTheme="minorEastAsia"/>
          <w:bCs/>
          <w:color w:val="000000" w:themeColor="text1"/>
          <w:sz w:val="24"/>
          <w:szCs w:val="24"/>
          <w:highlight w:val="none"/>
          <w14:textFill>
            <w14:solidFill>
              <w14:schemeClr w14:val="tx1"/>
            </w14:solidFill>
          </w14:textFill>
        </w:rPr>
        <w:t>人</w:t>
      </w:r>
      <w:r>
        <w:rPr>
          <w:rFonts w:hint="default" w:ascii="Times New Roman" w:hAnsi="Times New Roman" w:cs="Times New Roman" w:eastAsiaTheme="minorEastAsia"/>
          <w:bCs/>
          <w:color w:val="000000" w:themeColor="text1"/>
          <w:sz w:val="24"/>
          <w:szCs w:val="24"/>
          <w:highlight w:val="none"/>
          <w:lang w:eastAsia="zh-CN"/>
          <w14:textFill>
            <w14:solidFill>
              <w14:schemeClr w14:val="tx1"/>
            </w14:solidFill>
          </w14:textFill>
        </w:rPr>
        <w:t>。</w:t>
      </w:r>
    </w:p>
    <w:p>
      <w:pPr>
        <w:tabs>
          <w:tab w:val="left" w:pos="3850"/>
        </w:tabs>
        <w:spacing w:before="62" w:beforeLines="20" w:after="62" w:afterLines="20" w:line="360" w:lineRule="auto"/>
        <w:ind w:firstLine="470" w:firstLineChars="196"/>
        <w:outlineLvl w:val="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43" w:name="_Toc15166"/>
      <w:bookmarkStart w:id="44" w:name="_Toc28999"/>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8）年操作时间</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全年工作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时间8000h</w:t>
      </w:r>
      <w:r>
        <w:rPr>
          <w:rFonts w:hint="default" w:ascii="Times New Roman" w:hAnsi="Times New Roman" w:cs="Times New Roman" w:eastAsiaTheme="minorEastAsia"/>
          <w:color w:val="000000" w:themeColor="text1"/>
          <w:sz w:val="24"/>
          <w:szCs w:val="24"/>
          <w14:textFill>
            <w14:solidFill>
              <w14:schemeClr w14:val="tx1"/>
            </w14:solidFill>
          </w14:textFill>
        </w:rPr>
        <w:t>，实行</w:t>
      </w:r>
      <w:r>
        <w:rPr>
          <w:rFonts w:hint="default" w:ascii="Times New Roman" w:hAnsi="Times New Roman" w:cs="Times New Roman"/>
          <w:sz w:val="24"/>
        </w:rPr>
        <w:t>四班三运转工作制</w:t>
      </w:r>
      <w:bookmarkEnd w:id="43"/>
      <w:bookmarkEnd w:id="44"/>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pPr>
        <w:spacing w:before="62" w:beforeLines="20" w:after="62" w:afterLines="20" w:line="360" w:lineRule="auto"/>
        <w:ind w:firstLine="470" w:firstLineChars="196"/>
        <w:outlineLvl w:val="0"/>
        <w:rPr>
          <w:rFonts w:hint="default" w:ascii="Times New Roman" w:hAnsi="Times New Roman" w:cs="Times New Roman" w:eastAsiaTheme="minorEastAsia"/>
          <w:color w:val="000000" w:themeColor="text1"/>
          <w:lang w:eastAsia="zh-CN"/>
          <w14:textFill>
            <w14:solidFill>
              <w14:schemeClr w14:val="tx1"/>
            </w14:solidFill>
          </w14:textFill>
        </w:rPr>
      </w:pPr>
      <w:bookmarkStart w:id="45" w:name="_Toc29509"/>
      <w:bookmarkStart w:id="46" w:name="_Toc14222"/>
      <w:r>
        <w:rPr>
          <w:rFonts w:hint="default" w:ascii="Times New Roman" w:hAnsi="Times New Roman" w:cs="Times New Roman" w:eastAsiaTheme="minorEastAsia"/>
          <w:sz w:val="24"/>
          <w:szCs w:val="24"/>
        </w:rPr>
        <w:t>（9）建设投资：实际总</w:t>
      </w:r>
      <w:r>
        <w:rPr>
          <w:rFonts w:hint="default" w:ascii="Times New Roman" w:hAnsi="Times New Roman" w:cs="Times New Roman" w:eastAsiaTheme="minorEastAsia"/>
          <w:sz w:val="24"/>
          <w:szCs w:val="24"/>
          <w:lang w:eastAsia="zh-CN"/>
        </w:rPr>
        <w:t>投资8249.42万元</w:t>
      </w:r>
      <w:r>
        <w:rPr>
          <w:rFonts w:hint="default" w:ascii="Times New Roman" w:hAnsi="Times New Roman" w:cs="Times New Roman" w:eastAsiaTheme="minorEastAsia"/>
          <w:color w:val="000000" w:themeColor="text1"/>
          <w:sz w:val="24"/>
          <w:szCs w:val="24"/>
          <w14:textFill>
            <w14:solidFill>
              <w14:schemeClr w14:val="tx1"/>
            </w14:solidFill>
          </w14:textFill>
        </w:rPr>
        <w:t>，其中</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环保投资350万元</w:t>
      </w:r>
      <w:r>
        <w:rPr>
          <w:rFonts w:hint="default" w:ascii="Times New Roman" w:hAnsi="Times New Roman" w:cs="Times New Roman" w:eastAsiaTheme="minorEastAsia"/>
          <w:color w:val="000000" w:themeColor="text1"/>
          <w:sz w:val="24"/>
          <w:szCs w:val="24"/>
          <w14:textFill>
            <w14:solidFill>
              <w14:schemeClr w14:val="tx1"/>
            </w14:solidFill>
          </w14:textFill>
        </w:rPr>
        <w:t>，占总投资</w:t>
      </w:r>
      <w:bookmarkEnd w:id="45"/>
      <w:bookmarkEnd w:id="46"/>
      <w:bookmarkStart w:id="47" w:name="_Toc6550_WPSOffice_Level2"/>
      <w:bookmarkStart w:id="48" w:name="_Toc23392"/>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的4.2%。</w:t>
      </w:r>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rPr>
      </w:pPr>
      <w:r>
        <w:rPr>
          <w:rFonts w:hint="eastAsia"/>
        </w:rPr>
        <w:t>2.4工程建设内容</w:t>
      </w:r>
      <w:bookmarkEnd w:id="47"/>
      <w:bookmarkEnd w:id="48"/>
    </w:p>
    <w:p>
      <w:pPr>
        <w:pStyle w:val="7"/>
        <w:keepNext/>
        <w:keepLines/>
        <w:pageBreakBefore w:val="0"/>
        <w:widowControl w:val="0"/>
        <w:kinsoku/>
        <w:wordWrap/>
        <w:overflowPunct/>
        <w:topLinePunct w:val="0"/>
        <w:autoSpaceDE/>
        <w:autoSpaceDN/>
        <w:bidi w:val="0"/>
        <w:adjustRightInd/>
        <w:snapToGrid/>
        <w:spacing w:before="6" w:after="6" w:line="416" w:lineRule="auto"/>
        <w:textAlignment w:val="auto"/>
        <w:rPr>
          <w:rFonts w:hint="default"/>
          <w:color w:val="auto"/>
        </w:rPr>
      </w:pPr>
      <w:bookmarkStart w:id="49" w:name="_Toc19144_WPSOffice_Level3"/>
      <w:bookmarkStart w:id="50" w:name="_Toc8550"/>
      <w:r>
        <w:rPr>
          <w:rFonts w:hint="default"/>
        </w:rPr>
        <w:t xml:space="preserve">2.4.1 </w:t>
      </w:r>
      <w:r>
        <w:rPr>
          <w:rFonts w:hint="default"/>
          <w:color w:val="auto"/>
        </w:rPr>
        <w:t>项目组成</w:t>
      </w:r>
      <w:bookmarkEnd w:id="49"/>
      <w:bookmarkEnd w:id="50"/>
    </w:p>
    <w:p>
      <w:pPr>
        <w:spacing w:line="360" w:lineRule="auto"/>
        <w:ind w:firstLine="454" w:firstLineChars="196"/>
        <w:outlineLvl w:val="0"/>
        <w:rPr>
          <w:rFonts w:hint="default" w:ascii="Times New Roman" w:hAnsi="Times New Roman" w:cs="Times New Roman" w:eastAsiaTheme="minorEastAsia"/>
          <w:color w:val="auto"/>
          <w:spacing w:val="-4"/>
          <w:sz w:val="24"/>
          <w:szCs w:val="24"/>
        </w:rPr>
      </w:pPr>
      <w:bookmarkStart w:id="51" w:name="_Toc14991"/>
      <w:bookmarkStart w:id="52" w:name="_Toc12576"/>
      <w:r>
        <w:rPr>
          <w:rFonts w:hint="default" w:ascii="Times New Roman" w:hAnsi="Times New Roman" w:cs="Times New Roman" w:eastAsiaTheme="minorEastAsia"/>
          <w:color w:val="auto"/>
          <w:spacing w:val="-4"/>
          <w:sz w:val="24"/>
          <w:szCs w:val="24"/>
        </w:rPr>
        <w:t>项目组成及变更情况汇总见表2-1。</w:t>
      </w:r>
      <w:bookmarkEnd w:id="51"/>
      <w:bookmarkEnd w:id="52"/>
    </w:p>
    <w:p>
      <w:pPr>
        <w:spacing w:line="360" w:lineRule="auto"/>
        <w:jc w:val="center"/>
        <w:rPr>
          <w:rFonts w:hint="default" w:ascii="Times New Roman" w:hAnsi="Times New Roman" w:cs="Times New Roman" w:eastAsiaTheme="minorEastAsia"/>
          <w:color w:val="auto"/>
          <w:sz w:val="24"/>
          <w:szCs w:val="24"/>
        </w:rPr>
      </w:pPr>
      <w:bookmarkStart w:id="53" w:name="_Toc17675_WPSOffice_Level2"/>
      <w:r>
        <w:rPr>
          <w:rFonts w:hint="default" w:ascii="Times New Roman" w:hAnsi="Times New Roman" w:cs="Times New Roman" w:eastAsiaTheme="minorEastAsia"/>
          <w:color w:val="auto"/>
          <w:sz w:val="24"/>
          <w:szCs w:val="24"/>
        </w:rPr>
        <w:t>表2-1   项目组成及变更情况汇总表</w:t>
      </w:r>
      <w:bookmarkEnd w:id="53"/>
    </w:p>
    <w:tbl>
      <w:tblPr>
        <w:tblStyle w:val="28"/>
        <w:tblW w:w="98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390"/>
        <w:gridCol w:w="4437"/>
        <w:gridCol w:w="1585"/>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tc>
        <w:tc>
          <w:tcPr>
            <w:tcW w:w="1390"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4437"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建设内容及规模</w:t>
            </w:r>
          </w:p>
        </w:tc>
        <w:tc>
          <w:tcPr>
            <w:tcW w:w="1585" w:type="dxa"/>
            <w:tcBorders>
              <w:tl2br w:val="nil"/>
              <w:tr2bl w:val="nil"/>
            </w:tcBorders>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c>
          <w:tcPr>
            <w:tcW w:w="1278"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实际建设及变更情况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39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30万t/a硫磺制酸装置</w:t>
            </w:r>
          </w:p>
        </w:tc>
        <w:tc>
          <w:tcPr>
            <w:tcW w:w="4437"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kern w:val="0"/>
                <w:sz w:val="21"/>
                <w:szCs w:val="21"/>
              </w:rPr>
              <w:t>30万t/a硫磺制酸装置，包含焚硫转化、干吸、成品、余热回收、尾气回收处理等装置</w:t>
            </w:r>
          </w:p>
        </w:tc>
        <w:tc>
          <w:tcPr>
            <w:tcW w:w="1585" w:type="dxa"/>
            <w:tcBorders>
              <w:tl2br w:val="nil"/>
              <w:tr2bl w:val="nil"/>
            </w:tcBorders>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新建，部分设备由原厂搬迁</w:t>
            </w:r>
          </w:p>
        </w:tc>
        <w:tc>
          <w:tcPr>
            <w:tcW w:w="1278" w:type="dxa"/>
            <w:tcBorders>
              <w:tl2br w:val="nil"/>
              <w:tr2bl w:val="nil"/>
            </w:tcBorders>
            <w:vAlign w:val="center"/>
          </w:tcPr>
          <w:p>
            <w:pPr>
              <w:jc w:val="center"/>
              <w:rPr>
                <w:rFonts w:hint="default" w:ascii="Times New Roman" w:hAnsi="Times New Roman" w:eastAsia="宋体" w:cs="Times New Roman"/>
                <w:spacing w:val="-6"/>
                <w:sz w:val="21"/>
                <w:szCs w:val="21"/>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供风系统</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kern w:val="0"/>
                <w:sz w:val="21"/>
                <w:szCs w:val="21"/>
              </w:rPr>
              <w:t>供应能力为73000m/h，用于焚硫炉空气的供应</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新建</w:t>
            </w:r>
          </w:p>
        </w:tc>
        <w:tc>
          <w:tcPr>
            <w:tcW w:w="1278" w:type="dxa"/>
            <w:tcBorders>
              <w:tl2br w:val="nil"/>
              <w:tr2bl w:val="nil"/>
            </w:tcBorders>
            <w:vAlign w:val="center"/>
          </w:tcPr>
          <w:p>
            <w:pPr>
              <w:jc w:val="center"/>
              <w:rPr>
                <w:rFonts w:hint="default" w:ascii="Times New Roman" w:hAnsi="Times New Roman" w:eastAsia="宋体" w:cs="Times New Roman"/>
                <w:spacing w:val="-6"/>
                <w:sz w:val="21"/>
                <w:szCs w:val="21"/>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余热回收</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val="en-US"/>
              </w:rPr>
            </w:pPr>
            <w:r>
              <w:rPr>
                <w:rFonts w:hint="default" w:ascii="Times New Roman" w:hAnsi="Times New Roman" w:eastAsia="宋体" w:cs="Times New Roman"/>
                <w:kern w:val="0"/>
                <w:sz w:val="21"/>
                <w:szCs w:val="21"/>
              </w:rPr>
              <w:t>用于焚硫热量的回收，可产生蒸汽36万t/h，用于拟建项目用汽和</w:t>
            </w:r>
            <w:r>
              <w:rPr>
                <w:rFonts w:hint="eastAsia"/>
                <w:lang w:val="en-US" w:eastAsia="zh-CN"/>
              </w:rPr>
              <w:t>民基新材料科技有限公司</w:t>
            </w:r>
            <w:r>
              <w:rPr>
                <w:rFonts w:hint="default" w:ascii="Times New Roman" w:hAnsi="Times New Roman" w:eastAsia="宋体" w:cs="Times New Roman"/>
                <w:kern w:val="0"/>
                <w:sz w:val="21"/>
                <w:szCs w:val="21"/>
              </w:rPr>
              <w:t>厂区蒸汽</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新建</w:t>
            </w:r>
          </w:p>
        </w:tc>
        <w:tc>
          <w:tcPr>
            <w:tcW w:w="1278" w:type="dxa"/>
            <w:tcBorders>
              <w:tl2br w:val="nil"/>
              <w:tr2bl w:val="nil"/>
            </w:tcBorders>
            <w:vAlign w:val="center"/>
          </w:tcPr>
          <w:p>
            <w:pPr>
              <w:jc w:val="center"/>
              <w:rPr>
                <w:rFonts w:hint="default" w:ascii="Times New Roman" w:hAnsi="Times New Roman" w:eastAsia="宋体" w:cs="Times New Roman"/>
                <w:spacing w:val="-6"/>
                <w:sz w:val="21"/>
                <w:szCs w:val="21"/>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操作室</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kern w:val="0"/>
                <w:sz w:val="21"/>
                <w:szCs w:val="21"/>
              </w:rPr>
              <w:t>内置操作系统一套，用于设备各工艺流程的自动控制</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新建</w:t>
            </w:r>
          </w:p>
        </w:tc>
        <w:tc>
          <w:tcPr>
            <w:tcW w:w="1278" w:type="dxa"/>
            <w:tcBorders>
              <w:tl2br w:val="nil"/>
              <w:tr2bl w:val="nil"/>
            </w:tcBorders>
            <w:vAlign w:val="center"/>
          </w:tcPr>
          <w:tbl>
            <w:tblPr>
              <w:tblStyle w:val="28"/>
              <w:tblW w:w="97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278" w:type="dxa"/>
                  <w:tcBorders>
                    <w:tl2br w:val="nil"/>
                    <w:tr2bl w:val="nil"/>
                  </w:tcBorders>
                  <w:vAlign w:val="center"/>
                </w:tcPr>
                <w:p>
                  <w:pPr>
                    <w:jc w:val="center"/>
                    <w:rPr>
                      <w:rFonts w:hint="default" w:ascii="Times New Roman" w:hAnsi="Times New Roman" w:eastAsia="宋体" w:cs="Times New Roman"/>
                      <w:spacing w:val="-6"/>
                      <w:sz w:val="21"/>
                      <w:szCs w:val="21"/>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bl>
          <w:p>
            <w:pPr>
              <w:jc w:val="center"/>
              <w:rPr>
                <w:rFonts w:hint="default" w:ascii="Times New Roman" w:hAnsi="Times New Roman" w:eastAsia="宋体" w:cs="Times New Roman"/>
                <w:color w:val="auto"/>
                <w:spacing w:val="-6"/>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restart"/>
            <w:tcBorders>
              <w:tl2br w:val="nil"/>
              <w:tr2bl w:val="nil"/>
            </w:tcBorders>
            <w:vAlign w:val="center"/>
          </w:tcPr>
          <w:p>
            <w:pPr>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公用工程</w:t>
            </w: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供电系统</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kern w:val="0"/>
                <w:sz w:val="21"/>
                <w:szCs w:val="21"/>
              </w:rPr>
              <w:t>由</w:t>
            </w:r>
            <w:r>
              <w:rPr>
                <w:rFonts w:hint="eastAsia"/>
                <w:lang w:val="en-US" w:eastAsia="zh-CN"/>
              </w:rPr>
              <w:t>民基新材料科技有限公司</w:t>
            </w:r>
            <w:r>
              <w:rPr>
                <w:rFonts w:hint="default" w:ascii="Times New Roman" w:hAnsi="Times New Roman" w:eastAsia="宋体" w:cs="Times New Roman"/>
                <w:kern w:val="0"/>
                <w:sz w:val="21"/>
                <w:szCs w:val="21"/>
              </w:rPr>
              <w:t>已有10KV/0.38KV的变电所引至装置变配电室</w:t>
            </w:r>
          </w:p>
        </w:tc>
        <w:tc>
          <w:tcPr>
            <w:tcW w:w="1585" w:type="dxa"/>
            <w:tcBorders>
              <w:tl2br w:val="nil"/>
              <w:tr2bl w:val="nil"/>
            </w:tcBorders>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循环水系统</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kern w:val="0"/>
                <w:sz w:val="21"/>
                <w:szCs w:val="21"/>
              </w:rPr>
              <w:t>建设循环水量2800m³/h的循环水站，占地面积230m</w:t>
            </w:r>
            <w:r>
              <w:rPr>
                <w:rFonts w:hint="default" w:ascii="Times New Roman" w:hAnsi="Times New Roman" w:eastAsia="宋体" w:cs="Times New Roman"/>
                <w:kern w:val="0"/>
                <w:sz w:val="21"/>
                <w:szCs w:val="21"/>
                <w:vertAlign w:val="superscript"/>
              </w:rPr>
              <w:t>2</w:t>
            </w:r>
          </w:p>
        </w:tc>
        <w:tc>
          <w:tcPr>
            <w:tcW w:w="1585" w:type="dxa"/>
            <w:tcBorders>
              <w:tl2br w:val="nil"/>
              <w:tr2bl w:val="nil"/>
            </w:tcBorders>
            <w:vAlign w:val="center"/>
          </w:tcPr>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新建</w:t>
            </w:r>
          </w:p>
        </w:tc>
        <w:tc>
          <w:tcPr>
            <w:tcW w:w="1278"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供水系统</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r>
              <w:rPr>
                <w:rFonts w:hint="default" w:ascii="Times New Roman" w:hAnsi="Times New Roman" w:eastAsia="宋体" w:cs="Times New Roman"/>
                <w:kern w:val="0"/>
                <w:sz w:val="21"/>
                <w:szCs w:val="21"/>
              </w:rPr>
              <w:t>现有供水管网</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脱盐水站</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拟建70m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/h脱盐水站一座，占地面积270m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，采用两级反渗透+混床工艺，产水率75%</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排水系统</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eastAsia="zh-CN"/>
              </w:rPr>
            </w:pPr>
            <w:r>
              <w:rPr>
                <w:rFonts w:hint="eastAsia" w:ascii="宋体" w:hAnsi="宋体" w:eastAsia="宋体" w:cs="宋体"/>
                <w:kern w:val="0"/>
                <w:sz w:val="21"/>
                <w:szCs w:val="21"/>
              </w:rPr>
              <w:t>“清污分流”、“雨污分流”原则</w:t>
            </w:r>
            <w:r>
              <w:rPr>
                <w:rFonts w:hint="default" w:ascii="Times New Roman" w:hAnsi="Times New Roman" w:eastAsia="宋体" w:cs="Times New Roman"/>
                <w:kern w:val="0"/>
                <w:sz w:val="21"/>
                <w:szCs w:val="21"/>
              </w:rPr>
              <w:t>，前期雨水和地面冲洗水</w:t>
            </w:r>
            <w:r>
              <w:rPr>
                <w:rFonts w:hint="eastAsia" w:cs="Times New Roman"/>
                <w:kern w:val="0"/>
                <w:sz w:val="21"/>
                <w:szCs w:val="21"/>
                <w:lang w:eastAsia="zh-CN"/>
              </w:rPr>
              <w:t>收集中和沉淀</w:t>
            </w:r>
            <w:r>
              <w:rPr>
                <w:rFonts w:hint="eastAsia" w:asciiTheme="minorEastAsia" w:hAnsiTheme="minorEastAsia" w:eastAsiaTheme="minorEastAsia"/>
                <w:color w:val="auto"/>
              </w:rPr>
              <w:t>进入公司污水厂处理</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软化水浓水收集后进入公司污水厂进行处理</w:t>
            </w:r>
            <w:r>
              <w:rPr>
                <w:rFonts w:hint="default" w:ascii="Times New Roman" w:hAnsi="Times New Roman" w:eastAsia="宋体" w:cs="Times New Roman"/>
                <w:kern w:val="0"/>
                <w:sz w:val="21"/>
                <w:szCs w:val="21"/>
              </w:rPr>
              <w:t>；生活污水</w:t>
            </w:r>
            <w:r>
              <w:rPr>
                <w:rFonts w:hint="eastAsia" w:asciiTheme="minorEastAsia" w:hAnsiTheme="minorEastAsia" w:eastAsiaTheme="minorEastAsia"/>
                <w:color w:val="auto"/>
              </w:rPr>
              <w:t>进入公司污水厂进行处理；</w:t>
            </w:r>
            <w:r>
              <w:rPr>
                <w:rFonts w:hint="default" w:ascii="Times New Roman" w:hAnsi="Times New Roman" w:eastAsia="宋体" w:cs="Times New Roman"/>
                <w:kern w:val="0"/>
                <w:sz w:val="21"/>
                <w:szCs w:val="21"/>
              </w:rPr>
              <w:t>厂区后期雨水进雨水管网</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新建生产废水预处理站</w:t>
            </w:r>
          </w:p>
        </w:tc>
        <w:tc>
          <w:tcPr>
            <w:tcW w:w="127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消防系统</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拟建项目装置内消防管线及消防器材新建，其他依托</w:t>
            </w:r>
            <w:r>
              <w:rPr>
                <w:rFonts w:hint="eastAsia"/>
                <w:lang w:val="en-US" w:eastAsia="zh-CN"/>
              </w:rPr>
              <w:t>民基新材料科技有限公司</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restart"/>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原料罐区</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sz w:val="21"/>
                <w:szCs w:val="21"/>
              </w:rPr>
              <w:t>Φ18×10.5液体硫磺罐1个，容积2600m</w:t>
            </w:r>
            <w:r>
              <w:rPr>
                <w:rFonts w:hint="default" w:ascii="Times New Roman" w:hAnsi="Times New Roman" w:eastAsia="宋体" w:cs="Times New Roman"/>
                <w:sz w:val="21"/>
                <w:szCs w:val="21"/>
                <w:vertAlign w:val="superscript"/>
              </w:rPr>
              <w:t>3</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成品罐区</w:t>
            </w:r>
          </w:p>
        </w:tc>
        <w:tc>
          <w:tcPr>
            <w:tcW w:w="4437"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sz w:val="21"/>
                <w:szCs w:val="21"/>
              </w:rPr>
              <w:t>Φ18×10.5浓硫酸罐1个，容积2600m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；Φ16×10.5发烟硫酸罐1个，容积2100m</w:t>
            </w:r>
            <w:r>
              <w:rPr>
                <w:rFonts w:hint="default" w:ascii="Times New Roman" w:hAnsi="Times New Roman" w:eastAsia="宋体" w:cs="Times New Roman"/>
                <w:sz w:val="21"/>
                <w:szCs w:val="21"/>
                <w:vertAlign w:val="superscript"/>
              </w:rPr>
              <w:t>3</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2" w:type="dxa"/>
            <w:vMerge w:val="continue"/>
            <w:tcBorders>
              <w:tl2br w:val="nil"/>
              <w:tr2bl w:val="nil"/>
            </w:tcBorders>
            <w:vAlign w:val="center"/>
          </w:tcPr>
          <w:p>
            <w:pPr>
              <w:jc w:val="both"/>
              <w:rPr>
                <w:rFonts w:hint="default" w:ascii="Times New Roman" w:hAnsi="Times New Roman" w:eastAsia="宋体" w:cs="Times New Roman"/>
                <w:color w:val="auto"/>
                <w:sz w:val="21"/>
                <w:szCs w:val="21"/>
                <w:lang w:val="en-US" w:eastAsia="zh-CN"/>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备用罐</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sz w:val="21"/>
                <w:szCs w:val="21"/>
              </w:rPr>
              <w:t>依托</w:t>
            </w:r>
            <w:r>
              <w:rPr>
                <w:rFonts w:hint="eastAsia"/>
                <w:lang w:val="en-US" w:eastAsia="zh-CN"/>
              </w:rPr>
              <w:t>民基新材料科技有限公司</w:t>
            </w:r>
            <w:r>
              <w:rPr>
                <w:rFonts w:hint="default" w:ascii="Times New Roman" w:hAnsi="Times New Roman" w:eastAsia="宋体" w:cs="Times New Roman"/>
                <w:sz w:val="21"/>
                <w:szCs w:val="21"/>
              </w:rPr>
              <w:t>现有4个500m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浓硫酸罐，Φ9m×9.9</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12" w:type="dxa"/>
            <w:vMerge w:val="restar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1390" w:type="dxa"/>
            <w:vMerge w:val="restart"/>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sz w:val="21"/>
                <w:szCs w:val="21"/>
              </w:rPr>
              <w:t>水喷雾增湿+电子除雾+离子液吸收+碱洗塔</w:t>
            </w:r>
            <w:r>
              <w:rPr>
                <w:rFonts w:hint="eastAsia" w:asciiTheme="minorEastAsia" w:hAnsiTheme="minorEastAsia" w:eastAsiaTheme="minorEastAsia"/>
                <w:sz w:val="21"/>
                <w:szCs w:val="21"/>
                <w:lang w:eastAsia="zh-CN"/>
              </w:rPr>
              <w:t>装置</w:t>
            </w:r>
            <w:r>
              <w:rPr>
                <w:rFonts w:hint="default" w:ascii="Times New Roman" w:hAnsi="Times New Roman" w:eastAsia="宋体" w:cs="Times New Roman"/>
                <w:kern w:val="0"/>
                <w:sz w:val="21"/>
                <w:szCs w:val="21"/>
              </w:rPr>
              <w:t>（二氧化硫、硫酸去除效率分别为95%、99%）处理后，H60m，DN1.6m高烟囱排放</w:t>
            </w:r>
          </w:p>
        </w:tc>
        <w:tc>
          <w:tcPr>
            <w:tcW w:w="2863" w:type="dxa"/>
            <w:gridSpan w:val="2"/>
            <w:tcBorders>
              <w:tl2br w:val="nil"/>
              <w:tr2bl w:val="nil"/>
            </w:tcBorders>
            <w:vAlign w:val="center"/>
          </w:tcPr>
          <w:p>
            <w:pPr>
              <w:jc w:val="center"/>
              <w:rPr>
                <w:rFonts w:hint="eastAsia" w:ascii="Times New Roman" w:hAnsi="Times New Roman" w:cs="Times New Roman" w:eastAsiaTheme="minorEastAsia"/>
                <w:color w:val="000000" w:themeColor="text1"/>
                <w:sz w:val="21"/>
                <w:szCs w:val="21"/>
                <w:lang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kern w:val="0"/>
                <w:sz w:val="21"/>
                <w:szCs w:val="21"/>
              </w:rPr>
              <w:t>新建</w:t>
            </w:r>
            <w:r>
              <w:rPr>
                <w:rFonts w:hint="eastAsia" w:cs="Times New Roman"/>
                <w:kern w:val="0"/>
                <w:sz w:val="21"/>
                <w:szCs w:val="21"/>
                <w:lang w:eastAsia="zh-CN"/>
              </w:rPr>
              <w:t>，“</w:t>
            </w:r>
            <w:r>
              <w:rPr>
                <w:rFonts w:hint="eastAsia" w:asciiTheme="minorEastAsia" w:hAnsiTheme="minorEastAsia" w:eastAsiaTheme="minorEastAsia"/>
                <w:sz w:val="21"/>
                <w:szCs w:val="21"/>
              </w:rPr>
              <w:t>电子除雾+离子液吸收</w:t>
            </w:r>
            <w:r>
              <w:rPr>
                <w:rFonts w:hint="eastAsia" w:cs="Times New Roman"/>
                <w:kern w:val="0"/>
                <w:sz w:val="21"/>
                <w:szCs w:val="21"/>
                <w:lang w:eastAsia="zh-CN"/>
              </w:rPr>
              <w:t>”</w:t>
            </w:r>
            <w:r>
              <w:rPr>
                <w:rFonts w:hint="eastAsia" w:asciiTheme="minorEastAsia" w:hAnsiTheme="minorEastAsia" w:eastAsiaTheme="minorEastAsia"/>
                <w:sz w:val="21"/>
                <w:szCs w:val="21"/>
                <w:lang w:eastAsia="zh-CN"/>
              </w:rPr>
              <w:t>改为</w:t>
            </w:r>
            <w:r>
              <w:rPr>
                <w:rFonts w:hint="eastAsia" w:cs="Times New Roman"/>
                <w:kern w:val="0"/>
                <w:sz w:val="21"/>
                <w:szCs w:val="21"/>
                <w:lang w:eastAsia="zh-CN"/>
              </w:rPr>
              <w:t>“</w:t>
            </w:r>
            <w:r>
              <w:rPr>
                <w:rFonts w:hint="eastAsia" w:asciiTheme="minorEastAsia" w:hAnsiTheme="minorEastAsia" w:eastAsiaTheme="minorEastAsia"/>
                <w:sz w:val="21"/>
                <w:szCs w:val="21"/>
              </w:rPr>
              <w:t>水喷雾增湿+电子除雾+离子液吸收+碱洗塔</w:t>
            </w:r>
            <w:r>
              <w:rPr>
                <w:rFonts w:hint="eastAsia" w:cs="Times New Roman"/>
                <w:ker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39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4437" w:type="dxa"/>
            <w:tcBorders>
              <w:tl2br w:val="nil"/>
              <w:tr2bl w:val="nil"/>
            </w:tcBorders>
            <w:vAlign w:val="center"/>
          </w:tcPr>
          <w:p>
            <w:pPr>
              <w:suppressAutoHyphens/>
              <w:adjustRightInd w:val="0"/>
              <w:spacing w:line="360" w:lineRule="exact"/>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rPr>
              <w:t>罐区呼吸阀引至</w:t>
            </w:r>
            <w:r>
              <w:rPr>
                <w:rFonts w:hint="default" w:ascii="Times New Roman" w:hAnsi="Times New Roman" w:eastAsia="宋体" w:cs="Times New Roman"/>
                <w:sz w:val="21"/>
                <w:szCs w:val="21"/>
              </w:rPr>
              <w:t>离子液脱硫</w:t>
            </w:r>
            <w:r>
              <w:rPr>
                <w:rFonts w:hint="default" w:ascii="Times New Roman" w:hAnsi="Times New Roman" w:eastAsia="宋体" w:cs="Times New Roman"/>
                <w:kern w:val="0"/>
                <w:sz w:val="21"/>
                <w:szCs w:val="21"/>
              </w:rPr>
              <w:t>系统</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事故水池</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依托</w:t>
            </w:r>
            <w:r>
              <w:rPr>
                <w:rFonts w:hint="eastAsia"/>
                <w:lang w:val="en-US" w:eastAsia="zh-CN"/>
              </w:rPr>
              <w:t>民基新材料科技有限公司</w:t>
            </w:r>
            <w:r>
              <w:rPr>
                <w:rFonts w:hint="default" w:ascii="Times New Roman" w:hAnsi="Times New Roman" w:eastAsia="宋体" w:cs="Times New Roman"/>
                <w:sz w:val="21"/>
                <w:szCs w:val="21"/>
              </w:rPr>
              <w:t>事故导排系统（拟建项目装置外）、2500m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事故水池（1座1040m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，1座1460m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000000"/>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拟建装置区事故水管线等措施</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装置区设置事故水管线，罐区设置围堰</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vMerge w:val="restart"/>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污水处理</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前期雨水和地面冲洗水经拟建10m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/d污水处理设施处理，采用“酸碱中和+絮凝沉淀”物化组合处理工艺处理</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000000"/>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vMerge w:val="continue"/>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生活污水依托</w:t>
            </w:r>
            <w:r>
              <w:rPr>
                <w:rFonts w:hint="eastAsia"/>
                <w:lang w:val="en-US" w:eastAsia="zh-CN"/>
              </w:rPr>
              <w:t>民基新材料科技有限公司</w:t>
            </w:r>
            <w:r>
              <w:rPr>
                <w:rFonts w:hint="default" w:ascii="Times New Roman" w:hAnsi="Times New Roman" w:eastAsia="宋体" w:cs="Times New Roman"/>
                <w:kern w:val="0"/>
                <w:sz w:val="21"/>
                <w:szCs w:val="21"/>
              </w:rPr>
              <w:t>厂区500m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/d污水处理站</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390"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危废暂存场所</w:t>
            </w:r>
          </w:p>
        </w:tc>
        <w:tc>
          <w:tcPr>
            <w:tcW w:w="4437" w:type="dxa"/>
            <w:tcBorders>
              <w:tl2br w:val="nil"/>
              <w:tr2bl w:val="nil"/>
            </w:tcBorders>
            <w:vAlign w:val="center"/>
          </w:tcPr>
          <w:p>
            <w:pPr>
              <w:suppressAutoHyphens/>
              <w:adjustRightInd w:val="0"/>
              <w:spacing w:line="36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r>
              <w:rPr>
                <w:rFonts w:hint="default" w:ascii="Times New Roman" w:hAnsi="Times New Roman" w:eastAsia="宋体" w:cs="Times New Roman"/>
                <w:sz w:val="21"/>
                <w:szCs w:val="21"/>
              </w:rPr>
              <w:t>厂房，新增危废暂存库一座，为单独设置的车间，不混存，位于厂区西侧中部</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r>
              <w:rPr>
                <w:rFonts w:hint="default" w:ascii="Times New Roman" w:hAnsi="Times New Roman" w:eastAsia="宋体" w:cs="Times New Roman"/>
                <w:sz w:val="21"/>
                <w:szCs w:val="21"/>
              </w:rPr>
              <w:t>厂房</w:t>
            </w:r>
          </w:p>
          <w:p>
            <w:pPr>
              <w:suppressAutoHyphens/>
              <w:adjustRightIn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新建</w:t>
            </w:r>
          </w:p>
        </w:tc>
        <w:tc>
          <w:tcPr>
            <w:tcW w:w="1278" w:type="dxa"/>
            <w:tcBorders>
              <w:tl2br w:val="nil"/>
              <w:tr2bl w:val="nil"/>
            </w:tcBorders>
            <w:vAlign w:val="center"/>
          </w:tcPr>
          <w:p>
            <w:pPr>
              <w:jc w:val="center"/>
              <w:rPr>
                <w:rFonts w:hint="default" w:ascii="Times New Roman" w:hAnsi="Times New Roman" w:eastAsia="宋体" w:cs="Times New Roman"/>
                <w:color w:val="000000"/>
                <w:sz w:val="21"/>
                <w:szCs w:val="21"/>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color w:val="auto"/>
                <w:spacing w:val="-6"/>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2" w:type="dxa"/>
            <w:gridSpan w:val="2"/>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办公、生活</w:t>
            </w:r>
          </w:p>
        </w:tc>
        <w:tc>
          <w:tcPr>
            <w:tcW w:w="4437"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r>
              <w:rPr>
                <w:rFonts w:hint="default" w:ascii="Times New Roman" w:hAnsi="Times New Roman" w:eastAsia="宋体" w:cs="Times New Roman"/>
                <w:kern w:val="0"/>
                <w:sz w:val="21"/>
                <w:szCs w:val="21"/>
              </w:rPr>
              <w:t>现有办公和生活设施</w:t>
            </w:r>
          </w:p>
        </w:tc>
        <w:tc>
          <w:tcPr>
            <w:tcW w:w="1585" w:type="dxa"/>
            <w:tcBorders>
              <w:tl2br w:val="nil"/>
              <w:tr2bl w:val="nil"/>
            </w:tcBorders>
            <w:vAlign w:val="center"/>
          </w:tcPr>
          <w:p>
            <w:pPr>
              <w:suppressAutoHyphens/>
              <w:adjustRightIn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依托</w:t>
            </w:r>
            <w:r>
              <w:rPr>
                <w:rFonts w:hint="eastAsia"/>
                <w:lang w:val="en-US" w:eastAsia="zh-CN"/>
              </w:rPr>
              <w:t>民基新材料科技有限公司</w:t>
            </w:r>
          </w:p>
        </w:tc>
        <w:tc>
          <w:tcPr>
            <w:tcW w:w="1278" w:type="dxa"/>
            <w:tcBorders>
              <w:tl2br w:val="nil"/>
              <w:tr2bl w:val="nil"/>
            </w:tcBorders>
            <w:vAlign w:val="center"/>
          </w:tcPr>
          <w:p>
            <w:pPr>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与环评一致</w:t>
            </w:r>
          </w:p>
        </w:tc>
      </w:tr>
    </w:tbl>
    <w:p>
      <w:pPr>
        <w:pStyle w:val="7"/>
        <w:spacing w:line="240" w:lineRule="auto"/>
        <w:rPr>
          <w:rFonts w:hint="default"/>
          <w:color w:val="auto"/>
        </w:rPr>
      </w:pPr>
      <w:bookmarkStart w:id="54" w:name="_Toc27680_WPSOffice_Level2"/>
      <w:bookmarkStart w:id="55" w:name="_Toc28243"/>
      <w:r>
        <w:rPr>
          <w:rFonts w:hint="default"/>
          <w:color w:val="auto"/>
        </w:rPr>
        <w:t>2.4.2 经济技术指标</w:t>
      </w:r>
      <w:bookmarkEnd w:id="54"/>
      <w:bookmarkEnd w:id="55"/>
    </w:p>
    <w:p>
      <w:pPr>
        <w:keepNext w:val="0"/>
        <w:keepLines w:val="0"/>
        <w:pageBreakBefore w:val="0"/>
        <w:widowControl w:val="0"/>
        <w:kinsoku/>
        <w:wordWrap/>
        <w:overflowPunct/>
        <w:topLinePunct w:val="0"/>
        <w:autoSpaceDE/>
        <w:autoSpaceDN/>
        <w:bidi w:val="0"/>
        <w:adjustRightInd/>
        <w:snapToGrid/>
        <w:spacing w:before="95" w:beforeLines="30" w:after="95" w:afterLines="30" w:line="240" w:lineRule="auto"/>
        <w:ind w:firstLine="464"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4"/>
          <w:sz w:val="24"/>
          <w:szCs w:val="24"/>
        </w:rPr>
        <w:t>主要经济技术指标及变更情况见表2-2。</w:t>
      </w:r>
    </w:p>
    <w:p>
      <w:pPr>
        <w:spacing w:line="480" w:lineRule="exact"/>
        <w:ind w:firstLine="3240" w:firstLineChars="135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color w:val="auto"/>
          <w:sz w:val="24"/>
          <w:szCs w:val="24"/>
        </w:rPr>
        <w:t>表2-2  主要技术经济指标</w:t>
      </w:r>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712"/>
        <w:gridCol w:w="5028"/>
        <w:gridCol w:w="2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环评及批复内容</w:t>
            </w:r>
          </w:p>
        </w:tc>
        <w:tc>
          <w:tcPr>
            <w:tcW w:w="2174" w:type="dxa"/>
            <w:tcBorders>
              <w:tl2br w:val="nil"/>
              <w:tr2bl w:val="nil"/>
            </w:tcBorders>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实际内容及变更情况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w:t>
            </w:r>
          </w:p>
        </w:tc>
        <w:tc>
          <w:tcPr>
            <w:tcW w:w="5028" w:type="dxa"/>
            <w:tcBorders>
              <w:tl2br w:val="nil"/>
              <w:tr2bl w:val="nil"/>
            </w:tcBorders>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z w:val="21"/>
                <w:szCs w:val="21"/>
              </w:rPr>
              <w:t>年产硫酸30万吨</w:t>
            </w:r>
          </w:p>
        </w:tc>
        <w:tc>
          <w:tcPr>
            <w:tcW w:w="2174" w:type="dxa"/>
            <w:vMerge w:val="restart"/>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年操作时间</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全年生产时间8000</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rPr>
              <w:t>，执行四班三运转工作制</w:t>
            </w:r>
            <w:r>
              <w:rPr>
                <w:rFonts w:hint="default" w:ascii="Times New Roman" w:hAnsi="Times New Roman" w:eastAsia="宋体" w:cs="Times New Roman"/>
                <w:color w:val="auto"/>
                <w:sz w:val="21"/>
                <w:szCs w:val="21"/>
                <w:lang w:eastAsia="zh-CN"/>
              </w:rPr>
              <w:t>。</w:t>
            </w:r>
          </w:p>
        </w:tc>
        <w:tc>
          <w:tcPr>
            <w:tcW w:w="2174"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劳动定员</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新增定员48人</w:t>
            </w:r>
          </w:p>
        </w:tc>
        <w:tc>
          <w:tcPr>
            <w:tcW w:w="2174" w:type="dxa"/>
            <w:vMerge w:val="continue"/>
            <w:tcBorders>
              <w:tl2br w:val="nil"/>
              <w:tr2bl w:val="nil"/>
            </w:tcBorders>
            <w:vAlign w:val="center"/>
          </w:tcPr>
          <w:p>
            <w:pPr>
              <w:spacing w:line="320" w:lineRule="exact"/>
              <w:jc w:val="center"/>
              <w:rPr>
                <w:rFonts w:hint="default" w:ascii="Times New Roman" w:hAnsi="Times New Roman" w:eastAsia="宋体" w:cs="Times New Roman"/>
                <w:b/>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总占地面积</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14856m</w:t>
            </w:r>
            <w:r>
              <w:rPr>
                <w:rFonts w:hint="default" w:ascii="Times New Roman" w:hAnsi="Times New Roman" w:eastAsia="宋体" w:cs="Times New Roman"/>
                <w:color w:val="auto"/>
                <w:sz w:val="21"/>
                <w:szCs w:val="21"/>
                <w:vertAlign w:val="superscript"/>
                <w:lang w:val="en-US" w:eastAsia="zh-CN"/>
              </w:rPr>
              <w:t>2</w:t>
            </w:r>
          </w:p>
        </w:tc>
        <w:tc>
          <w:tcPr>
            <w:tcW w:w="2174"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8249.42</w:t>
            </w:r>
            <w:r>
              <w:rPr>
                <w:rFonts w:hint="default" w:ascii="Times New Roman" w:hAnsi="Times New Roman" w:eastAsia="宋体" w:cs="Times New Roman"/>
                <w:color w:val="auto"/>
                <w:sz w:val="21"/>
                <w:szCs w:val="21"/>
              </w:rPr>
              <w:t>万元</w:t>
            </w:r>
          </w:p>
        </w:tc>
        <w:tc>
          <w:tcPr>
            <w:tcW w:w="2174"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40"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12"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w:t>
            </w:r>
          </w:p>
        </w:tc>
        <w:tc>
          <w:tcPr>
            <w:tcW w:w="5028" w:type="dxa"/>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350</w:t>
            </w:r>
            <w:r>
              <w:rPr>
                <w:rFonts w:hint="default" w:ascii="Times New Roman" w:hAnsi="Times New Roman" w:eastAsia="宋体" w:cs="Times New Roman"/>
                <w:color w:val="auto"/>
                <w:sz w:val="21"/>
                <w:szCs w:val="21"/>
              </w:rPr>
              <w:t>万元</w:t>
            </w:r>
          </w:p>
        </w:tc>
        <w:tc>
          <w:tcPr>
            <w:tcW w:w="2174"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auto"/>
                <w:sz w:val="21"/>
                <w:szCs w:val="21"/>
                <w:highlight w:val="green"/>
              </w:rPr>
            </w:pPr>
          </w:p>
        </w:tc>
      </w:tr>
    </w:tbl>
    <w:p>
      <w:pPr>
        <w:pStyle w:val="7"/>
        <w:keepNext/>
        <w:keepLines/>
        <w:pageBreakBefore w:val="0"/>
        <w:widowControl w:val="0"/>
        <w:kinsoku/>
        <w:wordWrap/>
        <w:overflowPunct/>
        <w:topLinePunct w:val="0"/>
        <w:autoSpaceDE/>
        <w:autoSpaceDN/>
        <w:bidi w:val="0"/>
        <w:adjustRightInd/>
        <w:snapToGrid/>
        <w:spacing w:before="6" w:after="6" w:line="240" w:lineRule="auto"/>
        <w:textAlignment w:val="auto"/>
        <w:rPr>
          <w:rFonts w:hint="default"/>
          <w:color w:val="auto"/>
        </w:rPr>
      </w:pPr>
      <w:bookmarkStart w:id="56" w:name="_Toc21120"/>
      <w:bookmarkStart w:id="57" w:name="_Toc7731_WPSOffice_Level2"/>
      <w:r>
        <w:rPr>
          <w:rFonts w:hint="default"/>
          <w:color w:val="auto"/>
        </w:rPr>
        <w:t>2.4.3 生产设备</w:t>
      </w:r>
      <w:bookmarkEnd w:id="56"/>
      <w:bookmarkEnd w:id="57"/>
    </w:p>
    <w:p>
      <w:pPr>
        <w:spacing w:line="240" w:lineRule="auto"/>
        <w:ind w:firstLine="360" w:firstLineChars="15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生产设备的实际建设与环评内容对照情况见表2-3。</w:t>
      </w:r>
    </w:p>
    <w:p>
      <w:pPr>
        <w:spacing w:line="48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表2-3 生产设备清单</w:t>
      </w:r>
    </w:p>
    <w:tbl>
      <w:tblPr>
        <w:tblStyle w:val="28"/>
        <w:tblpPr w:leftFromText="180" w:rightFromText="180" w:vertAnchor="text" w:horzAnchor="page" w:tblpX="1150" w:tblpY="477"/>
        <w:tblOverlap w:val="never"/>
        <w:tblW w:w="9768"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672"/>
        <w:gridCol w:w="3493"/>
        <w:gridCol w:w="675"/>
        <w:gridCol w:w="675"/>
        <w:gridCol w:w="870"/>
        <w:gridCol w:w="162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restart"/>
            <w:vAlign w:val="center"/>
          </w:tcPr>
          <w:p>
            <w:pPr>
              <w:adjustRightInd w:val="0"/>
              <w:snapToGrid w:val="0"/>
              <w:jc w:val="center"/>
              <w:rPr>
                <w:rFonts w:hint="default" w:ascii="Times New Roman" w:hAnsi="Times New Roman" w:eastAsia="宋体" w:cs="Times New Roman"/>
                <w:b/>
                <w:color w:val="auto"/>
                <w:sz w:val="21"/>
                <w:szCs w:val="21"/>
              </w:rPr>
            </w:pPr>
            <w:bookmarkStart w:id="58" w:name="_Toc26359_WPSOffice_Level2"/>
            <w:r>
              <w:rPr>
                <w:rFonts w:hint="default" w:ascii="Times New Roman" w:hAnsi="Times New Roman" w:eastAsia="宋体" w:cs="Times New Roman"/>
                <w:b/>
                <w:color w:val="auto"/>
                <w:sz w:val="21"/>
                <w:szCs w:val="21"/>
              </w:rPr>
              <w:t>序号</w:t>
            </w:r>
          </w:p>
        </w:tc>
        <w:tc>
          <w:tcPr>
            <w:tcW w:w="1672" w:type="dxa"/>
            <w:vMerge w:val="restart"/>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713" w:type="dxa"/>
            <w:gridSpan w:val="4"/>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设备型号及</w:t>
            </w:r>
            <w:r>
              <w:rPr>
                <w:rFonts w:hint="default" w:ascii="Times New Roman" w:hAnsi="Times New Roman" w:eastAsia="宋体" w:cs="Times New Roman"/>
                <w:b/>
                <w:color w:val="auto"/>
                <w:sz w:val="21"/>
                <w:szCs w:val="21"/>
              </w:rPr>
              <w:t>数量（台）</w:t>
            </w:r>
          </w:p>
        </w:tc>
        <w:tc>
          <w:tcPr>
            <w:tcW w:w="1623" w:type="dxa"/>
            <w:vMerge w:val="restart"/>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kern w:val="0"/>
                <w:sz w:val="21"/>
                <w:szCs w:val="21"/>
              </w:rPr>
              <w:t>实际建设及变更情况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continue"/>
            <w:vAlign w:val="center"/>
          </w:tcPr>
          <w:p>
            <w:pPr>
              <w:adjustRightInd w:val="0"/>
              <w:snapToGrid w:val="0"/>
              <w:jc w:val="center"/>
              <w:rPr>
                <w:rFonts w:hint="default" w:ascii="Times New Roman" w:hAnsi="Times New Roman" w:eastAsia="宋体" w:cs="Times New Roman"/>
                <w:b/>
                <w:color w:val="auto"/>
                <w:sz w:val="21"/>
                <w:szCs w:val="21"/>
              </w:rPr>
            </w:pPr>
          </w:p>
        </w:tc>
        <w:tc>
          <w:tcPr>
            <w:tcW w:w="1672" w:type="dxa"/>
            <w:vMerge w:val="continue"/>
            <w:vAlign w:val="center"/>
          </w:tcPr>
          <w:p>
            <w:pPr>
              <w:adjustRightInd w:val="0"/>
              <w:snapToGrid w:val="0"/>
              <w:jc w:val="center"/>
              <w:rPr>
                <w:rFonts w:hint="default" w:ascii="Times New Roman" w:hAnsi="Times New Roman" w:eastAsia="宋体" w:cs="Times New Roman"/>
                <w:b/>
                <w:color w:val="auto"/>
                <w:sz w:val="21"/>
                <w:szCs w:val="21"/>
              </w:rPr>
            </w:pPr>
          </w:p>
        </w:tc>
        <w:tc>
          <w:tcPr>
            <w:tcW w:w="3493" w:type="dxa"/>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设备型号</w:t>
            </w:r>
          </w:p>
        </w:tc>
        <w:tc>
          <w:tcPr>
            <w:tcW w:w="675" w:type="dxa"/>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环评数量</w:t>
            </w:r>
          </w:p>
        </w:tc>
        <w:tc>
          <w:tcPr>
            <w:tcW w:w="675" w:type="dxa"/>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实际数量</w:t>
            </w:r>
          </w:p>
        </w:tc>
        <w:tc>
          <w:tcPr>
            <w:tcW w:w="870" w:type="dxa"/>
            <w:vAlign w:val="center"/>
          </w:tcPr>
          <w:p>
            <w:pPr>
              <w:adjustRightInd w:val="0"/>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备注</w:t>
            </w:r>
          </w:p>
        </w:tc>
        <w:tc>
          <w:tcPr>
            <w:tcW w:w="1623" w:type="dxa"/>
            <w:vMerge w:val="continue"/>
            <w:vAlign w:val="center"/>
          </w:tcPr>
          <w:p>
            <w:pPr>
              <w:adjustRightInd w:val="0"/>
              <w:snapToGrid w:val="0"/>
              <w:jc w:val="center"/>
              <w:rPr>
                <w:rFonts w:hint="default" w:ascii="Times New Roman" w:hAnsi="Times New Roman" w:eastAsia="宋体" w:cs="Times New Roman"/>
                <w:b/>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kern w:val="0"/>
                <w:sz w:val="21"/>
                <w:szCs w:val="21"/>
              </w:rPr>
              <w:t>硫酸生产装置-焚硫转化装置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焚硫炉</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卧式喷雾型                            规格φ4200/5160x13540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锅炉</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余热锅炉,换热面积892㎡管程:9330x3600x6200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高温过热器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壳程:3600x3350x5200，81112.6Nm3/h</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中温过热器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壳程:84015.8 Nm3/h， 3660*3040*5000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低温过热器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壳程:79746.9Nm3/h,  3460x2600x4410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省煤器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壳程:79544.6Nm3/h, 3480x3080x7700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转化器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立式,φ8200/8450*17610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连续排污膨胀器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立式椭圆封头，φ800*2520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定期排污膨胀器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立式椭圆封头，φ1500*1500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升温风机</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引风机Q=500m³/min,△P=3KPa,规格:1000*700*900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锅炉加药泵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JX-50/6.3,流量:50L/h 扬程:630m</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集气联箱</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φ219*1700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喷水减温器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φ219*3200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锅炉废水箱</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1000x1000x1200，矩形平底水箱</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锅炉废水泵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流量:12.5m³/h,扬程:32米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硫酸生产装置-吸收装置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干燥塔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散堆填料塔φ5000*14600,主填料为φ76的异鞍环</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烟酸塔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散堆填料塔φ5000*10000,主填料为φ76的异鞍环</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干燥循环槽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卧式椭圆封头罐,DN3000(DI2756) L=10742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发烟硫酸循环槽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卧式椭圆封头罐,φ3000*5000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硫酸地下槽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立式圆筒平底平顶罐,φ4200*2000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干燥酸冷器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单管程列管换热,             φ750x8950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烟酸冷却器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单管程列管换热,φ750*8950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地下槽板换</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板式换热器,BR60C(21H+50M)-46.1m2，620*1290*1844</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干燥循环酸泵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液下泵,流量:550m³/h,扬程:27米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发烟硫酸循环泵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离心泵,流量:150m³/h,扬程:27米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硫酸地下槽泵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液下泵,流量:50m³/h,扬程:24米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硫酸生产装置-鼓风机房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鼓风机</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 xml:space="preserve">AII 1900-1.37-0.99,进口压力:-2KPa,升压:38KPa,流量:1900m³/min </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行车</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桥式起重机（QD=250KN） LN=10.5m</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空气过滤器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最大空气过滤量4000m3/min,过滤精度60μm,设备安装尺寸:8000*4000*4000mm</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5" w:type="dxa"/>
            <w:gridSpan w:val="5"/>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c>
          <w:tcPr>
            <w:tcW w:w="870" w:type="dxa"/>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增湿塔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φ3800*15000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吸收塔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φ3800*34500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脱吸塔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φ1600*23000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贫液泵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Q=75m3/h，H=40m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富液泵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Q=75m3/h，H=40m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贫富液换热器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F=72 m2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贫液冷却器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F=42 m2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再沸器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F=160 m2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脱吸气冷凝器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F=26.6 m2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尾气烟囱</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φ1600 H=60000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SO2气液分离器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Φ1000x3000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冷凝液收集罐</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Φ1500x2000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地下槽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Φ2000x2000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溶液贮槽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Φ3600x4500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碱液槽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Φ3000x5000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脱钠缓冲槽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Φ2000x4000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回收槽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Φ2000x2000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吸附槽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Φ600x4000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脱盐装置</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HXTY500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脱钠装置</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HXTN500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回收泵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Q=45m3/h  H=35m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回流泵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Q=5m3/h  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增湿泵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Q=75m3/h  H=20m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碱液泵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Q=1m3/h  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地槽泵（液下泵）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Q=20m3/h  H=20m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脱钠泵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Q=5m3/h  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冷凝液回收泵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Q=30m3/h  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脱硫碱洗风机</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进口压力:-500Pa,升压:1.5KPa,流量:170m³/min</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脱硫碱洗泵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Q=30m3/h  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脱硫碱洗塔冷却器</w:t>
            </w:r>
          </w:p>
        </w:tc>
        <w:tc>
          <w:tcPr>
            <w:tcW w:w="3493"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板式换热器,F=50m2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硫酸生产装置-SO2干燥装置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SO2干燥酸塔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散堆填料塔,φ内1200*11500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SO2干燥酸脱吸塔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散堆填料塔,φ内1200*11500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干燥酸板换</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板式换热器,470x1130x730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SO2冷凝器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列管换热器,φ600*6000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分子筛干燥器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固定床干燥器 φ1500*4700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SO2干燥酸泵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流量:25m³/h,扬程:24米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SO2干燥酸脱吸泵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流量:25m³/h,扬程:24米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SO2输送泵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容积式泵，∆P=0.2MPa,流量:10m³/h</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空气加热器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400x400x1000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S02压缩机</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Z型立式二列二级水冷无油润滑 ZW-10.8/6 排气量10.8m3/min，排气压力0.6MPa</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S02中间罐</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卧式椭圆封头罐,φ3200*5980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空气过滤器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过滤空气量Q=7000m3/h，规格500*800*500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碱液喷淋泵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流量:80m³/h,扬程:20米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SO2罐区碱液喷淋池</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2200*1600*1600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硫酸生产装置-低温余热回收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低温余热吸收塔</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φ5020*22195</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低温余热循环槽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φ2500*3500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高温酸循环泵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Q=750m3/h，H=22m</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低温余热回收蒸发器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F=418m2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除盐水预热器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F=73m2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除氧水预热器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F=54m2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地下槽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Ф2000x2150  立式</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稀释器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Ф480x5000，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排污扩容器</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Ф1100x2840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罐区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液硫储罐</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立式圆筒拱顶固定顶罐              </w:t>
            </w:r>
          </w:p>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φ18000*10500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98%硫酸罐</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立式圆筒拱顶固定顶罐               φ18000*10500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105%发烟硫酸罐</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立式圆筒拱顶固定顶罐             </w:t>
            </w:r>
          </w:p>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 xml:space="preserve"> φ16000*10500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液硫卸车地下槽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矩形平底平顶槽,6000*2500*2500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液硫喷磺地下槽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矩形平底平顶槽,6000*2500*2500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罐区凝水槽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矩形平底平顶槽,1500*1500*1500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罐区地下酸槽</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立式圆筒平底平顶罐,φ3000*2200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凝水输送泵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管道泵，流量:25m³/h,扬程:30米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98%硫酸装车泵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离心泵,流量:50m³/h,扬程:15米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罐区地下槽泵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液下泵,流量:50m³/h,扬程:24米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105%发烟硫酸装车泵</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离心泵,流量:50m³/h,扬程:15米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液硫过滤机</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过滤精度10μm，面积35m2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98%硫酸装车鹤管</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顶装组合式插入装卸臂AL1412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pStyle w:val="2"/>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672"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105%硫酸装车鹤管</w:t>
            </w:r>
          </w:p>
        </w:tc>
        <w:tc>
          <w:tcPr>
            <w:tcW w:w="3493"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顶装组合式插入装卸臂AL1412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SO2罐区及包装间</w:t>
            </w:r>
            <w:r>
              <w:rPr>
                <w:rFonts w:hint="default" w:ascii="Times New Roman" w:hAnsi="Times New Roman" w:eastAsia="宋体" w:cs="Times New Roman"/>
                <w:kern w:val="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SO2储罐</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卧式椭圆封头罐,φ3200*8000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SO2充装泵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容积式泵,流量Q=10m3/h,ΔP=0.2MPa</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3</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碱液喷淋泵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流量:80m³/h,扬程:20米</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4</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SO2罐区碱液喷淋池</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2200*1600*1600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5</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充装电子称</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最大称量:2000Kg,最小称量:1Kg</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6</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行车</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桥式起重机（QD=32KN） LN=6.0m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7</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钢瓶</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720L</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辅助装置-循环水装置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循环水池</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27000x8000x4000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凉水塔</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处理量3000m3/h,27000*8000*11200</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循环水泵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离心泵,流量:1800m³/h,扬程:26米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辅助装置-水池</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生产储水池</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15000x5000x3000</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2</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生产水泵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Q=100m3/h，H=30m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3</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污水池一（干吸）</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7500*2000（内径）</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4</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污水池一排污泵AB</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Q=30m3/h，H=30m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5</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污水池二（罐区）</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7500*2500（内径）</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6</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污水池二排污泵AB</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Q=30m3/h，H=30m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7</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污水池三（循环水）</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4500*2000（内径）</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rPr>
              <w:t>8</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污水池三排污泵AB</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Q=30m3/h，H=30m</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675"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8" w:type="dxa"/>
            <w:gridSpan w:val="7"/>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辅助装置-除氧水工序</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除氧器</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旋膜式除氧器 CY-35 额定输出：35吨</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2</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锅炉给水泵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流量:60m³/h,扬程:508米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3</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稀释器加水泵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流量:8m³/h，扬程:40米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widowControl/>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4</w:t>
            </w:r>
          </w:p>
        </w:tc>
        <w:tc>
          <w:tcPr>
            <w:tcW w:w="1672" w:type="dxa"/>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蒸发器给水泵</w:t>
            </w:r>
          </w:p>
        </w:tc>
        <w:tc>
          <w:tcPr>
            <w:tcW w:w="3493" w:type="dxa"/>
            <w:vAlign w:val="center"/>
          </w:tcPr>
          <w:p>
            <w:pPr>
              <w:widowControl/>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流量:25m³/h，扬程:159米</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75" w:type="dxa"/>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87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23"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bookmarkEnd w:id="58"/>
    </w:tbl>
    <w:p>
      <w:pPr>
        <w:pStyle w:val="2"/>
        <w:rPr>
          <w:rFonts w:hint="default"/>
        </w:rPr>
      </w:pPr>
    </w:p>
    <w:p>
      <w:pPr>
        <w:pStyle w:val="7"/>
        <w:pageBreakBefore w:val="0"/>
        <w:widowControl w:val="0"/>
        <w:kinsoku/>
        <w:wordWrap/>
        <w:overflowPunct/>
        <w:topLinePunct w:val="0"/>
        <w:autoSpaceDE/>
        <w:autoSpaceDN/>
        <w:bidi w:val="0"/>
        <w:adjustRightInd/>
        <w:snapToGrid/>
        <w:spacing w:before="6" w:after="6"/>
        <w:textAlignment w:val="auto"/>
        <w:rPr>
          <w:rFonts w:hint="default"/>
        </w:rPr>
      </w:pPr>
      <w:bookmarkStart w:id="59" w:name="_Toc30654_WPSOffice_Level3"/>
      <w:bookmarkStart w:id="60" w:name="_Toc28674"/>
      <w:r>
        <w:rPr>
          <w:rFonts w:hint="default"/>
        </w:rPr>
        <w:t>2.4.4产品方案及主要原、辅材料消耗</w:t>
      </w:r>
      <w:bookmarkEnd w:id="59"/>
      <w:bookmarkEnd w:id="60"/>
    </w:p>
    <w:p>
      <w:pPr>
        <w:keepNext w:val="0"/>
        <w:keepLines w:val="0"/>
        <w:pageBreakBefore w:val="0"/>
        <w:widowControl w:val="0"/>
        <w:kinsoku/>
        <w:wordWrap/>
        <w:overflowPunct/>
        <w:topLinePunct w:val="0"/>
        <w:autoSpaceDE/>
        <w:autoSpaceDN/>
        <w:bidi w:val="0"/>
        <w:adjustRightInd/>
        <w:snapToGrid/>
        <w:spacing w:before="6" w:after="6" w:line="48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2.4.4.1产品方案</w:t>
      </w:r>
    </w:p>
    <w:p>
      <w:pPr>
        <w:spacing w:line="48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项目主要产品为</w:t>
      </w:r>
      <w:r>
        <w:rPr>
          <w:rFonts w:hint="default" w:ascii="Times New Roman" w:hAnsi="Times New Roman" w:cs="Times New Roman"/>
          <w:sz w:val="24"/>
          <w:szCs w:val="24"/>
          <w:lang w:eastAsia="zh-CN"/>
        </w:rPr>
        <w:t>硫酸</w:t>
      </w:r>
      <w:r>
        <w:rPr>
          <w:rFonts w:hint="default" w:ascii="Times New Roman" w:hAnsi="Times New Roman" w:eastAsia="宋体" w:cs="Times New Roman"/>
          <w:sz w:val="24"/>
          <w:szCs w:val="24"/>
        </w:rPr>
        <w:t>，</w:t>
      </w:r>
      <w:r>
        <w:rPr>
          <w:rFonts w:hint="default" w:ascii="Times New Roman" w:hAnsi="Times New Roman" w:cs="Times New Roman" w:eastAsiaTheme="minorEastAsia"/>
          <w:sz w:val="24"/>
          <w:szCs w:val="24"/>
        </w:rPr>
        <w:t>产品方案见表2-4。</w:t>
      </w:r>
    </w:p>
    <w:p>
      <w:pPr>
        <w:spacing w:line="480" w:lineRule="exact"/>
        <w:jc w:val="center"/>
        <w:rPr>
          <w:rFonts w:hint="default" w:ascii="Times New Roman" w:hAnsi="Times New Roman" w:cs="Times New Roman" w:eastAsiaTheme="minorEastAsia"/>
          <w:sz w:val="24"/>
          <w:szCs w:val="24"/>
        </w:rPr>
      </w:pPr>
      <w:bookmarkStart w:id="61" w:name="_Toc12513_WPSOffice_Level2"/>
      <w:r>
        <w:rPr>
          <w:rFonts w:hint="default" w:ascii="Times New Roman" w:hAnsi="Times New Roman" w:cs="Times New Roman" w:eastAsiaTheme="minorEastAsia"/>
          <w:sz w:val="24"/>
          <w:szCs w:val="24"/>
        </w:rPr>
        <w:t>表2-4 产品方案</w:t>
      </w:r>
      <w:bookmarkEnd w:id="61"/>
    </w:p>
    <w:tbl>
      <w:tblPr>
        <w:tblStyle w:val="28"/>
        <w:tblW w:w="985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550"/>
        <w:gridCol w:w="1920"/>
        <w:gridCol w:w="1920"/>
        <w:gridCol w:w="200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550" w:type="dxa"/>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产品名称</w:t>
            </w:r>
          </w:p>
        </w:tc>
        <w:tc>
          <w:tcPr>
            <w:tcW w:w="1920" w:type="dxa"/>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生产规模</w:t>
            </w:r>
            <w:r>
              <w:rPr>
                <w:rFonts w:hint="default" w:ascii="Times New Roman" w:hAnsi="Times New Roman" w:cs="Times New Roman"/>
                <w:b/>
                <w:color w:val="auto"/>
                <w:sz w:val="21"/>
                <w:szCs w:val="21"/>
                <w:lang w:eastAsia="zh-CN"/>
              </w:rPr>
              <w:t>（万</w:t>
            </w:r>
            <w:r>
              <w:rPr>
                <w:rFonts w:hint="default" w:ascii="Times New Roman" w:hAnsi="Times New Roman" w:cs="Times New Roman"/>
                <w:b/>
                <w:color w:val="auto"/>
                <w:sz w:val="21"/>
                <w:szCs w:val="21"/>
                <w:lang w:val="en-US" w:eastAsia="zh-CN"/>
              </w:rPr>
              <w:t>t/a</w:t>
            </w:r>
            <w:r>
              <w:rPr>
                <w:rFonts w:hint="default" w:ascii="Times New Roman" w:hAnsi="Times New Roman" w:cs="Times New Roman"/>
                <w:b/>
                <w:color w:val="auto"/>
                <w:sz w:val="21"/>
                <w:szCs w:val="21"/>
                <w:lang w:eastAsia="zh-CN"/>
              </w:rPr>
              <w:t>）</w:t>
            </w:r>
          </w:p>
        </w:tc>
        <w:tc>
          <w:tcPr>
            <w:tcW w:w="1920" w:type="dxa"/>
            <w:vAlign w:val="center"/>
          </w:tcPr>
          <w:p>
            <w:pPr>
              <w:widowControl/>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kern w:val="0"/>
                <w:sz w:val="21"/>
                <w:szCs w:val="21"/>
              </w:rPr>
              <w:t>储存方式</w:t>
            </w:r>
          </w:p>
        </w:tc>
        <w:tc>
          <w:tcPr>
            <w:tcW w:w="2009" w:type="dxa"/>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550" w:type="dxa"/>
            <w:vAlign w:val="center"/>
          </w:tcPr>
          <w:p>
            <w:pPr>
              <w:spacing w:line="400" w:lineRule="exact"/>
              <w:jc w:val="center"/>
              <w:rPr>
                <w:rFonts w:hint="default" w:ascii="Times New Roman" w:hAnsi="Times New Roman" w:cs="Times New Roman"/>
                <w:color w:val="C00000"/>
                <w:sz w:val="21"/>
                <w:szCs w:val="21"/>
                <w:lang w:val="en-US"/>
              </w:rPr>
            </w:pPr>
            <w:r>
              <w:rPr>
                <w:rFonts w:hint="default" w:ascii="Times New Roman" w:hAnsi="Times New Roman" w:cs="Times New Roman"/>
                <w:bCs/>
                <w:sz w:val="21"/>
                <w:szCs w:val="21"/>
              </w:rPr>
              <w:t>硫酸</w:t>
            </w:r>
          </w:p>
        </w:tc>
        <w:tc>
          <w:tcPr>
            <w:tcW w:w="1920" w:type="dxa"/>
            <w:vAlign w:val="center"/>
          </w:tcPr>
          <w:p>
            <w:pPr>
              <w:widowControl/>
              <w:jc w:val="center"/>
              <w:rPr>
                <w:rFonts w:hint="default" w:ascii="Times New Roman" w:hAnsi="Times New Roman" w:eastAsia="宋体" w:cs="Times New Roman"/>
                <w:color w:val="C00000"/>
                <w:sz w:val="21"/>
                <w:szCs w:val="21"/>
                <w:lang w:val="en-US" w:eastAsia="zh-CN"/>
              </w:rPr>
            </w:pPr>
            <w:r>
              <w:rPr>
                <w:rFonts w:hint="default" w:ascii="Times New Roman" w:hAnsi="Times New Roman" w:cs="Times New Roman"/>
                <w:kern w:val="0"/>
                <w:sz w:val="21"/>
                <w:szCs w:val="21"/>
                <w:lang w:val="en-US" w:eastAsia="zh-CN"/>
              </w:rPr>
              <w:t>30</w:t>
            </w:r>
          </w:p>
        </w:tc>
        <w:tc>
          <w:tcPr>
            <w:tcW w:w="1920" w:type="dxa"/>
            <w:vAlign w:val="center"/>
          </w:tcPr>
          <w:p>
            <w:pPr>
              <w:widowControl/>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kern w:val="0"/>
                <w:sz w:val="21"/>
                <w:szCs w:val="21"/>
              </w:rPr>
              <w:t>储罐</w:t>
            </w:r>
          </w:p>
        </w:tc>
        <w:tc>
          <w:tcPr>
            <w:tcW w:w="2009"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以100%H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计</w:t>
            </w:r>
          </w:p>
        </w:tc>
      </w:tr>
    </w:tbl>
    <w:p>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textAlignment w:val="auto"/>
        <w:rPr>
          <w:rFonts w:hint="default" w:ascii="Times New Roman" w:hAnsi="Times New Roman" w:eastAsia="宋体" w:cs="Times New Roman"/>
          <w:b/>
          <w:bCs/>
          <w:sz w:val="28"/>
          <w:szCs w:val="28"/>
        </w:rPr>
      </w:pPr>
      <w:bookmarkStart w:id="62" w:name="_Toc25333_WPSOffice_Level2"/>
      <w:r>
        <w:rPr>
          <w:rFonts w:hint="default" w:ascii="Times New Roman" w:hAnsi="Times New Roman" w:eastAsia="宋体" w:cs="Times New Roman"/>
          <w:b/>
          <w:bCs/>
          <w:sz w:val="28"/>
          <w:szCs w:val="28"/>
        </w:rPr>
        <w:t>2.4.4.2主要原、辅材料消耗</w:t>
      </w:r>
      <w:bookmarkEnd w:id="62"/>
    </w:p>
    <w:p>
      <w:pPr>
        <w:keepNext w:val="0"/>
        <w:keepLines w:val="0"/>
        <w:pageBreakBefore w:val="0"/>
        <w:widowControl w:val="0"/>
        <w:kinsoku/>
        <w:wordWrap/>
        <w:overflowPunct/>
        <w:topLinePunct w:val="0"/>
        <w:autoSpaceDE/>
        <w:autoSpaceDN/>
        <w:bidi w:val="0"/>
        <w:adjustRightInd/>
        <w:snapToGrid/>
        <w:spacing w:before="95" w:beforeLines="30" w:after="95" w:afterLines="30"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主要原辅材料消耗与环评批复对照情况见表2-5。</w:t>
      </w:r>
    </w:p>
    <w:p>
      <w:pPr>
        <w:spacing w:line="480" w:lineRule="exact"/>
        <w:jc w:val="center"/>
        <w:rPr>
          <w:rFonts w:hint="eastAsia" w:ascii="Times New Roman" w:hAnsi="Times New Roman" w:cs="Times New Roman" w:eastAsiaTheme="minorEastAsia"/>
          <w:sz w:val="24"/>
          <w:szCs w:val="24"/>
          <w:lang w:eastAsia="zh-CN"/>
        </w:rPr>
      </w:pPr>
      <w:bookmarkStart w:id="63" w:name="_Toc26607_WPSOffice_Level2"/>
      <w:r>
        <w:rPr>
          <w:rFonts w:hint="default" w:ascii="Times New Roman" w:hAnsi="Times New Roman" w:cs="Times New Roman" w:eastAsiaTheme="minorEastAsia"/>
          <w:sz w:val="24"/>
          <w:szCs w:val="24"/>
        </w:rPr>
        <w:t>表2-5 主要原辅物料</w:t>
      </w:r>
      <w:bookmarkEnd w:id="63"/>
      <w:r>
        <w:rPr>
          <w:rFonts w:hint="eastAsia" w:cs="Times New Roman" w:eastAsiaTheme="minorEastAsia"/>
          <w:sz w:val="24"/>
          <w:szCs w:val="24"/>
          <w:lang w:eastAsia="zh-CN"/>
        </w:rPr>
        <w:t>消耗情况</w:t>
      </w:r>
    </w:p>
    <w:tbl>
      <w:tblPr>
        <w:tblStyle w:val="28"/>
        <w:tblW w:w="9854" w:type="dxa"/>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2398"/>
        <w:gridCol w:w="1499"/>
        <w:gridCol w:w="1500"/>
        <w:gridCol w:w="1404"/>
        <w:gridCol w:w="2342"/>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Merge w:val="restart"/>
            <w:vAlign w:val="center"/>
          </w:tcPr>
          <w:p>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序号</w:t>
            </w:r>
          </w:p>
        </w:tc>
        <w:tc>
          <w:tcPr>
            <w:tcW w:w="2398" w:type="dxa"/>
            <w:vMerge w:val="restar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原料名称</w:t>
            </w:r>
          </w:p>
        </w:tc>
        <w:tc>
          <w:tcPr>
            <w:tcW w:w="4403" w:type="dxa"/>
            <w:gridSpan w:val="3"/>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详细情况</w:t>
            </w:r>
          </w:p>
        </w:tc>
        <w:tc>
          <w:tcPr>
            <w:tcW w:w="2342" w:type="dxa"/>
            <w:vMerge w:val="restar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实际内容及变更情况</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Merge w:val="continue"/>
            <w:vAlign w:val="center"/>
          </w:tcPr>
          <w:p>
            <w:pPr>
              <w:jc w:val="center"/>
              <w:rPr>
                <w:rFonts w:hint="default" w:ascii="Times New Roman" w:hAnsi="Times New Roman" w:eastAsia="宋体" w:cs="Times New Roman"/>
                <w:b/>
                <w:color w:val="auto"/>
                <w:sz w:val="21"/>
                <w:szCs w:val="21"/>
              </w:rPr>
            </w:pPr>
          </w:p>
        </w:tc>
        <w:tc>
          <w:tcPr>
            <w:tcW w:w="2398" w:type="dxa"/>
            <w:vMerge w:val="continue"/>
            <w:vAlign w:val="center"/>
          </w:tcPr>
          <w:p>
            <w:pPr>
              <w:jc w:val="center"/>
              <w:rPr>
                <w:rFonts w:hint="default" w:ascii="Times New Roman" w:hAnsi="Times New Roman" w:eastAsia="宋体" w:cs="Times New Roman"/>
                <w:b/>
                <w:color w:val="auto"/>
                <w:sz w:val="21"/>
                <w:szCs w:val="21"/>
              </w:rPr>
            </w:pPr>
          </w:p>
        </w:tc>
        <w:tc>
          <w:tcPr>
            <w:tcW w:w="1499" w:type="dxa"/>
            <w:vAlign w:val="center"/>
          </w:tcPr>
          <w:p>
            <w:pPr>
              <w:pStyle w:val="3"/>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sz w:val="21"/>
                <w:szCs w:val="21"/>
              </w:rPr>
              <w:t>年用量</w:t>
            </w:r>
          </w:p>
        </w:tc>
        <w:tc>
          <w:tcPr>
            <w:tcW w:w="1500" w:type="dxa"/>
            <w:vAlign w:val="center"/>
          </w:tcPr>
          <w:p>
            <w:pPr>
              <w:widowControl/>
              <w:jc w:val="center"/>
              <w:rPr>
                <w:rFonts w:hint="default" w:ascii="Times New Roman" w:hAnsi="Times New Roman" w:eastAsia="宋体" w:cs="Times New Roman"/>
                <w:b/>
                <w:color w:val="auto"/>
                <w:sz w:val="21"/>
                <w:szCs w:val="21"/>
                <w:lang w:eastAsia="zh-CN"/>
              </w:rPr>
            </w:pPr>
            <w:r>
              <w:rPr>
                <w:rFonts w:hint="eastAsia" w:ascii="宋体" w:hAnsi="宋体" w:cs="宋体"/>
                <w:kern w:val="0"/>
                <w:szCs w:val="21"/>
              </w:rPr>
              <w:t>储存地点</w:t>
            </w:r>
          </w:p>
        </w:tc>
        <w:tc>
          <w:tcPr>
            <w:tcW w:w="1404" w:type="dxa"/>
            <w:vAlign w:val="center"/>
          </w:tcPr>
          <w:p>
            <w:pPr>
              <w:pStyle w:val="3"/>
              <w:adjustRightInd w:val="0"/>
              <w:snapToGrid w:val="0"/>
              <w:spacing w:line="240" w:lineRule="auto"/>
              <w:ind w:left="0" w:leftChars="0" w:firstLine="0" w:firstLineChars="0"/>
              <w:jc w:val="center"/>
              <w:rPr>
                <w:rFonts w:hint="default" w:ascii="Times New Roman" w:hAnsi="Times New Roman" w:eastAsia="宋体" w:cs="Times New Roman"/>
                <w:b/>
                <w:color w:val="auto"/>
                <w:sz w:val="21"/>
                <w:szCs w:val="21"/>
                <w:lang w:eastAsia="zh-CN"/>
              </w:rPr>
            </w:pPr>
            <w:r>
              <w:rPr>
                <w:rFonts w:hint="eastAsia" w:ascii="宋体" w:hAnsi="宋体" w:eastAsia="宋体" w:cs="宋体"/>
                <w:kern w:val="0"/>
                <w:sz w:val="21"/>
                <w:szCs w:val="21"/>
                <w:lang w:val="en-US" w:eastAsia="zh-CN" w:bidi="ar-SA"/>
              </w:rPr>
              <w:t>储存方式</w:t>
            </w:r>
          </w:p>
        </w:tc>
        <w:tc>
          <w:tcPr>
            <w:tcW w:w="2342" w:type="dxa"/>
            <w:vMerge w:val="continue"/>
            <w:vAlign w:val="center"/>
          </w:tcPr>
          <w:p>
            <w:pPr>
              <w:jc w:val="center"/>
              <w:rPr>
                <w:rFonts w:hint="default" w:ascii="Times New Roman" w:hAnsi="Times New Roman" w:eastAsia="宋体" w:cs="Times New Roman"/>
                <w:b/>
                <w:color w:val="C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398" w:type="dxa"/>
            <w:tcBorders>
              <w:right w:val="single" w:color="auto" w:sz="4" w:space="0"/>
            </w:tcBorders>
            <w:vAlign w:val="center"/>
          </w:tcPr>
          <w:p>
            <w:pPr>
              <w:spacing w:line="5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zh-CN"/>
              </w:rPr>
              <w:t>液体硫磺</w:t>
            </w:r>
          </w:p>
        </w:tc>
        <w:tc>
          <w:tcPr>
            <w:tcW w:w="149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10.054万t/a</w:t>
            </w:r>
          </w:p>
        </w:tc>
        <w:tc>
          <w:tcPr>
            <w:tcW w:w="1500" w:type="dxa"/>
            <w:tcBorders>
              <w:left w:val="single" w:color="auto" w:sz="4" w:space="0"/>
              <w:right w:val="single" w:color="auto" w:sz="4" w:space="0"/>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kern w:val="0"/>
                <w:sz w:val="21"/>
                <w:szCs w:val="21"/>
                <w:lang w:eastAsia="zh-CN"/>
              </w:rPr>
              <w:t>罐区</w:t>
            </w:r>
          </w:p>
        </w:tc>
        <w:tc>
          <w:tcPr>
            <w:tcW w:w="1404" w:type="dxa"/>
            <w:tcBorders>
              <w:lef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储罐</w:t>
            </w:r>
          </w:p>
        </w:tc>
        <w:tc>
          <w:tcPr>
            <w:tcW w:w="2342" w:type="dxa"/>
            <w:vAlign w:val="center"/>
          </w:tcPr>
          <w:p>
            <w:pPr>
              <w:jc w:val="center"/>
              <w:rPr>
                <w:rFonts w:hint="default" w:ascii="Times New Roman" w:hAnsi="Times New Roman" w:eastAsia="宋体" w:cs="Times New Roman"/>
                <w:color w:val="C00000"/>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398" w:type="dxa"/>
            <w:tcBorders>
              <w:right w:val="single" w:color="auto" w:sz="4" w:space="0"/>
            </w:tcBorders>
            <w:vAlign w:val="center"/>
          </w:tcPr>
          <w:p>
            <w:pPr>
              <w:spacing w:line="5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zh-CN"/>
              </w:rPr>
              <w:t>钒催化剂</w:t>
            </w:r>
          </w:p>
        </w:tc>
        <w:tc>
          <w:tcPr>
            <w:tcW w:w="149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162m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/次</w:t>
            </w:r>
          </w:p>
        </w:tc>
        <w:tc>
          <w:tcPr>
            <w:tcW w:w="1500"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尾气处理系统</w:t>
            </w:r>
          </w:p>
        </w:tc>
        <w:tc>
          <w:tcPr>
            <w:tcW w:w="1404" w:type="dxa"/>
            <w:tcBorders>
              <w:lef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w:t>
            </w:r>
          </w:p>
        </w:tc>
        <w:tc>
          <w:tcPr>
            <w:tcW w:w="234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398" w:type="dxa"/>
            <w:tcBorders>
              <w:right w:val="single" w:color="auto" w:sz="4" w:space="0"/>
            </w:tcBorders>
            <w:vAlign w:val="center"/>
          </w:tcPr>
          <w:p>
            <w:pPr>
              <w:spacing w:line="5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离子液</w:t>
            </w:r>
          </w:p>
        </w:tc>
        <w:tc>
          <w:tcPr>
            <w:tcW w:w="149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60t/a</w:t>
            </w:r>
          </w:p>
        </w:tc>
        <w:tc>
          <w:tcPr>
            <w:tcW w:w="1500"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尾气处理系统</w:t>
            </w:r>
          </w:p>
        </w:tc>
        <w:tc>
          <w:tcPr>
            <w:tcW w:w="1404" w:type="dxa"/>
            <w:tcBorders>
              <w:lef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储罐</w:t>
            </w:r>
          </w:p>
        </w:tc>
        <w:tc>
          <w:tcPr>
            <w:tcW w:w="234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398" w:type="dxa"/>
            <w:tcBorders>
              <w:right w:val="single" w:color="auto" w:sz="4" w:space="0"/>
            </w:tcBorders>
            <w:vAlign w:val="center"/>
          </w:tcPr>
          <w:p>
            <w:pPr>
              <w:spacing w:line="5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碱液</w:t>
            </w:r>
          </w:p>
        </w:tc>
        <w:tc>
          <w:tcPr>
            <w:tcW w:w="149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150t/a</w:t>
            </w:r>
          </w:p>
        </w:tc>
        <w:tc>
          <w:tcPr>
            <w:tcW w:w="1500"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罐区</w:t>
            </w:r>
          </w:p>
        </w:tc>
        <w:tc>
          <w:tcPr>
            <w:tcW w:w="1404" w:type="dxa"/>
            <w:tcBorders>
              <w:lef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rPr>
              <w:t>储罐</w:t>
            </w:r>
          </w:p>
        </w:tc>
        <w:tc>
          <w:tcPr>
            <w:tcW w:w="2342"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2398" w:type="dxa"/>
            <w:tcBorders>
              <w:right w:val="single" w:color="auto" w:sz="4" w:space="0"/>
            </w:tcBorders>
            <w:vAlign w:val="center"/>
          </w:tcPr>
          <w:p>
            <w:pPr>
              <w:spacing w:line="520" w:lineRule="exact"/>
              <w:jc w:val="center"/>
              <w:rPr>
                <w:rFonts w:hint="eastAsia" w:ascii="Times New Roman" w:hAnsi="Times New Roman" w:eastAsia="宋体" w:cs="Times New Roman"/>
                <w:sz w:val="21"/>
                <w:szCs w:val="21"/>
                <w:lang w:eastAsia="zh-CN"/>
              </w:rPr>
            </w:pPr>
            <w:r>
              <w:rPr>
                <w:rFonts w:hint="eastAsia" w:cs="Times New Roman"/>
                <w:sz w:val="21"/>
                <w:szCs w:val="21"/>
                <w:lang w:eastAsia="zh-CN"/>
              </w:rPr>
              <w:t>轻柴油</w:t>
            </w:r>
          </w:p>
        </w:tc>
        <w:tc>
          <w:tcPr>
            <w:tcW w:w="149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45t/a</w:t>
            </w:r>
          </w:p>
        </w:tc>
        <w:tc>
          <w:tcPr>
            <w:tcW w:w="1500"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罐区</w:t>
            </w:r>
          </w:p>
        </w:tc>
        <w:tc>
          <w:tcPr>
            <w:tcW w:w="1404" w:type="dxa"/>
            <w:tcBorders>
              <w:left w:val="single" w:color="auto" w:sz="4" w:space="0"/>
            </w:tcBorders>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储罐</w:t>
            </w:r>
          </w:p>
        </w:tc>
        <w:tc>
          <w:tcPr>
            <w:tcW w:w="2342" w:type="dxa"/>
            <w:vAlign w:val="center"/>
          </w:tcPr>
          <w:p>
            <w:pPr>
              <w:jc w:val="center"/>
              <w:rPr>
                <w:rFonts w:hint="default"/>
                <w:lang w:val="en-US" w:eastAsia="zh-CN"/>
              </w:rPr>
            </w:pPr>
            <w:r>
              <w:rPr>
                <w:rFonts w:hint="default"/>
                <w:lang w:val="en-US" w:eastAsia="zh-CN"/>
              </w:rPr>
              <w:t>与环评一致</w:t>
            </w:r>
          </w:p>
          <w:p>
            <w:pPr>
              <w:pStyle w:val="2"/>
              <w:rPr>
                <w:rFonts w:hint="default"/>
                <w:lang w:val="en-US" w:eastAsia="zh-CN"/>
              </w:rPr>
            </w:pPr>
            <w:r>
              <w:rPr>
                <w:rFonts w:hint="eastAsia" w:cs="Times New Roman"/>
                <w:color w:val="auto"/>
                <w:sz w:val="21"/>
                <w:szCs w:val="21"/>
                <w:lang w:val="en-US" w:eastAsia="zh-CN"/>
              </w:rPr>
              <w:t>（开车使用）</w:t>
            </w:r>
          </w:p>
        </w:tc>
      </w:tr>
    </w:tbl>
    <w:p>
      <w:pPr>
        <w:pStyle w:val="6"/>
        <w:keepNext/>
        <w:keepLines/>
        <w:pageBreakBefore w:val="0"/>
        <w:widowControl w:val="0"/>
        <w:kinsoku/>
        <w:wordWrap/>
        <w:overflowPunct/>
        <w:topLinePunct w:val="0"/>
        <w:autoSpaceDE/>
        <w:autoSpaceDN/>
        <w:bidi w:val="0"/>
        <w:adjustRightInd/>
        <w:snapToGrid/>
        <w:spacing w:before="6" w:after="2" w:line="240" w:lineRule="auto"/>
        <w:ind w:left="0" w:leftChars="0" w:right="0" w:rightChars="0"/>
        <w:textAlignment w:val="auto"/>
        <w:rPr>
          <w:rFonts w:hint="eastAsia"/>
        </w:rPr>
      </w:pPr>
      <w:bookmarkStart w:id="64" w:name="_Toc26445_WPSOffice_Level2"/>
      <w:bookmarkStart w:id="65" w:name="_Toc548"/>
      <w:r>
        <w:rPr>
          <w:rFonts w:hint="eastAsia"/>
        </w:rPr>
        <w:t>2.5 主要工艺流程及产污环节</w:t>
      </w:r>
      <w:bookmarkEnd w:id="64"/>
      <w:bookmarkEnd w:id="65"/>
    </w:p>
    <w:p>
      <w:pPr>
        <w:pStyle w:val="7"/>
        <w:keepNext/>
        <w:keepLines/>
        <w:pageBreakBefore w:val="0"/>
        <w:widowControl w:val="0"/>
        <w:kinsoku/>
        <w:wordWrap/>
        <w:overflowPunct/>
        <w:topLinePunct w:val="0"/>
        <w:autoSpaceDE/>
        <w:autoSpaceDN/>
        <w:bidi w:val="0"/>
        <w:adjustRightInd/>
        <w:snapToGrid/>
        <w:spacing w:before="6" w:after="2" w:line="240" w:lineRule="auto"/>
        <w:ind w:left="0" w:leftChars="0" w:right="0" w:rightChars="0"/>
        <w:textAlignment w:val="auto"/>
        <w:rPr>
          <w:rFonts w:hint="eastAsia"/>
          <w:b/>
          <w:bCs/>
          <w:lang w:val="en-US" w:eastAsia="zh-CN"/>
        </w:rPr>
      </w:pPr>
      <w:bookmarkStart w:id="66" w:name="_Toc11169_WPSOffice_Level3"/>
      <w:bookmarkStart w:id="67" w:name="_Toc24195"/>
      <w:r>
        <w:rPr>
          <w:rFonts w:hint="default"/>
        </w:rPr>
        <w:t>2.5.1</w:t>
      </w:r>
      <w:r>
        <w:rPr>
          <w:rFonts w:hint="eastAsia"/>
        </w:rPr>
        <w:t>硫磺制酸装置工艺流程简介</w:t>
      </w:r>
      <w:bookmarkEnd w:id="66"/>
      <w:bookmarkEnd w:id="67"/>
    </w:p>
    <w:p>
      <w:pPr>
        <w:spacing w:line="360" w:lineRule="auto"/>
        <w:rPr>
          <w:rFonts w:hint="eastAsia" w:ascii="黑体" w:hAnsi="宋体" w:eastAsia="黑体"/>
          <w:sz w:val="28"/>
          <w:szCs w:val="28"/>
        </w:rPr>
      </w:pPr>
      <w:r>
        <w:rPr>
          <w:rFonts w:hint="eastAsia" w:ascii="黑体" w:hAnsi="宋体" w:eastAsia="黑体"/>
          <w:sz w:val="28"/>
          <w:szCs w:val="28"/>
        </w:rPr>
        <w:t>工艺流程简述</w:t>
      </w:r>
    </w:p>
    <w:p>
      <w:pPr>
        <w:spacing w:line="360" w:lineRule="auto"/>
        <w:ind w:firstLine="480"/>
        <w:outlineLvl w:val="0"/>
        <w:rPr>
          <w:rFonts w:hint="eastAsia" w:ascii="宋体" w:hAnsi="宋体"/>
          <w:sz w:val="24"/>
        </w:rPr>
      </w:pPr>
      <w:r>
        <w:rPr>
          <w:rFonts w:hint="eastAsia" w:ascii="宋体" w:hAnsi="宋体"/>
          <w:sz w:val="24"/>
        </w:rPr>
        <w:t>30万t/a硫磺制酸项目的生产工艺与搬迁前的工艺基本相同，包含焚硫转化工段、干吸工段、成品工段、余热回收系统、尾气回收处理系统、二氧化硫干燥等组成。</w:t>
      </w:r>
    </w:p>
    <w:p>
      <w:pPr>
        <w:spacing w:line="360" w:lineRule="auto"/>
        <w:ind w:firstLine="480"/>
        <w:outlineLvl w:val="0"/>
        <w:rPr>
          <w:rFonts w:hint="eastAsia" w:ascii="宋体" w:hAnsi="宋体"/>
          <w:sz w:val="24"/>
        </w:rPr>
      </w:pPr>
      <w:r>
        <w:rPr>
          <w:rFonts w:hint="eastAsia" w:ascii="宋体" w:hAnsi="宋体"/>
          <w:sz w:val="24"/>
        </w:rPr>
        <w:t>1、工艺原理</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液体硫磺经焚烧产生二氧化硫气体，通过废热锅炉降温，进入转化器，二氧化硫与氧气反应生成三氧化硫，再经换热降温、低温余热吸收，制得硫酸成品，在硫磺燃烧和SO</w:t>
      </w:r>
      <w:r>
        <w:rPr>
          <w:rFonts w:hint="eastAsia" w:ascii="宋体" w:hAnsi="宋体"/>
          <w:sz w:val="24"/>
          <w:vertAlign w:val="subscript"/>
        </w:rPr>
        <w:t>2</w:t>
      </w:r>
      <w:r>
        <w:rPr>
          <w:rFonts w:hint="eastAsia" w:ascii="宋体" w:hAnsi="宋体"/>
          <w:sz w:val="24"/>
        </w:rPr>
        <w:t>转化为SO</w:t>
      </w:r>
      <w:r>
        <w:rPr>
          <w:rFonts w:hint="eastAsia" w:ascii="宋体" w:hAnsi="宋体"/>
          <w:sz w:val="24"/>
          <w:vertAlign w:val="subscript"/>
        </w:rPr>
        <w:t>3</w:t>
      </w:r>
      <w:r>
        <w:rPr>
          <w:rFonts w:hint="eastAsia" w:ascii="宋体" w:hAnsi="宋体"/>
          <w:sz w:val="24"/>
        </w:rPr>
        <w:t>的过程中副产蒸汽。</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经过低温余热吸收后的工艺气体含二氧化硫12600mg/Nm</w:t>
      </w:r>
      <w:r>
        <w:rPr>
          <w:rFonts w:hint="eastAsia" w:ascii="宋体" w:hAnsi="宋体"/>
          <w:sz w:val="24"/>
          <w:vertAlign w:val="superscript"/>
        </w:rPr>
        <w:t>3</w:t>
      </w:r>
      <w:r>
        <w:rPr>
          <w:rFonts w:hint="eastAsia" w:ascii="宋体" w:hAnsi="宋体"/>
          <w:sz w:val="24"/>
        </w:rPr>
        <w:t>,进入尾气处理系统用离子液溶液吸收，达标后的气体排放，富含二氧化硫的离子液溶液，解析后回用，解析出来的二氧化硫，经冷却、干燥后，进入压缩机加压，生产出液体二氧化硫产品。</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副产的蒸汽外送供厂区使用，或外供。其化学反应方程式如下：</w:t>
      </w:r>
    </w:p>
    <w:p>
      <w:pPr>
        <w:autoSpaceDE w:val="0"/>
        <w:autoSpaceDN w:val="0"/>
        <w:adjustRightInd w:val="0"/>
        <w:spacing w:line="360" w:lineRule="auto"/>
        <w:ind w:firstLine="480" w:firstLineChars="200"/>
        <w:jc w:val="left"/>
        <w:rPr>
          <w:rFonts w:hint="eastAsia" w:ascii="宋体" w:hAnsi="宋体"/>
          <w:sz w:val="24"/>
          <w:vertAlign w:val="subscript"/>
        </w:rPr>
      </w:pPr>
      <w:r>
        <w:rPr>
          <w:rFonts w:hint="eastAsia" w:ascii="宋体" w:hAnsi="宋体"/>
          <w:sz w:val="24"/>
        </w:rPr>
        <w:t>（1）2S  + O</w:t>
      </w:r>
      <w:r>
        <w:rPr>
          <w:rFonts w:hint="eastAsia" w:ascii="宋体" w:hAnsi="宋体"/>
          <w:sz w:val="24"/>
          <w:vertAlign w:val="subscript"/>
        </w:rPr>
        <w:t>2</w:t>
      </w:r>
      <w:r>
        <w:rPr>
          <w:rFonts w:hint="eastAsia" w:ascii="宋体" w:hAnsi="宋体"/>
          <w:sz w:val="24"/>
        </w:rPr>
        <w:t xml:space="preserve"> →  2SO</w:t>
      </w:r>
      <w:r>
        <w:rPr>
          <w:rFonts w:hint="eastAsia" w:ascii="宋体" w:hAnsi="宋体"/>
          <w:sz w:val="24"/>
          <w:vertAlign w:val="subscript"/>
        </w:rPr>
        <w:t>2</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（2）2SO</w:t>
      </w:r>
      <w:r>
        <w:rPr>
          <w:rFonts w:hint="eastAsia" w:ascii="宋体" w:hAnsi="宋体"/>
          <w:sz w:val="24"/>
          <w:vertAlign w:val="subscript"/>
        </w:rPr>
        <w:t>2</w:t>
      </w:r>
      <w:r>
        <w:rPr>
          <w:rFonts w:hint="eastAsia" w:ascii="宋体" w:hAnsi="宋体"/>
          <w:sz w:val="24"/>
        </w:rPr>
        <w:t xml:space="preserve">  +O</w:t>
      </w:r>
      <w:r>
        <w:rPr>
          <w:rFonts w:hint="eastAsia" w:ascii="宋体" w:hAnsi="宋体"/>
          <w:sz w:val="24"/>
          <w:vertAlign w:val="subscript"/>
        </w:rPr>
        <w:t>2</w:t>
      </w:r>
      <w:r>
        <w:rPr>
          <w:rFonts w:hint="eastAsia" w:ascii="宋体" w:hAnsi="宋体"/>
          <w:sz w:val="24"/>
        </w:rPr>
        <w:t xml:space="preserve">  →  2SO</w:t>
      </w:r>
      <w:r>
        <w:rPr>
          <w:rFonts w:hint="eastAsia" w:ascii="宋体" w:hAnsi="宋体"/>
          <w:sz w:val="24"/>
          <w:vertAlign w:val="subscript"/>
        </w:rPr>
        <w:t>3</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（3）SO</w:t>
      </w:r>
      <w:r>
        <w:rPr>
          <w:rFonts w:hint="eastAsia" w:ascii="宋体" w:hAnsi="宋体"/>
          <w:sz w:val="24"/>
          <w:vertAlign w:val="subscript"/>
        </w:rPr>
        <w:t>3</w:t>
      </w:r>
      <w:r>
        <w:rPr>
          <w:rFonts w:hint="eastAsia" w:ascii="宋体" w:hAnsi="宋体"/>
          <w:sz w:val="24"/>
        </w:rPr>
        <w:t xml:space="preserve">   +  H</w:t>
      </w:r>
      <w:r>
        <w:rPr>
          <w:rFonts w:hint="eastAsia" w:ascii="宋体" w:hAnsi="宋体"/>
          <w:sz w:val="24"/>
          <w:vertAlign w:val="subscript"/>
        </w:rPr>
        <w:t>2</w:t>
      </w:r>
      <w:r>
        <w:rPr>
          <w:rFonts w:hint="eastAsia" w:ascii="宋体" w:hAnsi="宋体"/>
          <w:sz w:val="24"/>
        </w:rPr>
        <w:t>O  →  H</w:t>
      </w:r>
      <w:r>
        <w:rPr>
          <w:rFonts w:hint="eastAsia" w:ascii="宋体" w:hAnsi="宋体"/>
          <w:sz w:val="24"/>
          <w:vertAlign w:val="subscript"/>
        </w:rPr>
        <w:t>2</w:t>
      </w:r>
      <w:r>
        <w:rPr>
          <w:rFonts w:hint="eastAsia" w:ascii="宋体" w:hAnsi="宋体"/>
          <w:sz w:val="24"/>
        </w:rPr>
        <w:t>SO</w:t>
      </w:r>
      <w:r>
        <w:rPr>
          <w:rFonts w:hint="eastAsia" w:ascii="宋体" w:hAnsi="宋体"/>
          <w:sz w:val="24"/>
          <w:vertAlign w:val="subscript"/>
        </w:rPr>
        <w:t>4</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尾气回收处理反应方程式如下：</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总反应式：</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mc:AlternateContent>
          <mc:Choice Requires="wps">
            <w:drawing>
              <wp:anchor distT="0" distB="0" distL="114300" distR="114300" simplePos="0" relativeHeight="2016420864" behindDoc="0" locked="0" layoutInCell="1" allowOverlap="1">
                <wp:simplePos x="0" y="0"/>
                <wp:positionH relativeFrom="column">
                  <wp:posOffset>2382520</wp:posOffset>
                </wp:positionH>
                <wp:positionV relativeFrom="paragraph">
                  <wp:posOffset>109220</wp:posOffset>
                </wp:positionV>
                <wp:extent cx="457200" cy="9525"/>
                <wp:effectExtent l="0" t="36195" r="0" b="49530"/>
                <wp:wrapNone/>
                <wp:docPr id="5" name="直接箭头连接符 5"/>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w="15875" cap="flat" cmpd="sng">
                          <a:solidFill>
                            <a:srgbClr val="739CC3"/>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flip:y;margin-left:187.6pt;margin-top:8.6pt;height:0.75pt;width:36pt;z-index:2016420864;mso-width-relative:page;mso-height-relative:page;" filled="f" stroked="t" coordsize="21600,21600" o:gfxdata="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ziSINgAAAAJAQAADwAAAAAAAAABACAAAAAiAAAAZHJzL2Rvd25yZXYueG1sUEsBAhQA&#10;FAAAAAgAh07iQOEkQdXyAQAAswMAAA4AAAAAAAAAAQAgAAAAJwEAAGRycy9lMm9Eb2MueG1sUEsF&#10;BgAAAAAGAAYAWQEAAIsFAAAAAA==&#10;">
                <v:fill on="f" focussize="0,0"/>
                <v:stroke weight="1.25pt" color="#739CC3" joinstyle="round" startarrow="block" endarrow="block"/>
                <v:imagedata o:title=""/>
                <o:lock v:ext="edit" aspectratio="f"/>
              </v:shape>
            </w:pict>
          </mc:Fallback>
        </mc:AlternateContent>
      </w:r>
      <w:r>
        <w:rPr>
          <w:rFonts w:hint="eastAsia" w:ascii="宋体" w:hAnsi="宋体"/>
          <w:sz w:val="24"/>
        </w:rPr>
        <w:t xml:space="preserve">          SO</w:t>
      </w:r>
      <w:r>
        <w:rPr>
          <w:rFonts w:hint="eastAsia" w:ascii="宋体" w:hAnsi="宋体"/>
          <w:sz w:val="24"/>
          <w:vertAlign w:val="subscript"/>
        </w:rPr>
        <w:t>2</w:t>
      </w:r>
      <w:r>
        <w:rPr>
          <w:rFonts w:hint="eastAsia" w:ascii="宋体" w:hAnsi="宋体"/>
          <w:sz w:val="24"/>
        </w:rPr>
        <w:t xml:space="preserve">  +  H</w:t>
      </w:r>
      <w:r>
        <w:rPr>
          <w:rFonts w:hint="eastAsia" w:ascii="宋体" w:hAnsi="宋体"/>
          <w:sz w:val="24"/>
          <w:vertAlign w:val="subscript"/>
        </w:rPr>
        <w:t>2</w:t>
      </w:r>
      <w:r>
        <w:rPr>
          <w:rFonts w:hint="eastAsia" w:ascii="宋体" w:hAnsi="宋体"/>
          <w:sz w:val="24"/>
        </w:rPr>
        <w:t xml:space="preserve">O  + R  </w:t>
      </w:r>
      <w:r>
        <w:rPr>
          <w:rFonts w:hint="eastAsia" w:ascii="宋体" w:hAnsi="宋体"/>
          <w:color w:val="auto"/>
          <w:sz w:val="24"/>
        </w:rPr>
        <w:t xml:space="preserve">         </w:t>
      </w:r>
      <w:r>
        <w:rPr>
          <w:rFonts w:hint="eastAsia" w:ascii="宋体" w:hAnsi="宋体"/>
          <w:sz w:val="24"/>
        </w:rPr>
        <w:t>RH</w:t>
      </w:r>
      <w:r>
        <w:rPr>
          <w:rFonts w:hint="eastAsia" w:ascii="宋体" w:hAnsi="宋体"/>
          <w:sz w:val="24"/>
          <w:vertAlign w:val="superscript"/>
        </w:rPr>
        <w:t>+</w:t>
      </w:r>
      <w:r>
        <w:rPr>
          <w:rFonts w:hint="eastAsia" w:ascii="宋体" w:hAnsi="宋体"/>
          <w:sz w:val="24"/>
        </w:rPr>
        <w:t xml:space="preserve">  +  HSO</w:t>
      </w:r>
      <w:r>
        <w:rPr>
          <w:rFonts w:hint="eastAsia" w:ascii="宋体" w:hAnsi="宋体"/>
          <w:sz w:val="24"/>
          <w:vertAlign w:val="subscript"/>
        </w:rPr>
        <w:t>3</w:t>
      </w:r>
      <w:r>
        <w:rPr>
          <w:rFonts w:hint="eastAsia" w:ascii="宋体" w:hAnsi="宋体"/>
          <w:sz w:val="24"/>
          <w:vertAlign w:val="superscript"/>
        </w:rPr>
        <w:t>—</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2、工艺流程流程叙述</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工艺部分由焚硫转化装置、鼓风机房及吸收装置、低温余热回收系统、尾气回收处理系统、SO</w:t>
      </w:r>
      <w:r>
        <w:rPr>
          <w:rFonts w:hint="eastAsia" w:ascii="宋体" w:hAnsi="宋体"/>
          <w:sz w:val="24"/>
          <w:vertAlign w:val="subscript"/>
        </w:rPr>
        <w:t>2</w:t>
      </w:r>
      <w:r>
        <w:rPr>
          <w:rFonts w:hint="eastAsia" w:ascii="宋体" w:hAnsi="宋体"/>
          <w:sz w:val="24"/>
        </w:rPr>
        <w:t>干燥装置、罐区储运系统、SO</w:t>
      </w:r>
      <w:r>
        <w:rPr>
          <w:rFonts w:hint="eastAsia" w:ascii="宋体" w:hAnsi="宋体"/>
          <w:sz w:val="24"/>
          <w:vertAlign w:val="subscript"/>
        </w:rPr>
        <w:t>2</w:t>
      </w:r>
      <w:r>
        <w:rPr>
          <w:rFonts w:hint="eastAsia" w:ascii="宋体" w:hAnsi="宋体"/>
          <w:sz w:val="24"/>
        </w:rPr>
        <w:t>储运、包装系统、厂区组成。各工段工艺过程叙述如下。</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1 焚硫转化装置</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1)焚硫转化装置—烟气系统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空气经过滤器过滤，干燥塔干燥，然后由空气鼓风机加压后送入焚硫炉，与液硫泵加压，硫磺枪雾化后的液硫在焚硫炉内充分燃烧。在干燥塔内用98％硫酸干燥空气，使出塔空气中的水分≤0.1g/Nm</w:t>
      </w:r>
      <w:r>
        <w:rPr>
          <w:rFonts w:hint="eastAsia" w:ascii="宋体" w:hAnsi="宋体"/>
          <w:sz w:val="24"/>
          <w:vertAlign w:val="superscript"/>
        </w:rPr>
        <w:t>3</w:t>
      </w:r>
      <w:r>
        <w:rPr>
          <w:rFonts w:hint="eastAsia" w:ascii="宋体" w:hAnsi="宋体"/>
          <w:sz w:val="24"/>
        </w:rPr>
        <w:t>。干燥空气在焚硫炉与硫磺混合燃烧生成含10％SO</w:t>
      </w:r>
      <w:r>
        <w:rPr>
          <w:rFonts w:hint="eastAsia" w:ascii="宋体" w:hAnsi="宋体"/>
          <w:sz w:val="24"/>
          <w:vertAlign w:val="subscript"/>
        </w:rPr>
        <w:t>2</w:t>
      </w:r>
      <w:r>
        <w:rPr>
          <w:rFonts w:hint="eastAsia" w:ascii="宋体" w:hAnsi="宋体"/>
          <w:sz w:val="24"/>
        </w:rPr>
        <w:t>、1030℃左右的高温炉气，进入废热锅炉回收热量(副产3.82MPa、450℃中压蒸汽)。</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出废热锅炉的SO</w:t>
      </w:r>
      <w:r>
        <w:rPr>
          <w:rFonts w:hint="eastAsia" w:ascii="宋体" w:hAnsi="宋体"/>
          <w:sz w:val="24"/>
          <w:vertAlign w:val="subscript"/>
        </w:rPr>
        <w:t>2</w:t>
      </w:r>
      <w:r>
        <w:rPr>
          <w:rFonts w:hint="eastAsia" w:ascii="宋体" w:hAnsi="宋体"/>
          <w:sz w:val="24"/>
        </w:rPr>
        <w:t>气体温度降至420℃进入转化器第一段催化剂层进行转化，经反应后，温度升至约600℃进入高温过热器进行热交换，产生过热蒸汽。冷却后的炉气进入转化器第二段催化剂层进行氧化反应，温度升高至约520℃后，进入中温过热器降温至440℃，进入转化器第三段催化剂层进行氧化反应，温度升高到约470℃后，进入低温过热器降温到400℃后，进入转化器第四段催化剂层进行转化反应，温度升高到约450℃后，进入省煤器，温度降至约175℃，进入低温余热回收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为了调节各段催化剂层气体进口温度，设置了必要的副线和阀门。</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焚硫转化装置—热力系统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在焚硫炉后设置一台中压火管废热锅炉，用以回收硫磺燃烧产生的高温余热，产生压力为3.82MPa的饱和蒸汽，在转化器一段出口设置一台高温过热器，二段出口设置一台中温过热器，转化器三段出口设置一台低温过热器，四段出口设置一台省煤器。</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废热锅炉汽包中的炉水经下降管进入锅壳式蒸发器，经换热后，炉水部分蒸发，汽水混合物经上升管进入汽包内，在汽包内经二次汽水分离，饱和蒸汽从汽包顶部导出，分离下的炉水再进入下降管继续进行循环。饱和蒸汽经管道分别进入低温过热器、中温过热器、高温过热器加热，为保证出口过热蒸汽温度，在中温过热器和高温过热器两段之间、高温过热器之后设有喷水减温自动调节装置。</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2 鼓风机房及吸收装置—干燥、吸收系统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空气经空气过滤器除去灰尘后，进入干燥塔，塔内用98％硫酸吸收其水分，经除雾器除去酸雾，再由空气鼓风机升压后送入焚硫炉与液磺进行燃烧。经干燥塔干燥后的空气含水量在0.1g/Nm3以下。干燥塔内：喷淋98％浓硫酸，吸收空气中水分后自塔底排至干吸塔酸循环槽中，与低温吸收塔循环酸槽过来的酸浓99.5%混合保持干燥酸浓度维持98%。</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干燥系统采用98％硫酸干燥，循环槽为卧式槽，其中干燥塔和低温余热循环槽串酸，保证干燥酸浓度维持在98%。干燥塔、低温余热吸收塔均为填料塔。</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转化后的气体有一部分进入烟酸塔。塔内用硫酸淋洒，吸收转化气中的SO</w:t>
      </w:r>
      <w:r>
        <w:rPr>
          <w:rFonts w:hint="eastAsia" w:ascii="宋体" w:hAnsi="宋体"/>
          <w:sz w:val="24"/>
          <w:vertAlign w:val="subscript"/>
        </w:rPr>
        <w:t>3</w:t>
      </w:r>
      <w:r>
        <w:rPr>
          <w:rFonts w:hint="eastAsia" w:ascii="宋体" w:hAnsi="宋体"/>
          <w:sz w:val="24"/>
        </w:rPr>
        <w:t>后浓度增加，由塔底流入烟酸塔循环槽，酸浓由干燥塔酸循环泵出口串来98％酸来维持，生成104.5％发烟酸。然后经烟酸塔循环泵打入烟酸塔酸冷却器，冷却后进入烟酸塔循环使用，冷却后的一部分发烟硫酸作为成品烟酸引入成品工段。吸收SO</w:t>
      </w:r>
      <w:r>
        <w:rPr>
          <w:rFonts w:hint="eastAsia" w:ascii="宋体" w:hAnsi="宋体"/>
          <w:sz w:val="24"/>
          <w:vertAlign w:val="subscript"/>
        </w:rPr>
        <w:t>3</w:t>
      </w:r>
      <w:r>
        <w:rPr>
          <w:rFonts w:hint="eastAsia" w:ascii="宋体" w:hAnsi="宋体"/>
          <w:sz w:val="24"/>
        </w:rPr>
        <w:t>后的气体并入低温余热吸收塔气体入口。</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3.低温余热回收系统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从发烟硫酸吸收塔出口的烟气与转化后的气体合并后进入低温余热吸收塔。该塔分为两层，上层用来自干燥塔的98%酸淋洒吸收，下层塔内用99.2%硫酸淋洒吸收。</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吸收转化气中的SO</w:t>
      </w:r>
      <w:r>
        <w:rPr>
          <w:rFonts w:hint="eastAsia" w:ascii="宋体" w:hAnsi="宋体"/>
          <w:sz w:val="24"/>
          <w:vertAlign w:val="subscript"/>
        </w:rPr>
        <w:t>3</w:t>
      </w:r>
      <w:r>
        <w:rPr>
          <w:rFonts w:hint="eastAsia" w:ascii="宋体" w:hAnsi="宋体"/>
          <w:sz w:val="24"/>
        </w:rPr>
        <w:t>后硫酸浓度增加，温度升高到约220℃，经高温硫酸循环泵输送到蒸发器，然后到稀释器，在稀释器内脱盐水经高压泵雾化后给浓酸加水，稀释后的硫酸再进入低温余热吸收塔。</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在蒸发器内，除氧水吸收硫酸热量，在降低酸温的同时，副产出压力为0.8MPa的低压蒸汽。</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送来的除盐水，经除盐水预热器换热升温后送入除氧器。除盐水在除氧器中经热力除氧后进入低压给水泵加压，送至除氧水预热器预热后进入蒸发器。</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4.尾气回收处理系统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从高温吸收塔出口出来的烟气，进入增湿塔下部的烟气洗涤段，与洗涤水逆流接触，经过洗涤除尘，烟气温度被降低至~40℃。经增湿塔降温增湿后的烟气，进入电除雾器。</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与烟气接触后的洗涤水含有部分硫酸和二氧化硫气体，经过稀酸脱洗塔将二氧化硫脱去后，部分进入循环水池调节循环水的PH值，另一部分加碱中和后通过泵输送至民基现有污水处理装置。</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经增湿塔降温增湿后的烟气，进入电除雾器，经过高压电场后酸雾与气体分离，分离后的气体进入吸收塔。</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从吸收塔上部进入的脱硫贫液逆流接触，气体中的SO</w:t>
      </w:r>
      <w:r>
        <w:rPr>
          <w:rFonts w:hint="eastAsia" w:ascii="宋体" w:hAnsi="宋体"/>
          <w:sz w:val="24"/>
          <w:vertAlign w:val="subscript"/>
        </w:rPr>
        <w:t>2</w:t>
      </w:r>
      <w:r>
        <w:rPr>
          <w:rFonts w:hint="eastAsia" w:ascii="宋体" w:hAnsi="宋体"/>
          <w:sz w:val="24"/>
        </w:rPr>
        <w:t>被吸收。未被吸收的净化气进入吸收塔上部溶剂回收段，其中夹带有数量可观的脱硫溶剂，经回收液洗涤回收夹带的溶液后，送至烟囱排放。</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吸收了二氧化硫的离子液称为富液，从吸收塔吸收区出来的吸收液温度约为45℃，经吸收塔底部的富液泵打入贫富液换热器升温至约100℃后进入脱吸塔顶部，与从脱吸塔底部再生出来的水蒸汽和二氧化硫气体逆向接触，温度进一步升高，同时解吸出部分二氧化硫气体。随后离子液进入再沸器进一步升温到约110℃，二氧化硫气体全部解吸出来。从再沸器出来的气液混合物在脱吸塔底部分离，液体从底部出口流出，进入贫富液换热器，以回收带出的热量；二氧化硫气体和水蒸气向上流动，从顶部出口出来后进入脱吸气冷凝器降温到约40℃，然后进入SO2气液分离器进行气液分离，分离出的高纯度二氧化硫气体送入二氧化硫干燥装置；液体（饱含二氧化硫冷凝液）经回流泵增压后回流至脱吸塔顶部以保持水平衡。从脱吸塔底部出来的溶液经贫富液换热器换热，溶液温度降至50～60℃，经贫液泵加压，进入贫液冷却器冷却后，大部分贫液进入吸收塔吸收SO</w:t>
      </w:r>
      <w:r>
        <w:rPr>
          <w:rFonts w:hint="eastAsia" w:ascii="宋体" w:hAnsi="宋体"/>
          <w:sz w:val="24"/>
          <w:vertAlign w:val="subscript"/>
        </w:rPr>
        <w:t>2</w:t>
      </w:r>
      <w:r>
        <w:rPr>
          <w:rFonts w:hint="eastAsia" w:ascii="宋体" w:hAnsi="宋体"/>
          <w:sz w:val="24"/>
        </w:rPr>
        <w:t xml:space="preserve">，小部分贫液送溶液净化系统，以除去溶液中的粉尘和热稳定性盐。 </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随着装置运行，烟气中的少量的粉尘及金属氧化物等杂质会在离子液中累计，会影响吸收效果、损坏溶剂等，为此，装置设置了溶液净化系统。经冷却后的贫液先经活性炭吸附槽除杂后进入脱盐装置，以除去系统中的反应生成不能再生的盐类（热稳定性盐）。净化后的溶液一部分返回吸收塔，另一部分去脱钠缓冲槽贮存，再经脱钠装置脱除溶剂在运行中累计生成的钠离子等有害杂质后返回系统利用。</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5.SO</w:t>
      </w:r>
      <w:r>
        <w:rPr>
          <w:rFonts w:hint="eastAsia" w:ascii="宋体" w:hAnsi="宋体"/>
          <w:sz w:val="24"/>
          <w:vertAlign w:val="subscript"/>
        </w:rPr>
        <w:t>2</w:t>
      </w:r>
      <w:r>
        <w:rPr>
          <w:rFonts w:hint="eastAsia" w:ascii="宋体" w:hAnsi="宋体"/>
          <w:sz w:val="24"/>
        </w:rPr>
        <w:t>干燥装置—SO</w:t>
      </w:r>
      <w:r>
        <w:rPr>
          <w:rFonts w:hint="eastAsia" w:ascii="宋体" w:hAnsi="宋体"/>
          <w:sz w:val="24"/>
          <w:vertAlign w:val="subscript"/>
        </w:rPr>
        <w:t>2</w:t>
      </w:r>
      <w:r>
        <w:rPr>
          <w:rFonts w:hint="eastAsia" w:ascii="宋体" w:hAnsi="宋体"/>
          <w:sz w:val="24"/>
        </w:rPr>
        <w:t>干燥系统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从尾气处理系统来的湿二氧化硫气体进入98%硫酸干燥塔，经过干燥，去除气体中的水分，再通过分子筛干燥器进一步吸收水分，进入二氧化硫压缩机加压后经过二氧化硫冷凝器将二氧化硫气体冷凝成液体，自流进入液体二氧化硫中间罐，</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吸收水分后的硫酸浓度降低，与从低温回收除盐水换热器来的99.5%的酸浓混合维持98.3%的酸浓，多余的硫酸进入二氧化硫脱吸酸塔，利用空气吹出硫酸中的二氧化硫，不含二氧化硫的硫酸打入储罐。</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分子筛吸收二氧化硫中水分后会逐渐饱和，必须进行再生，再生时将分子筛切出系统，从风机出口来的干燥空气经过空气加热器加热到250℃左右，将分子筛中的水分蒸发出来，蒸发出来的水分进入干燥塔。</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6.罐区储运系统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自干燥塔酸循环泵出口经成品酸冷却器引出的98％成品硫酸送至硫酸贮罐贮存。外供的成品酸经成品酸经输送泵、鹤管装车外运。</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自烟酸塔循环泵出口经烟酸塔酸冷却器冷却后引出的104.5％成品发烟硫酸送至发烟硫酸储罐，外供的成品酸经输送泵、鹤管装车外运。</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开车用母酸由成品酸泵送入干吸工段酸循环槽。</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经槽车运来的液体硫磺泄入液硫卸车槽，卸车槽液位达到规定高度后开启硫磺泵将硫磺打入液硫储槽。</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液硫储槽内的液硫经过滤机过滤后进入液硫喷磺槽，经液硫喷磺泵加压后送至焚硫炉。</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7.SO</w:t>
      </w:r>
      <w:r>
        <w:rPr>
          <w:rFonts w:hint="eastAsia" w:ascii="宋体" w:hAnsi="宋体"/>
          <w:sz w:val="24"/>
          <w:vertAlign w:val="subscript"/>
        </w:rPr>
        <w:t>2</w:t>
      </w:r>
      <w:r>
        <w:rPr>
          <w:rFonts w:hint="eastAsia" w:ascii="宋体" w:hAnsi="宋体"/>
          <w:sz w:val="24"/>
        </w:rPr>
        <w:t>储运、包装系统</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二氧化硫中间罐储存的液体二氧化硫通过二氧化硫输送泵或直接自压进入二氧化硫储罐储存，装瓶外售。</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为保证二氧化硫储罐的压力，设置安全阀，当储罐超压时安全阀起跳将二氧化硫气体泄入尾气处理系统。</w:t>
      </w:r>
    </w:p>
    <w:p>
      <w:pPr>
        <w:spacing w:line="360" w:lineRule="auto"/>
        <w:rPr>
          <w:rFonts w:hint="default" w:ascii="Times New Roman" w:hAnsi="Times New Roman" w:eastAsia="宋体" w:cs="Times New Roman"/>
          <w:sz w:val="24"/>
          <w:szCs w:val="24"/>
          <w:lang w:val="en-US" w:eastAsia="zh-CN"/>
        </w:rPr>
      </w:pPr>
      <w:r>
        <w:rPr>
          <w:rFonts w:hint="eastAsia" w:ascii="宋体" w:hAnsi="宋体"/>
          <w:sz w:val="24"/>
        </w:rPr>
        <w:t>二氧化硫装瓶采用电子秤，并设置计量装置，达到称重数量时切断阀自动关闭。</w:t>
      </w:r>
      <w:r>
        <w:rPr>
          <w:rFonts w:hint="default" w:ascii="Times New Roman" w:hAnsi="Times New Roman" w:eastAsia="宋体" w:cs="Times New Roman"/>
          <w:sz w:val="24"/>
          <w:szCs w:val="24"/>
        </w:rPr>
        <w:t>具体生产工艺流程</w:t>
      </w:r>
      <w:r>
        <w:rPr>
          <w:rFonts w:hint="eastAsia" w:ascii="Times New Roman" w:hAnsi="Times New Roman" w:eastAsia="宋体" w:cs="Times New Roman"/>
          <w:sz w:val="24"/>
          <w:szCs w:val="24"/>
          <w:lang w:eastAsia="zh-CN"/>
        </w:rPr>
        <w:t>及产物环节</w:t>
      </w:r>
      <w:r>
        <w:rPr>
          <w:rFonts w:hint="default" w:ascii="Times New Roman" w:hAnsi="Times New Roman" w:eastAsia="宋体" w:cs="Times New Roman"/>
          <w:sz w:val="24"/>
          <w:szCs w:val="24"/>
        </w:rPr>
        <w:t>见图</w:t>
      </w:r>
      <w:r>
        <w:rPr>
          <w:rFonts w:hint="default" w:ascii="Times New Roman" w:hAnsi="Times New Roman" w:eastAsia="宋体" w:cs="Times New Roman"/>
          <w:sz w:val="24"/>
          <w:szCs w:val="24"/>
          <w:lang w:val="en-US" w:eastAsia="zh-CN"/>
        </w:rPr>
        <w:t>2-3</w:t>
      </w:r>
    </w:p>
    <w:p>
      <w:pPr>
        <w:autoSpaceDE w:val="0"/>
        <w:autoSpaceDN w:val="0"/>
        <w:adjustRightInd w:val="0"/>
        <w:spacing w:line="360" w:lineRule="auto"/>
        <w:ind w:firstLine="420" w:firstLineChars="200"/>
        <w:jc w:val="left"/>
        <w:rPr>
          <w:rFonts w:hint="eastAsia" w:ascii="宋体" w:hAnsi="宋体"/>
          <w:sz w:val="24"/>
        </w:rPr>
      </w:pPr>
      <w:r>
        <w:rPr>
          <w:rFonts w:hint="eastAsia" w:cs="Times New Roman"/>
          <w:color w:val="auto"/>
          <w:lang w:val="en-US" w:eastAsia="zh-CN"/>
        </w:rPr>
        <w:t xml:space="preserve">     </w:t>
      </w:r>
      <w:r>
        <w:rPr>
          <w:rFonts w:hint="eastAsia" w:ascii="宋体" w:hAnsi="宋体"/>
          <w:sz w:val="24"/>
        </w:rPr>
        <w:t>3、工艺流程框图</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mc:AlternateContent>
          <mc:Choice Requires="wps">
            <w:drawing>
              <wp:anchor distT="45720" distB="45720" distL="114300" distR="114300" simplePos="0" relativeHeight="2016422912" behindDoc="0" locked="0" layoutInCell="1" allowOverlap="1">
                <wp:simplePos x="0" y="0"/>
                <wp:positionH relativeFrom="column">
                  <wp:align>center</wp:align>
                </wp:positionH>
                <wp:positionV relativeFrom="paragraph">
                  <wp:posOffset>518795</wp:posOffset>
                </wp:positionV>
                <wp:extent cx="5866765" cy="5061585"/>
                <wp:effectExtent l="0" t="0" r="635" b="5715"/>
                <wp:wrapSquare wrapText="bothSides"/>
                <wp:docPr id="7" name="文本框 7"/>
                <wp:cNvGraphicFramePr/>
                <a:graphic xmlns:a="http://schemas.openxmlformats.org/drawingml/2006/main">
                  <a:graphicData uri="http://schemas.microsoft.com/office/word/2010/wordprocessingShape">
                    <wps:wsp>
                      <wps:cNvSpPr txBox="1"/>
                      <wps:spPr>
                        <a:xfrm>
                          <a:off x="0" y="0"/>
                          <a:ext cx="5866765" cy="5061585"/>
                        </a:xfrm>
                        <a:prstGeom prst="rect">
                          <a:avLst/>
                        </a:prstGeom>
                        <a:solidFill>
                          <a:srgbClr val="FFFFFF"/>
                        </a:solidFill>
                        <a:ln>
                          <a:noFill/>
                        </a:ln>
                      </wps:spPr>
                      <wps:txbx>
                        <w:txbxContent>
                          <w:p>
                            <w:r>
                              <w:drawing>
                                <wp:inline distT="0" distB="0" distL="114300" distR="114300">
                                  <wp:extent cx="5483860" cy="4914900"/>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rcRect l="3519" t="5985" b="4239"/>
                                          <a:stretch>
                                            <a:fillRect/>
                                          </a:stretch>
                                        </pic:blipFill>
                                        <pic:spPr>
                                          <a:xfrm>
                                            <a:off x="0" y="0"/>
                                            <a:ext cx="5483860" cy="4914900"/>
                                          </a:xfrm>
                                          <a:prstGeom prst="rect">
                                            <a:avLst/>
                                          </a:prstGeom>
                                          <a:noFill/>
                                          <a:ln>
                                            <a:noFill/>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top:40.85pt;height:398.55pt;width:461.95pt;mso-position-horizontal:center;mso-wrap-distance-bottom:3.6pt;mso-wrap-distance-left:9pt;mso-wrap-distance-right:9pt;mso-wrap-distance-top:3.6pt;mso-wrap-style:none;z-index:2016422912;mso-width-relative:page;mso-height-relative:page;" fillcolor="#FFFFFF" filled="t" stroked="f" coordsize="21600,21600" o:gfxdata="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MTYevXAAAABwEAAA8AAAAAAAAAAQAgAAAAIgAAAGRycy9kb3ducmV2LnhtbFBLAQIU&#10;ABQAAAAIAIdO4kCBxEqJuwEAAFADAAAOAAAAAAAAAAEAIAAAACYBAABkcnMvZTJvRG9jLnhtbFBL&#10;BQYAAAAABgAGAFkBAABTBQAAAAA=&#10;">
                <v:fill on="t" focussize="0,0"/>
                <v:stroke on="f"/>
                <v:imagedata o:title=""/>
                <o:lock v:ext="edit" aspectratio="f"/>
                <v:textbox style="mso-fit-shape-to-text:t;">
                  <w:txbxContent>
                    <w:p>
                      <w:r>
                        <w:drawing>
                          <wp:inline distT="0" distB="0" distL="114300" distR="114300">
                            <wp:extent cx="5483860" cy="4914900"/>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rcRect l="3519" t="5985" b="4239"/>
                                    <a:stretch>
                                      <a:fillRect/>
                                    </a:stretch>
                                  </pic:blipFill>
                                  <pic:spPr>
                                    <a:xfrm>
                                      <a:off x="0" y="0"/>
                                      <a:ext cx="5483860" cy="4914900"/>
                                    </a:xfrm>
                                    <a:prstGeom prst="rect">
                                      <a:avLst/>
                                    </a:prstGeom>
                                    <a:noFill/>
                                    <a:ln>
                                      <a:noFill/>
                                    </a:ln>
                                  </pic:spPr>
                                </pic:pic>
                              </a:graphicData>
                            </a:graphic>
                          </wp:inline>
                        </w:drawing>
                      </w:r>
                    </w:p>
                  </w:txbxContent>
                </v:textbox>
                <w10:wrap type="square"/>
              </v:shape>
            </w:pict>
          </mc:Fallback>
        </mc:AlternateContent>
      </w:r>
      <w:r>
        <w:rPr>
          <w:rFonts w:hint="eastAsia" w:ascii="宋体" w:hAnsi="宋体"/>
          <w:sz w:val="24"/>
        </w:rPr>
        <w:t>1）液硫、烟气系统流程框图</w:t>
      </w:r>
    </w:p>
    <w:p>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sz w:val="24"/>
        </w:rPr>
        <w:t>2）蒸汽系统流程框图</w:t>
      </w:r>
    </w:p>
    <w:p>
      <w:pPr>
        <w:snapToGrid w:val="0"/>
        <w:spacing w:line="360" w:lineRule="auto"/>
        <w:ind w:firstLine="420" w:firstLineChars="200"/>
        <w:rPr>
          <w:rFonts w:hint="eastAsia" w:ascii="宋体" w:hAnsi="宋体"/>
          <w:sz w:val="24"/>
        </w:rPr>
      </w:pPr>
      <w:r>
        <w:drawing>
          <wp:inline distT="0" distB="0" distL="114300" distR="114300">
            <wp:extent cx="5709285" cy="2466340"/>
            <wp:effectExtent l="0" t="0" r="571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709285" cy="2466340"/>
                    </a:xfrm>
                    <a:prstGeom prst="rect">
                      <a:avLst/>
                    </a:prstGeom>
                    <a:noFill/>
                    <a:ln>
                      <a:noFill/>
                    </a:ln>
                  </pic:spPr>
                </pic:pic>
              </a:graphicData>
            </a:graphic>
          </wp:inline>
        </w:drawing>
      </w:r>
    </w:p>
    <w:p>
      <w:pPr>
        <w:pStyle w:val="48"/>
        <w:spacing w:line="500" w:lineRule="exact"/>
        <w:rPr>
          <w:rFonts w:hint="default" w:ascii="Times New Roman" w:hAnsi="Times New Roman" w:cs="Times New Roman"/>
          <w:color w:val="auto"/>
          <w:lang w:val="en-US"/>
        </w:rPr>
      </w:pPr>
      <w:r>
        <w:rPr>
          <w:rFonts w:hint="eastAsia" w:cs="Times New Roman"/>
          <w:color w:val="auto"/>
          <w:lang w:val="en-US" w:eastAsia="zh-CN"/>
        </w:rPr>
        <w:t xml:space="preserve">                      图2-3工艺流程</w:t>
      </w:r>
      <w:r>
        <w:t>及产污环节</w:t>
      </w:r>
    </w:p>
    <w:p>
      <w:pPr>
        <w:pStyle w:val="7"/>
        <w:keepNext/>
        <w:keepLines/>
        <w:pageBreakBefore w:val="0"/>
        <w:widowControl w:val="0"/>
        <w:kinsoku/>
        <w:wordWrap/>
        <w:overflowPunct/>
        <w:topLinePunct w:val="0"/>
        <w:autoSpaceDE/>
        <w:autoSpaceDN/>
        <w:bidi w:val="0"/>
        <w:adjustRightInd/>
        <w:snapToGrid/>
        <w:spacing w:before="6" w:after="6" w:line="416" w:lineRule="auto"/>
        <w:textAlignment w:val="auto"/>
        <w:rPr>
          <w:rFonts w:hint="default"/>
          <w:color w:val="auto"/>
        </w:rPr>
      </w:pPr>
      <w:bookmarkStart w:id="68" w:name="_Toc21553"/>
      <w:r>
        <w:rPr>
          <w:rFonts w:hint="default"/>
          <w:color w:val="auto"/>
        </w:rPr>
        <w:t>2.5.2产污环节汇总</w:t>
      </w:r>
      <w:bookmarkEnd w:id="68"/>
    </w:p>
    <w:p>
      <w:pPr>
        <w:pStyle w:val="48"/>
        <w:spacing w:line="500" w:lineRule="exact"/>
        <w:rPr>
          <w:rFonts w:hint="default" w:ascii="Times New Roman" w:hAnsi="Times New Roman" w:cs="Times New Roman"/>
          <w:color w:val="auto"/>
        </w:rPr>
      </w:pPr>
      <w:r>
        <w:rPr>
          <w:rFonts w:hint="default" w:ascii="Times New Roman" w:hAnsi="Times New Roman" w:cs="Times New Roman"/>
          <w:color w:val="auto"/>
        </w:rPr>
        <w:t>产污环节及治理措施见表2-6。</w:t>
      </w:r>
    </w:p>
    <w:p>
      <w:pPr>
        <w:snapToGrid w:val="0"/>
        <w:spacing w:line="480" w:lineRule="exact"/>
        <w:jc w:val="center"/>
        <w:rPr>
          <w:rFonts w:hint="default" w:ascii="Times New Roman" w:hAnsi="Times New Roman" w:eastAsia="宋体" w:cs="Times New Roman"/>
          <w:color w:val="auto"/>
          <w:sz w:val="24"/>
          <w:highlight w:val="none"/>
        </w:rPr>
      </w:pPr>
      <w:bookmarkStart w:id="69" w:name="_Toc30808_WPSOffice_Level2"/>
      <w:r>
        <w:rPr>
          <w:rFonts w:hint="default" w:ascii="Times New Roman" w:hAnsi="Times New Roman" w:eastAsia="宋体" w:cs="Times New Roman"/>
          <w:color w:val="auto"/>
          <w:sz w:val="24"/>
          <w:highlight w:val="none"/>
        </w:rPr>
        <w:t>表2-6 产污环节及治理措施汇总（实际建设）</w:t>
      </w:r>
      <w:bookmarkEnd w:id="69"/>
    </w:p>
    <w:tbl>
      <w:tblPr>
        <w:tblStyle w:val="28"/>
        <w:tblW w:w="9854"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353"/>
        <w:gridCol w:w="1456"/>
        <w:gridCol w:w="2715"/>
        <w:gridCol w:w="319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tcBorders>
              <w:tl2br w:val="single" w:color="auto" w:sz="4" w:space="0"/>
            </w:tcBorders>
            <w:vAlign w:val="center"/>
          </w:tcPr>
          <w:p>
            <w:pPr>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1353"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排放源</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456"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2715"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防治措施</w:t>
            </w:r>
          </w:p>
        </w:tc>
        <w:tc>
          <w:tcPr>
            <w:tcW w:w="3194"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预期治理效果</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restart"/>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废气</w:t>
            </w:r>
          </w:p>
        </w:tc>
        <w:tc>
          <w:tcPr>
            <w:tcW w:w="1353" w:type="dxa"/>
            <w:vMerge w:val="restart"/>
            <w:vAlign w:val="center"/>
          </w:tcPr>
          <w:p>
            <w:pPr>
              <w:pStyle w:val="40"/>
              <w:spacing w:line="400" w:lineRule="exac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无组织排放</w:t>
            </w: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w:t>
            </w:r>
          </w:p>
        </w:tc>
        <w:tc>
          <w:tcPr>
            <w:tcW w:w="2715" w:type="dxa"/>
            <w:vMerge w:val="restart"/>
            <w:vAlign w:val="center"/>
          </w:tcPr>
          <w:p>
            <w:pPr>
              <w:spacing w:line="360" w:lineRule="auto"/>
              <w:ind w:firstLine="420" w:firstLineChars="200"/>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加强精细化管理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采用密封性好的设备、采用密闭装卸和进料系统等减少无组织废气排放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确保厂界无异味</w:t>
            </w:r>
          </w:p>
        </w:tc>
        <w:tc>
          <w:tcPr>
            <w:tcW w:w="3194" w:type="dxa"/>
            <w:vMerge w:val="restart"/>
            <w:vAlign w:val="center"/>
          </w:tcPr>
          <w:p>
            <w:pPr>
              <w:wordWrap w:val="0"/>
              <w:spacing w:line="360" w:lineRule="auto"/>
              <w:jc w:val="left"/>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highlight w:val="none"/>
                <w:lang w:val="en-US" w:eastAsia="zh-CN"/>
              </w:rPr>
              <w:t xml:space="preserve">    </w:t>
            </w:r>
            <w:r>
              <w:rPr>
                <w:rFonts w:hint="default" w:ascii="Times New Roman" w:hAnsi="Times New Roman" w:eastAsia="宋体" w:cs="Times New Roman"/>
                <w:highlight w:val="none"/>
              </w:rPr>
              <w:t>各类污染物厂界无组织浓度均达到了《大气污染物综合排放标准》（GB16297-1996）表2中标准要求，厂界无组织硫酸雾、二氧化硫浓度同时满足《硫酸工业污染物排放标准》（GB26132-2010）表8中标准要求。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continue"/>
            <w:vAlign w:val="center"/>
          </w:tcPr>
          <w:p>
            <w:pPr>
              <w:pStyle w:val="40"/>
              <w:spacing w:line="400" w:lineRule="exact"/>
              <w:rPr>
                <w:rFonts w:hint="default" w:ascii="Times New Roman" w:hAnsi="Times New Roman" w:eastAsia="宋体" w:cs="Times New Roman"/>
                <w:color w:val="auto"/>
                <w:sz w:val="21"/>
                <w:szCs w:val="21"/>
                <w:lang w:eastAsia="zh-CN"/>
              </w:rPr>
            </w:pP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硫酸雾</w:t>
            </w:r>
          </w:p>
        </w:tc>
        <w:tc>
          <w:tcPr>
            <w:tcW w:w="2715" w:type="dxa"/>
            <w:vMerge w:val="continue"/>
            <w:vAlign w:val="center"/>
          </w:tcPr>
          <w:p>
            <w:pPr>
              <w:spacing w:line="360" w:lineRule="auto"/>
              <w:ind w:firstLine="420" w:firstLineChars="200"/>
              <w:textAlignment w:val="center"/>
              <w:rPr>
                <w:rFonts w:hint="default" w:ascii="Times New Roman" w:hAnsi="Times New Roman" w:eastAsia="宋体" w:cs="Times New Roman"/>
                <w:color w:val="auto"/>
                <w:sz w:val="21"/>
                <w:szCs w:val="21"/>
                <w:lang w:eastAsia="zh-CN"/>
              </w:rPr>
            </w:pPr>
          </w:p>
        </w:tc>
        <w:tc>
          <w:tcPr>
            <w:tcW w:w="3194" w:type="dxa"/>
            <w:vMerge w:val="continue"/>
            <w:vAlign w:val="center"/>
          </w:tcPr>
          <w:p>
            <w:pPr>
              <w:pStyle w:val="2"/>
              <w:ind w:left="0" w:leftChars="0" w:firstLine="0" w:firstLineChars="0"/>
              <w:jc w:val="center"/>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二氧化硫</w:t>
            </w: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p>
        </w:tc>
        <w:tc>
          <w:tcPr>
            <w:tcW w:w="3194" w:type="dxa"/>
            <w:vMerge w:val="continue"/>
            <w:vAlign w:val="center"/>
          </w:tcPr>
          <w:p>
            <w:pPr>
              <w:wordWrap w:val="0"/>
              <w:jc w:val="center"/>
              <w:rPr>
                <w:rFonts w:hint="default" w:ascii="Times New Roman" w:hAnsi="Times New Roman" w:eastAsia="宋体" w:cs="Times New Roman"/>
                <w:color w:val="auto"/>
                <w:sz w:val="21"/>
                <w:szCs w:val="21"/>
                <w:lang w:val="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氮氧化物</w:t>
            </w: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p>
        </w:tc>
        <w:tc>
          <w:tcPr>
            <w:tcW w:w="3194" w:type="dxa"/>
            <w:vMerge w:val="continue"/>
            <w:vAlign w:val="center"/>
          </w:tcPr>
          <w:p>
            <w:pPr>
              <w:wordWrap w:val="0"/>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restart"/>
            <w:vAlign w:val="center"/>
          </w:tcPr>
          <w:p>
            <w:pPr>
              <w:pStyle w:val="40"/>
              <w:spacing w:line="40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硫酸雾</w:t>
            </w:r>
          </w:p>
        </w:tc>
        <w:tc>
          <w:tcPr>
            <w:tcW w:w="2715" w:type="dxa"/>
            <w:vMerge w:val="restart"/>
            <w:vAlign w:val="center"/>
          </w:tcPr>
          <w:p>
            <w:pPr>
              <w:adjustRightInd w:val="0"/>
              <w:snapToGrid w:val="0"/>
              <w:spacing w:line="340" w:lineRule="exact"/>
              <w:jc w:val="left"/>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olor w:val="auto"/>
              </w:rPr>
              <w:t>水喷雾增湿+电子除雾+离子液吸收+碱洗塔</w:t>
            </w:r>
            <w:r>
              <w:rPr>
                <w:rFonts w:hint="eastAsia" w:cs="Times New Roman"/>
                <w:sz w:val="21"/>
                <w:szCs w:val="21"/>
                <w:lang w:eastAsia="zh-CN"/>
              </w:rPr>
              <w:t>吸收</w:t>
            </w:r>
            <w:r>
              <w:rPr>
                <w:rFonts w:hint="default" w:ascii="Times New Roman" w:hAnsi="Times New Roman" w:eastAsia="宋体" w:cs="Times New Roman"/>
                <w:sz w:val="21"/>
                <w:szCs w:val="21"/>
              </w:rPr>
              <w:t>后</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lang w:eastAsia="zh-CN"/>
              </w:rPr>
              <w:t>经</w:t>
            </w:r>
            <w:r>
              <w:rPr>
                <w:rFonts w:hint="default" w:ascii="Times New Roman" w:hAnsi="Times New Roman" w:eastAsia="宋体" w:cs="Times New Roman"/>
                <w:sz w:val="21"/>
                <w:szCs w:val="21"/>
              </w:rPr>
              <w:t>1座高60m、内径1.6m的排气筒排放</w:t>
            </w:r>
            <w:r>
              <w:rPr>
                <w:rFonts w:hint="default" w:ascii="Times New Roman" w:hAnsi="Times New Roman" w:eastAsia="宋体" w:cs="Times New Roman"/>
                <w:sz w:val="21"/>
                <w:szCs w:val="21"/>
                <w:lang w:eastAsia="zh-CN"/>
              </w:rPr>
              <w:t>。</w:t>
            </w:r>
          </w:p>
        </w:tc>
        <w:tc>
          <w:tcPr>
            <w:tcW w:w="3194" w:type="dxa"/>
            <w:vMerge w:val="restart"/>
            <w:vAlign w:val="center"/>
          </w:tcPr>
          <w:p>
            <w:pPr>
              <w:wordWrap w:val="0"/>
              <w:jc w:val="left"/>
              <w:rPr>
                <w:rFonts w:hint="eastAsia" w:ascii="Times New Roman" w:hAnsi="Times New Roman" w:eastAsia="宋体" w:cs="Times New Roman"/>
                <w:sz w:val="21"/>
                <w:szCs w:val="21"/>
                <w:lang w:eastAsia="zh-CN"/>
              </w:rPr>
            </w:pPr>
            <w:r>
              <w:rPr>
                <w:rFonts w:hint="eastAsia" w:asciiTheme="minorEastAsia" w:hAnsiTheme="minorEastAsia" w:eastAsiaTheme="minorEastAsia"/>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二氧化硫、氮氧化物排放浓度均满足山东省《区域性大气污染物综合排放标准》（DB37/2376-2019）表1中重点控制区标准要求，硫酸雾和二氧化硫排放浓度同时满足《硫酸工业污染物排放标准》（GB26132-2010）表6中标准要求，氮氧化物排放浓度同时满足</w:t>
            </w:r>
            <w:r>
              <w:rPr>
                <w:rFonts w:hint="eastAsia" w:cs="Times New Roman"/>
                <w:highlight w:val="none"/>
                <w:lang w:eastAsia="zh-CN"/>
              </w:rPr>
              <w:t>山东省《锅炉大气污染物排放标准》</w:t>
            </w:r>
            <w:r>
              <w:rPr>
                <w:rFonts w:hint="default" w:ascii="Times New Roman" w:hAnsi="Times New Roman" w:eastAsia="宋体" w:cs="Times New Roman"/>
                <w:highlight w:val="none"/>
              </w:rPr>
              <w:t>（DB37/2374-2018）相关标准要求</w:t>
            </w:r>
            <w:r>
              <w:rPr>
                <w:rFonts w:hint="eastAsia" w:cs="Times New Roman"/>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continue"/>
            <w:vAlign w:val="center"/>
          </w:tcPr>
          <w:p>
            <w:pPr>
              <w:pStyle w:val="40"/>
              <w:spacing w:line="400" w:lineRule="exact"/>
              <w:rPr>
                <w:rFonts w:hint="default" w:ascii="Times New Roman" w:hAnsi="Times New Roman" w:eastAsia="宋体" w:cs="Times New Roman"/>
                <w:color w:val="auto"/>
                <w:sz w:val="21"/>
                <w:szCs w:val="21"/>
                <w:lang w:val="en-US" w:eastAsia="zh-CN"/>
              </w:rPr>
            </w:pP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二氧化硫</w:t>
            </w: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color w:val="auto"/>
                <w:sz w:val="21"/>
                <w:szCs w:val="21"/>
              </w:rPr>
            </w:pPr>
          </w:p>
        </w:tc>
        <w:tc>
          <w:tcPr>
            <w:tcW w:w="3194" w:type="dxa"/>
            <w:vMerge w:val="continue"/>
            <w:vAlign w:val="center"/>
          </w:tcPr>
          <w:p>
            <w:pPr>
              <w:wordWrap w:val="0"/>
              <w:jc w:val="center"/>
              <w:rPr>
                <w:rFonts w:hint="default" w:ascii="Times New Roman" w:hAnsi="Times New Roman" w:eastAsia="宋体" w:cs="Times New Roman"/>
                <w:color w:val="auto"/>
                <w:sz w:val="21"/>
                <w:szCs w:val="21"/>
                <w:lang w:val="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Merge w:val="continue"/>
            <w:vAlign w:val="center"/>
          </w:tcPr>
          <w:p>
            <w:pPr>
              <w:pStyle w:val="40"/>
              <w:spacing w:line="400" w:lineRule="exact"/>
              <w:rPr>
                <w:rFonts w:hint="default" w:ascii="Times New Roman" w:hAnsi="Times New Roman" w:eastAsia="宋体" w:cs="Times New Roman"/>
                <w:color w:val="auto"/>
                <w:sz w:val="21"/>
                <w:szCs w:val="21"/>
                <w:lang w:val="en-US" w:eastAsia="zh-CN"/>
              </w:rPr>
            </w:pPr>
          </w:p>
        </w:tc>
        <w:tc>
          <w:tcPr>
            <w:tcW w:w="1456" w:type="dxa"/>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氮氧化物</w:t>
            </w: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sz w:val="21"/>
                <w:szCs w:val="21"/>
                <w:lang w:eastAsia="zh-CN"/>
              </w:rPr>
            </w:pPr>
          </w:p>
        </w:tc>
        <w:tc>
          <w:tcPr>
            <w:tcW w:w="3194" w:type="dxa"/>
            <w:vMerge w:val="continue"/>
            <w:vAlign w:val="center"/>
          </w:tcPr>
          <w:p>
            <w:pPr>
              <w:wordWrap w:val="0"/>
              <w:jc w:val="left"/>
              <w:rPr>
                <w:rFonts w:hint="eastAsia"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restar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废</w:t>
            </w:r>
            <w:r>
              <w:rPr>
                <w:rFonts w:hint="default" w:ascii="Times New Roman" w:hAnsi="Times New Roman" w:eastAsia="宋体" w:cs="Times New Roman"/>
                <w:b/>
                <w:bCs/>
                <w:color w:val="auto"/>
                <w:sz w:val="21"/>
                <w:szCs w:val="21"/>
              </w:rPr>
              <w:t>水</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w:t>
            </w:r>
          </w:p>
        </w:tc>
        <w:tc>
          <w:tcPr>
            <w:tcW w:w="1353" w:type="dxa"/>
            <w:vAlign w:val="center"/>
          </w:tcPr>
          <w:p>
            <w:pPr>
              <w:spacing w:line="360" w:lineRule="exact"/>
              <w:contextualSpacing/>
              <w:jc w:val="center"/>
              <w:rPr>
                <w:rFonts w:hint="default" w:ascii="Times New Roman" w:hAnsi="Times New Roman" w:eastAsia="宋体" w:cs="Times New Roman"/>
                <w:color w:val="auto"/>
                <w:sz w:val="21"/>
                <w:szCs w:val="21"/>
                <w:lang w:val="en-US" w:eastAsia="zh-CN"/>
              </w:rPr>
            </w:pPr>
            <w:r>
              <w:rPr>
                <w:rFonts w:hint="eastAsia" w:ascii="宋体" w:hAnsi="宋体"/>
                <w:szCs w:val="21"/>
              </w:rPr>
              <w:t>脱盐水系统排水</w:t>
            </w:r>
          </w:p>
        </w:tc>
        <w:tc>
          <w:tcPr>
            <w:tcW w:w="1456" w:type="dxa"/>
            <w:vMerge w:val="restart"/>
            <w:vAlign w:val="center"/>
          </w:tcPr>
          <w:p>
            <w:pPr>
              <w:pStyle w:val="40"/>
              <w:spacing w:line="400" w:lineRule="exact"/>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pH值、悬浮物、化学需氧量、</w:t>
            </w:r>
            <w:r>
              <w:rPr>
                <w:rFonts w:hint="default" w:ascii="Times New Roman" w:hAnsi="Times New Roman" w:eastAsia="宋体" w:cs="Times New Roman"/>
                <w:b w:val="0"/>
                <w:bCs w:val="0"/>
                <w:color w:val="auto"/>
                <w:sz w:val="21"/>
                <w:szCs w:val="21"/>
                <w:lang w:val="en-US" w:eastAsia="zh-CN"/>
              </w:rPr>
              <w:t>氨氮（以N计）</w:t>
            </w:r>
            <w:r>
              <w:rPr>
                <w:rFonts w:hint="default" w:ascii="Times New Roman" w:hAnsi="Times New Roman" w:eastAsia="宋体" w:cs="Times New Roman"/>
                <w:color w:val="auto"/>
                <w:sz w:val="21"/>
                <w:szCs w:val="21"/>
                <w:lang w:val="en-US" w:eastAsia="zh-CN"/>
              </w:rPr>
              <w:t>、全盐量、硫酸盐、五日生化需氧量</w:t>
            </w:r>
          </w:p>
        </w:tc>
        <w:tc>
          <w:tcPr>
            <w:tcW w:w="2715" w:type="dxa"/>
            <w:vMerge w:val="restart"/>
            <w:vAlign w:val="center"/>
          </w:tcPr>
          <w:p>
            <w:pPr>
              <w:pStyle w:val="40"/>
              <w:spacing w:line="40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2"/>
                <w:sz w:val="21"/>
                <w:szCs w:val="21"/>
                <w:lang w:val="en-US" w:eastAsia="zh-CN" w:bidi="ar-SA"/>
              </w:rPr>
              <w:t>经厂内污水处置设施，采用酸碱中和+絮凝沉淀工艺处理，与生活污水一起排入山东民基</w:t>
            </w:r>
            <w:r>
              <w:rPr>
                <w:rFonts w:hint="eastAsia" w:cs="Times New Roman"/>
                <w:kern w:val="2"/>
                <w:sz w:val="21"/>
                <w:szCs w:val="21"/>
                <w:lang w:val="en-US" w:eastAsia="zh-CN" w:bidi="ar-SA"/>
              </w:rPr>
              <w:t>新材料科技</w:t>
            </w:r>
            <w:r>
              <w:rPr>
                <w:rFonts w:hint="default" w:ascii="Times New Roman" w:hAnsi="Times New Roman" w:eastAsia="宋体" w:cs="Times New Roman"/>
                <w:kern w:val="2"/>
                <w:sz w:val="21"/>
                <w:szCs w:val="21"/>
                <w:lang w:val="en-US" w:eastAsia="zh-CN" w:bidi="ar-SA"/>
              </w:rPr>
              <w:t>有限公司污水处理站处理</w:t>
            </w:r>
            <w:r>
              <w:rPr>
                <w:rFonts w:hint="eastAsia" w:cs="Times New Roman"/>
                <w:kern w:val="2"/>
                <w:sz w:val="21"/>
                <w:szCs w:val="21"/>
                <w:lang w:val="en-US" w:eastAsia="zh-CN" w:bidi="ar-SA"/>
              </w:rPr>
              <w:t>后综合利用</w:t>
            </w:r>
          </w:p>
        </w:tc>
        <w:tc>
          <w:tcPr>
            <w:tcW w:w="3194" w:type="dxa"/>
            <w:vMerge w:val="restart"/>
            <w:vAlign w:val="center"/>
          </w:tcPr>
          <w:p>
            <w:pPr>
              <w:wordWrap w:val="0"/>
              <w:jc w:val="center"/>
              <w:rPr>
                <w:rFonts w:hint="eastAsia" w:ascii="Times New Roman" w:hAnsi="Times New Roman" w:eastAsia="宋体" w:cs="Times New Roman"/>
                <w:color w:val="auto"/>
                <w:sz w:val="21"/>
                <w:szCs w:val="21"/>
                <w:lang w:eastAsia="zh-CN"/>
              </w:rPr>
            </w:pPr>
            <w:r>
              <w:rPr>
                <w:rFonts w:hint="eastAsia" w:cs="Times New Roman"/>
                <w:sz w:val="21"/>
                <w:szCs w:val="21"/>
                <w:lang w:eastAsia="zh-CN"/>
              </w:rPr>
              <w:t>满足</w:t>
            </w:r>
            <w:r>
              <w:rPr>
                <w:rFonts w:hint="default" w:ascii="Times New Roman" w:hAnsi="Times New Roman" w:eastAsia="宋体" w:cs="Times New Roman"/>
                <w:sz w:val="21"/>
                <w:szCs w:val="21"/>
                <w:lang w:eastAsia="zh-CN"/>
              </w:rPr>
              <w:t>《硫酸工业污染排放标准》（</w:t>
            </w:r>
            <w:r>
              <w:rPr>
                <w:rFonts w:hint="default" w:ascii="Times New Roman" w:hAnsi="Times New Roman" w:eastAsia="宋体" w:cs="Times New Roman"/>
                <w:sz w:val="21"/>
                <w:szCs w:val="21"/>
                <w:lang w:val="en-US" w:eastAsia="zh-CN"/>
              </w:rPr>
              <w:t>GB26132-2010</w:t>
            </w:r>
            <w:r>
              <w:rPr>
                <w:rFonts w:hint="default" w:ascii="Times New Roman" w:hAnsi="Times New Roman" w:eastAsia="宋体" w:cs="Times New Roman"/>
                <w:sz w:val="21"/>
                <w:szCs w:val="21"/>
                <w:lang w:eastAsia="zh-CN"/>
              </w:rPr>
              <w:t>）表</w:t>
            </w:r>
            <w:r>
              <w:rPr>
                <w:rFonts w:hint="eastAsia" w:cs="Times New Roman"/>
                <w:sz w:val="21"/>
                <w:szCs w:val="21"/>
                <w:lang w:val="en-US" w:eastAsia="zh-CN"/>
              </w:rPr>
              <w:t>2</w:t>
            </w:r>
            <w:r>
              <w:rPr>
                <w:rFonts w:hint="eastAsia" w:cs="Times New Roman"/>
                <w:color w:val="auto"/>
                <w:sz w:val="21"/>
                <w:szCs w:val="21"/>
                <w:lang w:eastAsia="zh-CN"/>
              </w:rPr>
              <w:t>及</w:t>
            </w:r>
            <w:r>
              <w:rPr>
                <w:rFonts w:hint="default" w:ascii="Times New Roman" w:hAnsi="Times New Roman" w:eastAsia="宋体" w:cs="Times New Roman"/>
                <w:sz w:val="21"/>
                <w:szCs w:val="21"/>
                <w:lang w:eastAsia="zh-CN"/>
              </w:rPr>
              <w:t>《污水排入城镇下水道水质标准》(CJ343-2010)</w:t>
            </w:r>
            <w:r>
              <w:rPr>
                <w:rFonts w:hint="default" w:ascii="Times New Roman" w:hAnsi="Times New Roman" w:eastAsia="宋体" w:cs="Times New Roman"/>
                <w:sz w:val="21"/>
                <w:szCs w:val="21"/>
              </w:rPr>
              <w:t>表1中B等级标准</w:t>
            </w:r>
            <w:r>
              <w:rPr>
                <w:rFonts w:hint="eastAsia" w:cs="Times New Roman"/>
                <w:sz w:val="21"/>
                <w:szCs w:val="21"/>
                <w:lang w:eastAsia="zh-CN"/>
              </w:rPr>
              <w:t>限值要求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Align w:val="center"/>
          </w:tcPr>
          <w:p>
            <w:pPr>
              <w:spacing w:line="360" w:lineRule="exact"/>
              <w:contextualSpacing/>
              <w:jc w:val="center"/>
              <w:rPr>
                <w:rFonts w:hint="default" w:ascii="Times New Roman" w:hAnsi="Times New Roman" w:eastAsia="宋体" w:cs="Times New Roman"/>
                <w:color w:val="auto"/>
                <w:sz w:val="21"/>
                <w:szCs w:val="21"/>
                <w:lang w:val="en-US" w:eastAsia="zh-CN"/>
              </w:rPr>
            </w:pPr>
            <w:r>
              <w:rPr>
                <w:rFonts w:hint="eastAsia" w:ascii="宋体" w:hAnsi="宋体"/>
                <w:szCs w:val="21"/>
              </w:rPr>
              <w:t>循环冷却系统排水</w:t>
            </w:r>
          </w:p>
        </w:tc>
        <w:tc>
          <w:tcPr>
            <w:tcW w:w="1456" w:type="dxa"/>
            <w:vMerge w:val="continue"/>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sz w:val="21"/>
                <w:szCs w:val="21"/>
                <w:lang w:eastAsia="zh-CN"/>
              </w:rPr>
            </w:pPr>
          </w:p>
        </w:tc>
        <w:tc>
          <w:tcPr>
            <w:tcW w:w="3194" w:type="dxa"/>
            <w:vMerge w:val="continue"/>
            <w:vAlign w:val="center"/>
          </w:tcPr>
          <w:p>
            <w:pPr>
              <w:wordWrap w:val="0"/>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lang w:val="en-US" w:eastAsia="zh-CN"/>
              </w:rPr>
            </w:pPr>
          </w:p>
        </w:tc>
        <w:tc>
          <w:tcPr>
            <w:tcW w:w="1353" w:type="dxa"/>
            <w:vAlign w:val="center"/>
          </w:tcPr>
          <w:p>
            <w:pPr>
              <w:spacing w:line="360" w:lineRule="exact"/>
              <w:contextualSpacing/>
              <w:jc w:val="center"/>
              <w:rPr>
                <w:rFonts w:hint="default" w:ascii="Times New Roman" w:hAnsi="Times New Roman" w:eastAsia="宋体" w:cs="Times New Roman"/>
                <w:color w:val="auto"/>
                <w:sz w:val="21"/>
                <w:szCs w:val="21"/>
                <w:lang w:val="en-US" w:eastAsia="zh-CN"/>
              </w:rPr>
            </w:pPr>
            <w:r>
              <w:rPr>
                <w:rFonts w:hint="eastAsia" w:ascii="宋体" w:hAnsi="宋体"/>
                <w:szCs w:val="21"/>
              </w:rPr>
              <w:t>余热回收系统排污水</w:t>
            </w:r>
          </w:p>
        </w:tc>
        <w:tc>
          <w:tcPr>
            <w:tcW w:w="1456" w:type="dxa"/>
            <w:vMerge w:val="continue"/>
            <w:vAlign w:val="center"/>
          </w:tcPr>
          <w:p>
            <w:pPr>
              <w:adjustRightInd w:val="0"/>
              <w:snapToGrid w:val="0"/>
              <w:spacing w:line="340" w:lineRule="exact"/>
              <w:jc w:val="center"/>
              <w:rPr>
                <w:rFonts w:hint="default" w:ascii="Times New Roman" w:hAnsi="Times New Roman" w:eastAsia="宋体" w:cs="Times New Roman"/>
                <w:color w:val="auto"/>
                <w:kern w:val="0"/>
                <w:sz w:val="21"/>
                <w:szCs w:val="21"/>
                <w:lang w:val="en-US" w:eastAsia="zh-CN"/>
              </w:rPr>
            </w:pPr>
          </w:p>
        </w:tc>
        <w:tc>
          <w:tcPr>
            <w:tcW w:w="2715" w:type="dxa"/>
            <w:vMerge w:val="continue"/>
            <w:vAlign w:val="center"/>
          </w:tcPr>
          <w:p>
            <w:pPr>
              <w:adjustRightInd w:val="0"/>
              <w:snapToGrid w:val="0"/>
              <w:spacing w:line="340" w:lineRule="exact"/>
              <w:jc w:val="center"/>
              <w:rPr>
                <w:rFonts w:hint="default" w:ascii="Times New Roman" w:hAnsi="Times New Roman" w:eastAsia="宋体" w:cs="Times New Roman"/>
                <w:sz w:val="21"/>
                <w:szCs w:val="21"/>
                <w:lang w:eastAsia="zh-CN"/>
              </w:rPr>
            </w:pPr>
          </w:p>
        </w:tc>
        <w:tc>
          <w:tcPr>
            <w:tcW w:w="3194" w:type="dxa"/>
            <w:vMerge w:val="continue"/>
            <w:vAlign w:val="center"/>
          </w:tcPr>
          <w:p>
            <w:pPr>
              <w:wordWrap w:val="0"/>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rPr>
            </w:pPr>
          </w:p>
        </w:tc>
        <w:tc>
          <w:tcPr>
            <w:tcW w:w="1353" w:type="dxa"/>
            <w:vAlign w:val="center"/>
          </w:tcPr>
          <w:p>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车</w:t>
            </w:r>
            <w:r>
              <w:rPr>
                <w:rFonts w:hint="default" w:ascii="Times New Roman" w:hAnsi="Times New Roman" w:eastAsia="宋体" w:cs="Times New Roman"/>
                <w:sz w:val="21"/>
                <w:szCs w:val="21"/>
                <w:lang w:eastAsia="zh-CN"/>
              </w:rPr>
              <w:t>间</w:t>
            </w:r>
            <w:r>
              <w:rPr>
                <w:rFonts w:hint="default" w:ascii="Times New Roman" w:hAnsi="Times New Roman" w:eastAsia="宋体" w:cs="Times New Roman"/>
                <w:sz w:val="21"/>
                <w:szCs w:val="21"/>
              </w:rPr>
              <w:t>地面冲洗水、初期雨水</w:t>
            </w:r>
          </w:p>
        </w:tc>
        <w:tc>
          <w:tcPr>
            <w:tcW w:w="1456" w:type="dxa"/>
            <w:vMerge w:val="continue"/>
            <w:vAlign w:val="center"/>
          </w:tcPr>
          <w:p>
            <w:pPr>
              <w:pStyle w:val="40"/>
              <w:spacing w:line="400" w:lineRule="exact"/>
              <w:rPr>
                <w:rFonts w:hint="default" w:ascii="Times New Roman" w:hAnsi="Times New Roman" w:eastAsia="宋体" w:cs="Times New Roman"/>
                <w:sz w:val="21"/>
                <w:szCs w:val="21"/>
                <w:lang w:eastAsia="zh-CN"/>
              </w:rPr>
            </w:pPr>
          </w:p>
        </w:tc>
        <w:tc>
          <w:tcPr>
            <w:tcW w:w="2715" w:type="dxa"/>
            <w:vMerge w:val="continue"/>
            <w:vAlign w:val="center"/>
          </w:tcPr>
          <w:p>
            <w:pPr>
              <w:pStyle w:val="40"/>
              <w:spacing w:line="400" w:lineRule="exact"/>
              <w:rPr>
                <w:rFonts w:hint="default" w:ascii="Times New Roman" w:hAnsi="Times New Roman" w:eastAsia="宋体" w:cs="Times New Roman"/>
                <w:color w:val="auto"/>
                <w:sz w:val="21"/>
                <w:szCs w:val="21"/>
                <w:lang w:val="en-US" w:eastAsia="zh-CN"/>
              </w:rPr>
            </w:pPr>
          </w:p>
        </w:tc>
        <w:tc>
          <w:tcPr>
            <w:tcW w:w="3194" w:type="dxa"/>
            <w:vMerge w:val="continue"/>
            <w:vAlign w:val="center"/>
          </w:tcPr>
          <w:p>
            <w:pPr>
              <w:wordWrap w:val="0"/>
              <w:jc w:val="center"/>
              <w:rPr>
                <w:rFonts w:hint="default" w:ascii="Times New Roman" w:hAnsi="Times New Roman" w:eastAsia="宋体" w:cs="Times New Roman"/>
                <w:color w:val="auto"/>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6" w:type="dxa"/>
            <w:vMerge w:val="continue"/>
            <w:vAlign w:val="center"/>
          </w:tcPr>
          <w:p>
            <w:pPr>
              <w:jc w:val="center"/>
              <w:rPr>
                <w:rFonts w:hint="default" w:ascii="Times New Roman" w:hAnsi="Times New Roman" w:eastAsia="宋体" w:cs="Times New Roman"/>
                <w:b/>
                <w:bCs/>
                <w:color w:val="auto"/>
                <w:sz w:val="21"/>
                <w:szCs w:val="21"/>
              </w:rPr>
            </w:pPr>
          </w:p>
        </w:tc>
        <w:tc>
          <w:tcPr>
            <w:tcW w:w="1353" w:type="dxa"/>
            <w:vAlign w:val="center"/>
          </w:tcPr>
          <w:p>
            <w:pPr>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生活污水</w:t>
            </w:r>
          </w:p>
        </w:tc>
        <w:tc>
          <w:tcPr>
            <w:tcW w:w="1456" w:type="dxa"/>
            <w:vMerge w:val="continue"/>
            <w:vAlign w:val="center"/>
          </w:tcPr>
          <w:p>
            <w:pPr>
              <w:pStyle w:val="40"/>
              <w:spacing w:line="400" w:lineRule="exact"/>
              <w:rPr>
                <w:rFonts w:hint="default" w:ascii="Times New Roman" w:hAnsi="Times New Roman" w:eastAsia="宋体" w:cs="Times New Roman"/>
                <w:sz w:val="21"/>
                <w:szCs w:val="21"/>
                <w:lang w:eastAsia="zh-CN"/>
              </w:rPr>
            </w:pPr>
          </w:p>
        </w:tc>
        <w:tc>
          <w:tcPr>
            <w:tcW w:w="2715" w:type="dxa"/>
            <w:vAlign w:val="center"/>
          </w:tcPr>
          <w:p>
            <w:pPr>
              <w:pStyle w:val="40"/>
              <w:spacing w:line="40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kern w:val="2"/>
                <w:sz w:val="21"/>
                <w:szCs w:val="21"/>
                <w:lang w:val="en-US" w:eastAsia="zh-CN" w:bidi="ar-SA"/>
              </w:rPr>
              <w:t>排入山东民基</w:t>
            </w:r>
            <w:r>
              <w:rPr>
                <w:rFonts w:hint="eastAsia" w:cs="Times New Roman"/>
                <w:kern w:val="2"/>
                <w:sz w:val="21"/>
                <w:szCs w:val="21"/>
                <w:lang w:val="en-US" w:eastAsia="zh-CN" w:bidi="ar-SA"/>
              </w:rPr>
              <w:t>新材料科技</w:t>
            </w:r>
            <w:r>
              <w:rPr>
                <w:rFonts w:hint="default" w:ascii="Times New Roman" w:hAnsi="Times New Roman" w:eastAsia="宋体" w:cs="Times New Roman"/>
                <w:kern w:val="2"/>
                <w:sz w:val="21"/>
                <w:szCs w:val="21"/>
                <w:lang w:val="en-US" w:eastAsia="zh-CN" w:bidi="ar-SA"/>
              </w:rPr>
              <w:t>有限公司污水处理站处理</w:t>
            </w:r>
            <w:r>
              <w:rPr>
                <w:rFonts w:hint="eastAsia" w:cs="Times New Roman"/>
                <w:kern w:val="2"/>
                <w:sz w:val="21"/>
                <w:szCs w:val="21"/>
                <w:lang w:val="en-US" w:eastAsia="zh-CN" w:bidi="ar-SA"/>
              </w:rPr>
              <w:t>后综合利用</w:t>
            </w:r>
          </w:p>
        </w:tc>
        <w:tc>
          <w:tcPr>
            <w:tcW w:w="3194" w:type="dxa"/>
            <w:vMerge w:val="continue"/>
            <w:vAlign w:val="center"/>
          </w:tcPr>
          <w:p>
            <w:pPr>
              <w:wordWrap w:val="0"/>
              <w:jc w:val="center"/>
              <w:rPr>
                <w:rFonts w:hint="default" w:ascii="Times New Roman" w:hAnsi="Times New Roman" w:eastAsia="宋体" w:cs="Times New Roman"/>
                <w:color w:val="auto"/>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136" w:type="dxa"/>
            <w:vMerge w:val="restar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体</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w:t>
            </w:r>
          </w:p>
        </w:tc>
        <w:tc>
          <w:tcPr>
            <w:tcW w:w="1353" w:type="dxa"/>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废催化剂</w:t>
            </w:r>
          </w:p>
          <w:p>
            <w:pPr>
              <w:spacing w:line="36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（钒触媒）</w:t>
            </w:r>
          </w:p>
        </w:tc>
        <w:tc>
          <w:tcPr>
            <w:tcW w:w="1456" w:type="dxa"/>
            <w:shd w:val="clear" w:color="auto" w:fill="auto"/>
            <w:vAlign w:val="center"/>
          </w:tcPr>
          <w:p>
            <w:pPr>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kern w:val="0"/>
                <w:sz w:val="21"/>
                <w:szCs w:val="21"/>
              </w:rPr>
              <w:t>钒触媒</w:t>
            </w:r>
          </w:p>
        </w:tc>
        <w:tc>
          <w:tcPr>
            <w:tcW w:w="2715" w:type="dxa"/>
            <w:vMerge w:val="restart"/>
            <w:shd w:val="clear" w:color="auto" w:fill="auto"/>
            <w:vAlign w:val="center"/>
          </w:tcPr>
          <w:p>
            <w:pPr>
              <w:pStyle w:val="40"/>
              <w:spacing w:line="400" w:lineRule="exact"/>
              <w:rPr>
                <w:rFonts w:hint="default" w:ascii="Times New Roman" w:hAnsi="Times New Roman" w:eastAsia="宋体" w:cs="Times New Roman"/>
                <w:color w:val="auto"/>
                <w:sz w:val="21"/>
                <w:szCs w:val="21"/>
                <w:lang w:eastAsia="zh-CN"/>
              </w:rPr>
            </w:pPr>
            <w:r>
              <w:rPr>
                <w:rFonts w:hint="eastAsia" w:ascii="宋体" w:hAnsi="宋体" w:eastAsia="宋体" w:cs="宋体"/>
                <w:sz w:val="21"/>
                <w:szCs w:val="21"/>
              </w:rPr>
              <w:t>定期委托具有危废处置资质</w:t>
            </w:r>
            <w:r>
              <w:rPr>
                <w:rFonts w:hint="eastAsia" w:ascii="宋体" w:hAnsi="宋体" w:cs="宋体"/>
                <w:sz w:val="21"/>
                <w:szCs w:val="21"/>
                <w:lang w:eastAsia="zh-CN"/>
              </w:rPr>
              <w:t>的</w:t>
            </w:r>
            <w:r>
              <w:rPr>
                <w:rFonts w:hint="eastAsia" w:cs="Times New Roman"/>
                <w:sz w:val="21"/>
                <w:szCs w:val="21"/>
                <w:lang w:eastAsia="zh-CN"/>
              </w:rPr>
              <w:t>德州泉润环境资源有限公司</w:t>
            </w:r>
            <w:r>
              <w:rPr>
                <w:rFonts w:hint="eastAsia" w:ascii="宋体" w:hAnsi="宋体" w:eastAsia="宋体" w:cs="宋体"/>
                <w:sz w:val="21"/>
                <w:szCs w:val="21"/>
              </w:rPr>
              <w:t>处</w:t>
            </w:r>
            <w:r>
              <w:rPr>
                <w:rFonts w:hint="eastAsia" w:ascii="宋体" w:hAnsi="宋体" w:cs="宋体"/>
                <w:sz w:val="21"/>
                <w:szCs w:val="21"/>
                <w:lang w:eastAsia="zh-CN"/>
              </w:rPr>
              <w:t>置</w:t>
            </w:r>
          </w:p>
        </w:tc>
        <w:tc>
          <w:tcPr>
            <w:tcW w:w="3194" w:type="dxa"/>
            <w:vMerge w:val="restart"/>
            <w:shd w:val="clear" w:color="auto" w:fill="auto"/>
            <w:vAlign w:val="center"/>
          </w:tcPr>
          <w:p>
            <w:pPr>
              <w:pStyle w:val="40"/>
              <w:spacing w:line="4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资源化</w:t>
            </w:r>
          </w:p>
          <w:p>
            <w:pPr>
              <w:pStyle w:val="40"/>
              <w:spacing w:line="400" w:lineRule="exact"/>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36" w:type="dxa"/>
            <w:vMerge w:val="continue"/>
            <w:vAlign w:val="center"/>
          </w:tcPr>
          <w:p>
            <w:pPr>
              <w:pStyle w:val="40"/>
              <w:spacing w:line="400" w:lineRule="exact"/>
              <w:rPr>
                <w:rFonts w:hint="default" w:ascii="Times New Roman" w:hAnsi="Times New Roman" w:eastAsia="宋体" w:cs="Times New Roman"/>
                <w:sz w:val="21"/>
                <w:szCs w:val="21"/>
              </w:rPr>
            </w:pPr>
          </w:p>
        </w:tc>
        <w:tc>
          <w:tcPr>
            <w:tcW w:w="1353" w:type="dxa"/>
            <w:vAlign w:val="center"/>
          </w:tcPr>
          <w:p>
            <w:pPr>
              <w:spacing w:line="360" w:lineRule="exact"/>
              <w:jc w:val="center"/>
              <w:rPr>
                <w:rFonts w:hint="default" w:ascii="Times New Roman" w:hAnsi="Times New Roman" w:eastAsia="宋体" w:cs="Times New Roman"/>
                <w:color w:val="558ED5" w:themeColor="text2" w:themeTint="99"/>
                <w:sz w:val="21"/>
                <w:szCs w:val="21"/>
                <w:lang w:eastAsia="zh-CN"/>
                <w14:textFill>
                  <w14:solidFill>
                    <w14:schemeClr w14:val="tx2">
                      <w14:lumMod w14:val="60000"/>
                      <w14:lumOff w14:val="40000"/>
                    </w14:schemeClr>
                  </w14:solidFill>
                </w14:textFill>
              </w:rPr>
            </w:pPr>
            <w:r>
              <w:rPr>
                <w:rFonts w:hint="default" w:ascii="Times New Roman" w:hAnsi="Times New Roman" w:eastAsia="宋体" w:cs="Times New Roman"/>
                <w:sz w:val="21"/>
                <w:szCs w:val="21"/>
              </w:rPr>
              <w:t>污水处理</w:t>
            </w:r>
          </w:p>
        </w:tc>
        <w:tc>
          <w:tcPr>
            <w:tcW w:w="1456" w:type="dxa"/>
            <w:shd w:val="clear" w:color="auto" w:fill="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rPr>
              <w:t>污泥</w:t>
            </w:r>
          </w:p>
        </w:tc>
        <w:tc>
          <w:tcPr>
            <w:tcW w:w="2715" w:type="dxa"/>
            <w:vMerge w:val="continue"/>
            <w:shd w:val="clear" w:color="auto" w:fill="auto"/>
            <w:vAlign w:val="center"/>
          </w:tcPr>
          <w:p>
            <w:pPr>
              <w:pStyle w:val="40"/>
              <w:spacing w:line="400" w:lineRule="exact"/>
              <w:rPr>
                <w:rFonts w:hint="default" w:ascii="Times New Roman" w:hAnsi="Times New Roman" w:eastAsia="宋体" w:cs="Times New Roman"/>
                <w:color w:val="auto"/>
                <w:kern w:val="2"/>
                <w:sz w:val="21"/>
                <w:szCs w:val="21"/>
                <w:lang w:val="en-US" w:eastAsia="zh-CN" w:bidi="ar-SA"/>
              </w:rPr>
            </w:pPr>
          </w:p>
        </w:tc>
        <w:tc>
          <w:tcPr>
            <w:tcW w:w="3194" w:type="dxa"/>
            <w:vMerge w:val="continue"/>
            <w:shd w:val="clear" w:color="auto" w:fill="auto"/>
            <w:vAlign w:val="center"/>
          </w:tcPr>
          <w:p>
            <w:pPr>
              <w:pStyle w:val="40"/>
              <w:spacing w:line="400" w:lineRule="exact"/>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36"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353"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eastAsia="zh-CN"/>
              </w:rPr>
              <w:t>脱盐水制备</w:t>
            </w:r>
          </w:p>
        </w:tc>
        <w:tc>
          <w:tcPr>
            <w:tcW w:w="1456" w:type="dxa"/>
            <w:shd w:val="clear" w:color="auto" w:fill="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废离子树脂</w:t>
            </w:r>
          </w:p>
        </w:tc>
        <w:tc>
          <w:tcPr>
            <w:tcW w:w="2715" w:type="dxa"/>
            <w:vMerge w:val="continue"/>
            <w:shd w:val="clear" w:color="auto" w:fill="auto"/>
            <w:vAlign w:val="center"/>
          </w:tcPr>
          <w:p>
            <w:pPr>
              <w:pStyle w:val="40"/>
              <w:spacing w:line="400" w:lineRule="exact"/>
              <w:rPr>
                <w:rFonts w:hint="default" w:ascii="Times New Roman" w:hAnsi="Times New Roman" w:eastAsia="宋体" w:cs="Times New Roman"/>
                <w:color w:val="auto"/>
                <w:kern w:val="2"/>
                <w:sz w:val="21"/>
                <w:szCs w:val="21"/>
                <w:lang w:val="en-US" w:eastAsia="zh-CN" w:bidi="ar-SA"/>
              </w:rPr>
            </w:pPr>
          </w:p>
        </w:tc>
        <w:tc>
          <w:tcPr>
            <w:tcW w:w="3194" w:type="dxa"/>
            <w:vMerge w:val="continue"/>
            <w:shd w:val="clear" w:color="auto" w:fill="auto"/>
            <w:vAlign w:val="center"/>
          </w:tcPr>
          <w:p>
            <w:pPr>
              <w:pStyle w:val="40"/>
              <w:spacing w:line="400" w:lineRule="exact"/>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36"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353" w:type="dxa"/>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溶液净化装置</w:t>
            </w:r>
          </w:p>
        </w:tc>
        <w:tc>
          <w:tcPr>
            <w:tcW w:w="1456" w:type="dxa"/>
            <w:shd w:val="clear" w:color="auto" w:fill="auto"/>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废活性炭</w:t>
            </w:r>
          </w:p>
        </w:tc>
        <w:tc>
          <w:tcPr>
            <w:tcW w:w="2715" w:type="dxa"/>
            <w:vMerge w:val="continue"/>
            <w:shd w:val="clear" w:color="auto" w:fill="auto"/>
            <w:vAlign w:val="center"/>
          </w:tcPr>
          <w:p>
            <w:pPr>
              <w:pStyle w:val="40"/>
              <w:spacing w:line="400" w:lineRule="exact"/>
              <w:rPr>
                <w:rFonts w:hint="default" w:ascii="Times New Roman" w:hAnsi="Times New Roman" w:eastAsia="宋体" w:cs="Times New Roman"/>
                <w:color w:val="auto"/>
                <w:sz w:val="21"/>
                <w:szCs w:val="21"/>
                <w:lang w:eastAsia="zh-CN"/>
              </w:rPr>
            </w:pPr>
          </w:p>
        </w:tc>
        <w:tc>
          <w:tcPr>
            <w:tcW w:w="3194" w:type="dxa"/>
            <w:vMerge w:val="continue"/>
            <w:shd w:val="clear" w:color="auto" w:fill="auto"/>
            <w:vAlign w:val="center"/>
          </w:tcPr>
          <w:p>
            <w:pPr>
              <w:pStyle w:val="40"/>
              <w:spacing w:line="400" w:lineRule="exact"/>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36"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353" w:type="dxa"/>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空气过滤器、除雾器</w:t>
            </w:r>
          </w:p>
        </w:tc>
        <w:tc>
          <w:tcPr>
            <w:tcW w:w="1456" w:type="dxa"/>
            <w:shd w:val="clear" w:color="auto" w:fill="auto"/>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过滤滤芯和滤网</w:t>
            </w:r>
          </w:p>
        </w:tc>
        <w:tc>
          <w:tcPr>
            <w:tcW w:w="2715" w:type="dxa"/>
            <w:shd w:val="clear" w:color="auto" w:fill="auto"/>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供应厂家回收</w:t>
            </w:r>
          </w:p>
        </w:tc>
        <w:tc>
          <w:tcPr>
            <w:tcW w:w="3194" w:type="dxa"/>
            <w:vMerge w:val="continue"/>
            <w:shd w:val="clear" w:color="auto" w:fill="auto"/>
            <w:vAlign w:val="center"/>
          </w:tcPr>
          <w:p>
            <w:pPr>
              <w:pStyle w:val="40"/>
              <w:spacing w:line="400" w:lineRule="exact"/>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36"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353" w:type="dxa"/>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焚硫</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脱硫</w:t>
            </w:r>
          </w:p>
        </w:tc>
        <w:tc>
          <w:tcPr>
            <w:tcW w:w="1456" w:type="dxa"/>
            <w:shd w:val="clear" w:color="auto" w:fill="auto"/>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焚硫炉炉渣、脱硫石膏</w:t>
            </w:r>
          </w:p>
        </w:tc>
        <w:tc>
          <w:tcPr>
            <w:tcW w:w="2715" w:type="dxa"/>
            <w:shd w:val="clear" w:color="auto" w:fill="auto"/>
            <w:vAlign w:val="center"/>
          </w:tcPr>
          <w:p>
            <w:pPr>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外售建材公司综合利用</w:t>
            </w:r>
          </w:p>
        </w:tc>
        <w:tc>
          <w:tcPr>
            <w:tcW w:w="3194" w:type="dxa"/>
            <w:shd w:val="clear" w:color="auto" w:fill="auto"/>
            <w:vAlign w:val="center"/>
          </w:tcPr>
          <w:p>
            <w:pPr>
              <w:pStyle w:val="40"/>
              <w:spacing w:line="40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资源化</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36" w:type="dxa"/>
            <w:vMerge w:val="continue"/>
            <w:vAlign w:val="center"/>
          </w:tcPr>
          <w:p>
            <w:pPr>
              <w:pStyle w:val="40"/>
              <w:spacing w:line="400" w:lineRule="exact"/>
              <w:rPr>
                <w:rFonts w:hint="default" w:ascii="Times New Roman" w:hAnsi="Times New Roman" w:eastAsia="宋体" w:cs="Times New Roman"/>
                <w:color w:val="auto"/>
                <w:sz w:val="21"/>
                <w:szCs w:val="21"/>
              </w:rPr>
            </w:pPr>
          </w:p>
        </w:tc>
        <w:tc>
          <w:tcPr>
            <w:tcW w:w="1353" w:type="dxa"/>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职工生活</w:t>
            </w:r>
          </w:p>
        </w:tc>
        <w:tc>
          <w:tcPr>
            <w:tcW w:w="1456" w:type="dxa"/>
            <w:shd w:val="clear" w:color="auto" w:fill="auto"/>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生活垃圾</w:t>
            </w:r>
          </w:p>
        </w:tc>
        <w:tc>
          <w:tcPr>
            <w:tcW w:w="2715" w:type="dxa"/>
            <w:shd w:val="clear" w:color="auto" w:fill="auto"/>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0"/>
                <w:sz w:val="21"/>
                <w:szCs w:val="21"/>
              </w:rPr>
              <w:t>环卫部门统一收集</w:t>
            </w:r>
          </w:p>
        </w:tc>
        <w:tc>
          <w:tcPr>
            <w:tcW w:w="3194" w:type="dxa"/>
            <w:shd w:val="clear" w:color="auto" w:fill="auto"/>
            <w:vAlign w:val="center"/>
          </w:tcPr>
          <w:p>
            <w:pPr>
              <w:pStyle w:val="40"/>
              <w:spacing w:line="4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36"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w:t>
            </w:r>
          </w:p>
        </w:tc>
        <w:tc>
          <w:tcPr>
            <w:tcW w:w="8718" w:type="dxa"/>
            <w:gridSpan w:val="4"/>
            <w:vAlign w:val="center"/>
          </w:tcPr>
          <w:p>
            <w:pPr>
              <w:spacing w:line="360" w:lineRule="auto"/>
              <w:ind w:firstLine="420" w:firstLineChars="200"/>
              <w:jc w:val="left"/>
              <w:rPr>
                <w:rFonts w:hint="default" w:ascii="Times New Roman" w:hAnsi="Times New Roman" w:eastAsia="宋体" w:cs="Times New Roman"/>
                <w:color w:val="C00000"/>
                <w:sz w:val="21"/>
                <w:szCs w:val="21"/>
              </w:rPr>
            </w:pPr>
            <w:r>
              <w:rPr>
                <w:rFonts w:hint="default" w:ascii="Times New Roman" w:hAnsi="Times New Roman" w:eastAsia="宋体" w:cs="Times New Roman"/>
                <w:color w:val="auto"/>
                <w:sz w:val="21"/>
                <w:szCs w:val="21"/>
              </w:rPr>
              <w:t>项目噪声主要为生产设备运行产生的噪声，噪声源</w:t>
            </w:r>
            <w:r>
              <w:rPr>
                <w:rFonts w:hint="default" w:ascii="Times New Roman" w:hAnsi="Times New Roman" w:eastAsia="宋体" w:cs="Times New Roman"/>
                <w:color w:val="auto"/>
                <w:sz w:val="21"/>
                <w:szCs w:val="21"/>
                <w:highlight w:val="none"/>
              </w:rPr>
              <w:t>强度</w:t>
            </w:r>
            <w:r>
              <w:rPr>
                <w:rFonts w:hint="default"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rPr>
              <w:t>之间。</w:t>
            </w:r>
            <w:r>
              <w:rPr>
                <w:rFonts w:hint="default" w:ascii="Times New Roman" w:hAnsi="Times New Roman" w:eastAsia="宋体" w:cs="Times New Roman"/>
                <w:color w:val="auto"/>
                <w:sz w:val="21"/>
                <w:szCs w:val="21"/>
                <w:lang w:eastAsia="zh-CN"/>
              </w:rPr>
              <w:t>采取</w:t>
            </w:r>
            <w:r>
              <w:rPr>
                <w:rFonts w:hint="default" w:ascii="Times New Roman" w:hAnsi="Times New Roman" w:eastAsia="宋体" w:cs="Times New Roman"/>
                <w:color w:val="auto"/>
                <w:sz w:val="21"/>
                <w:szCs w:val="21"/>
              </w:rPr>
              <w:t>合理</w:t>
            </w:r>
            <w:r>
              <w:rPr>
                <w:rFonts w:hint="default" w:ascii="Times New Roman" w:hAnsi="Times New Roman" w:eastAsia="宋体" w:cs="Times New Roman"/>
                <w:color w:val="auto"/>
                <w:sz w:val="21"/>
                <w:szCs w:val="21"/>
                <w:lang w:eastAsia="zh-CN"/>
              </w:rPr>
              <w:t>总体</w:t>
            </w:r>
            <w:r>
              <w:rPr>
                <w:rFonts w:hint="default" w:ascii="Times New Roman" w:hAnsi="Times New Roman" w:eastAsia="宋体" w:cs="Times New Roman"/>
                <w:color w:val="auto"/>
                <w:sz w:val="21"/>
                <w:szCs w:val="21"/>
              </w:rPr>
              <w:t>布局，</w:t>
            </w:r>
            <w:r>
              <w:rPr>
                <w:rFonts w:hint="default" w:ascii="Times New Roman" w:hAnsi="Times New Roman" w:eastAsia="宋体" w:cs="Times New Roman"/>
                <w:color w:val="auto"/>
                <w:sz w:val="21"/>
                <w:szCs w:val="21"/>
                <w:lang w:eastAsia="zh-CN"/>
              </w:rPr>
              <w:t>主要生产设备安装在室内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选用低噪声设备，采用减振、隔声、吸声，加强设备维护和检修，</w:t>
            </w:r>
            <w:r>
              <w:rPr>
                <w:rFonts w:hint="default" w:ascii="Times New Roman" w:hAnsi="Times New Roman" w:eastAsia="宋体" w:cs="Times New Roman"/>
                <w:color w:val="auto"/>
                <w:sz w:val="21"/>
                <w:szCs w:val="21"/>
              </w:rPr>
              <w:t>厂界噪声可满足《工业企业厂界环境噪声排放标准》（GB12348-2</w:t>
            </w:r>
            <w:r>
              <w:rPr>
                <w:rFonts w:hint="default" w:ascii="Times New Roman" w:hAnsi="Times New Roman" w:eastAsia="宋体" w:cs="Times New Roman"/>
                <w:bCs/>
                <w:color w:val="auto"/>
                <w:sz w:val="21"/>
                <w:szCs w:val="21"/>
              </w:rPr>
              <w:t>008）中的2类标准。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36" w:type="dxa"/>
            <w:vAlign w:val="center"/>
          </w:tcPr>
          <w:p>
            <w:pPr>
              <w:spacing w:beforeLine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其</w:t>
            </w:r>
          </w:p>
          <w:p>
            <w:pPr>
              <w:spacing w:afterLine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他</w:t>
            </w:r>
          </w:p>
        </w:tc>
        <w:tc>
          <w:tcPr>
            <w:tcW w:w="8718" w:type="dxa"/>
            <w:gridSpan w:val="4"/>
            <w:vAlign w:val="center"/>
          </w:tcPr>
          <w:p>
            <w:pPr>
              <w:jc w:val="center"/>
              <w:rPr>
                <w:rFonts w:hint="default" w:ascii="Times New Roman" w:hAnsi="Times New Roman" w:eastAsia="宋体" w:cs="Times New Roman"/>
                <w:color w:val="C00000"/>
                <w:sz w:val="21"/>
                <w:szCs w:val="21"/>
              </w:rPr>
            </w:pPr>
            <w:r>
              <w:rPr>
                <w:rFonts w:hint="default" w:ascii="Times New Roman" w:hAnsi="Times New Roman" w:eastAsia="宋体" w:cs="Times New Roman"/>
                <w:color w:val="auto"/>
                <w:sz w:val="21"/>
                <w:szCs w:val="21"/>
              </w:rPr>
              <w:t>无</w:t>
            </w:r>
          </w:p>
        </w:tc>
      </w:tr>
    </w:tbl>
    <w:p>
      <w:pPr>
        <w:pStyle w:val="6"/>
        <w:pageBreakBefore w:val="0"/>
        <w:widowControl w:val="0"/>
        <w:kinsoku/>
        <w:wordWrap/>
        <w:overflowPunct/>
        <w:topLinePunct w:val="0"/>
        <w:autoSpaceDE/>
        <w:autoSpaceDN/>
        <w:bidi w:val="0"/>
        <w:adjustRightInd/>
        <w:snapToGrid/>
        <w:spacing w:before="6" w:after="6"/>
        <w:textAlignment w:val="auto"/>
        <w:rPr>
          <w:rFonts w:hint="eastAsia"/>
        </w:rPr>
      </w:pPr>
      <w:bookmarkStart w:id="70" w:name="_Toc13065"/>
      <w:r>
        <w:rPr>
          <w:rFonts w:hint="eastAsia"/>
        </w:rPr>
        <w:t>2.6 主要污染物的产生、处理及排放情况</w:t>
      </w:r>
      <w:bookmarkEnd w:id="70"/>
    </w:p>
    <w:p>
      <w:pPr>
        <w:pStyle w:val="7"/>
        <w:pageBreakBefore w:val="0"/>
        <w:widowControl w:val="0"/>
        <w:kinsoku/>
        <w:wordWrap/>
        <w:overflowPunct/>
        <w:topLinePunct w:val="0"/>
        <w:autoSpaceDE/>
        <w:autoSpaceDN/>
        <w:bidi w:val="0"/>
        <w:adjustRightInd/>
        <w:snapToGrid/>
        <w:spacing w:before="6" w:after="6"/>
        <w:textAlignment w:val="auto"/>
        <w:rPr>
          <w:rFonts w:hint="default"/>
        </w:rPr>
      </w:pPr>
      <w:bookmarkStart w:id="71" w:name="_Toc16909"/>
      <w:bookmarkStart w:id="72" w:name="_Toc6550_WPSOffice_Level3"/>
      <w:r>
        <w:rPr>
          <w:rFonts w:hint="default"/>
        </w:rPr>
        <w:t>2.6.1 废气</w:t>
      </w:r>
      <w:bookmarkEnd w:id="71"/>
      <w:bookmarkEnd w:id="72"/>
    </w:p>
    <w:p>
      <w:pPr>
        <w:pStyle w:val="2"/>
        <w:pageBreakBefore w:val="0"/>
        <w:widowControl w:val="0"/>
        <w:kinsoku/>
        <w:wordWrap/>
        <w:overflowPunct/>
        <w:topLinePunct w:val="0"/>
        <w:autoSpaceDE/>
        <w:autoSpaceDN/>
        <w:bidi w:val="0"/>
        <w:adjustRightInd/>
        <w:snapToGrid/>
        <w:spacing w:before="6" w:after="6" w:line="360" w:lineRule="auto"/>
        <w:ind w:left="0" w:leftChars="0" w:firstLine="0" w:firstLineChars="0"/>
        <w:textAlignment w:val="auto"/>
        <w:rPr>
          <w:rFonts w:hint="eastAsia" w:ascii="Times New Roman" w:hAnsi="Times New Roman" w:eastAsia="宋体" w:cs="Times New Roman"/>
          <w:b/>
          <w:bCs/>
          <w:kern w:val="2"/>
          <w:sz w:val="24"/>
          <w:szCs w:val="24"/>
          <w:lang w:val="en-US" w:eastAsia="zh-CN" w:bidi="ar-SA"/>
        </w:rPr>
      </w:pPr>
      <w:bookmarkStart w:id="73" w:name="_Toc15897_WPSOffice_Level2"/>
      <w:bookmarkStart w:id="74" w:name="_Toc4299"/>
      <w:r>
        <w:rPr>
          <w:rFonts w:hint="eastAsia" w:ascii="Times New Roman" w:hAnsi="Times New Roman" w:eastAsia="宋体" w:cs="Times New Roman"/>
          <w:b/>
          <w:bCs/>
          <w:kern w:val="2"/>
          <w:sz w:val="24"/>
          <w:szCs w:val="24"/>
          <w:lang w:val="en-US" w:eastAsia="zh-CN" w:bidi="ar-SA"/>
        </w:rPr>
        <w:t>2.6.1.1</w:t>
      </w:r>
      <w:r>
        <w:rPr>
          <w:rFonts w:hint="eastAsia" w:cs="Times New Roman"/>
          <w:b/>
          <w:bCs/>
          <w:kern w:val="2"/>
          <w:sz w:val="24"/>
          <w:szCs w:val="24"/>
          <w:lang w:val="en-US" w:eastAsia="zh-CN" w:bidi="ar-SA"/>
        </w:rPr>
        <w:t>有</w:t>
      </w:r>
      <w:r>
        <w:rPr>
          <w:rFonts w:hint="eastAsia" w:ascii="Times New Roman" w:hAnsi="Times New Roman" w:eastAsia="宋体" w:cs="Times New Roman"/>
          <w:b/>
          <w:bCs/>
          <w:kern w:val="2"/>
          <w:sz w:val="24"/>
          <w:szCs w:val="24"/>
          <w:lang w:val="en-US" w:eastAsia="zh-CN" w:bidi="ar-SA"/>
        </w:rPr>
        <w:t>组织废气</w:t>
      </w:r>
      <w:bookmarkEnd w:id="73"/>
    </w:p>
    <w:p>
      <w:pPr>
        <w:wordWrap w:val="0"/>
        <w:spacing w:line="360" w:lineRule="auto"/>
        <w:jc w:val="left"/>
        <w:rPr>
          <w:rFonts w:hint="default" w:ascii="Times New Roman" w:hAnsi="Times New Roman" w:eastAsia="宋体" w:cs="Times New Roman"/>
          <w:color w:val="0000FF"/>
          <w:sz w:val="24"/>
          <w:szCs w:val="24"/>
          <w:lang w:eastAsia="zh-CN"/>
        </w:rPr>
      </w:pPr>
      <w:r>
        <w:rPr>
          <w:rFonts w:hint="eastAsia"/>
          <w:color w:val="000000"/>
          <w:sz w:val="24"/>
          <w:lang w:val="en-US" w:eastAsia="zh-CN"/>
        </w:rPr>
        <w:t xml:space="preserve">   </w:t>
      </w:r>
      <w:r>
        <w:rPr>
          <w:rFonts w:hint="default" w:ascii="Times New Roman" w:hAnsi="Times New Roman" w:eastAsia="宋体" w:cs="Times New Roman"/>
          <w:color w:val="000000"/>
          <w:sz w:val="24"/>
          <w:lang w:val="en-US" w:eastAsia="zh-CN"/>
        </w:rPr>
        <w:t xml:space="preserve"> 本</w:t>
      </w:r>
      <w:r>
        <w:rPr>
          <w:rFonts w:hint="default" w:ascii="Times New Roman" w:hAnsi="Times New Roman" w:eastAsia="宋体" w:cs="Times New Roman"/>
          <w:color w:val="auto"/>
          <w:sz w:val="24"/>
          <w:lang w:val="en-US" w:eastAsia="zh-CN"/>
        </w:rPr>
        <w:t>项</w:t>
      </w:r>
      <w:r>
        <w:rPr>
          <w:rFonts w:hint="default" w:ascii="Times New Roman" w:hAnsi="Times New Roman" w:eastAsia="宋体" w:cs="Times New Roman"/>
          <w:sz w:val="24"/>
          <w:szCs w:val="24"/>
        </w:rPr>
        <w:t>目有组织废气主要为二吸塔尾气</w:t>
      </w:r>
      <w:r>
        <w:rPr>
          <w:rFonts w:hint="default" w:ascii="Times New Roman" w:hAnsi="Times New Roman" w:eastAsia="宋体" w:cs="Times New Roman"/>
          <w:sz w:val="24"/>
          <w:szCs w:val="24"/>
          <w:lang w:eastAsia="zh-CN"/>
        </w:rPr>
        <w:t>（二氧化硫、氮氧化物、硫酸雾），</w:t>
      </w:r>
      <w:r>
        <w:rPr>
          <w:rFonts w:hint="default" w:ascii="Times New Roman" w:hAnsi="Times New Roman" w:eastAsia="宋体" w:cs="Times New Roman"/>
          <w:sz w:val="24"/>
          <w:szCs w:val="24"/>
        </w:rPr>
        <w:t>经</w:t>
      </w:r>
      <w:r>
        <w:rPr>
          <w:rFonts w:hint="default" w:ascii="Times New Roman" w:hAnsi="Times New Roman" w:eastAsia="宋体" w:cs="Times New Roman"/>
          <w:color w:val="auto"/>
          <w:sz w:val="24"/>
          <w:szCs w:val="24"/>
        </w:rPr>
        <w:t>水喷雾增湿+电子除雾+离子液吸收+碱洗塔</w:t>
      </w:r>
      <w:r>
        <w:rPr>
          <w:rFonts w:hint="default" w:ascii="Times New Roman" w:hAnsi="Times New Roman" w:eastAsia="宋体" w:cs="Times New Roman"/>
          <w:color w:val="auto"/>
          <w:sz w:val="24"/>
          <w:szCs w:val="24"/>
          <w:lang w:eastAsia="zh-CN"/>
        </w:rPr>
        <w:t>装置处理后</w:t>
      </w:r>
      <w:r>
        <w:rPr>
          <w:rFonts w:hint="default" w:ascii="Times New Roman" w:hAnsi="Times New Roman" w:eastAsia="宋体" w:cs="Times New Roman"/>
          <w:sz w:val="24"/>
          <w:szCs w:val="24"/>
          <w:lang w:eastAsia="zh-CN"/>
        </w:rPr>
        <w:t>，通过</w:t>
      </w:r>
      <w:r>
        <w:rPr>
          <w:rFonts w:hint="default" w:ascii="Times New Roman" w:hAnsi="Times New Roman" w:eastAsia="宋体" w:cs="Times New Roman"/>
          <w:sz w:val="24"/>
          <w:szCs w:val="24"/>
        </w:rPr>
        <w:t>60m</w:t>
      </w:r>
      <w:r>
        <w:rPr>
          <w:rFonts w:hint="default" w:ascii="Times New Roman" w:hAnsi="Times New Roman" w:eastAsia="宋体" w:cs="Times New Roman"/>
          <w:sz w:val="24"/>
          <w:szCs w:val="24"/>
          <w:lang w:eastAsia="zh-CN"/>
        </w:rPr>
        <w:t>高</w:t>
      </w:r>
      <w:r>
        <w:rPr>
          <w:rFonts w:hint="default" w:ascii="Times New Roman" w:hAnsi="Times New Roman" w:eastAsia="宋体" w:cs="Times New Roman"/>
          <w:sz w:val="24"/>
          <w:szCs w:val="24"/>
        </w:rPr>
        <w:t>排气筒排放</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highlight w:val="none"/>
        </w:rPr>
        <w:t>二氧化硫、氮氧化物排放浓度均满足山东省《区域性大气污染物综合排放标准》（DB37/2376-2019）表1中重点控制区标准要求，硫酸雾和二氧化硫排放浓度同时满足《硫酸工业污染物排放标准》（GB26132-2010）表6中标准要求，氮氧化物排放浓度同时满足</w:t>
      </w:r>
      <w:r>
        <w:rPr>
          <w:rFonts w:hint="eastAsia" w:ascii="Times New Roman" w:hAnsi="Times New Roman" w:eastAsia="宋体" w:cs="Times New Roman"/>
          <w:sz w:val="24"/>
          <w:szCs w:val="24"/>
          <w:highlight w:val="none"/>
          <w:lang w:eastAsia="zh-CN"/>
        </w:rPr>
        <w:t>山东省《锅炉大气污染物排放标准》</w:t>
      </w:r>
      <w:r>
        <w:rPr>
          <w:rFonts w:hint="default" w:ascii="Times New Roman" w:hAnsi="Times New Roman" w:eastAsia="宋体" w:cs="Times New Roman"/>
          <w:sz w:val="24"/>
          <w:szCs w:val="24"/>
          <w:highlight w:val="none"/>
        </w:rPr>
        <w:t>（DB37/2374-2018）相关标准要求。</w:t>
      </w:r>
    </w:p>
    <w:p>
      <w:pPr>
        <w:spacing w:line="360" w:lineRule="auto"/>
        <w:rPr>
          <w:rFonts w:hint="eastAsia" w:cs="Times New Roman"/>
          <w:b/>
          <w:bCs/>
          <w:sz w:val="24"/>
          <w:lang w:val="en-US" w:eastAsia="zh-CN"/>
        </w:rPr>
      </w:pPr>
      <w:r>
        <w:rPr>
          <w:rFonts w:hint="eastAsia" w:ascii="Times New Roman" w:hAnsi="Times New Roman" w:eastAsia="宋体" w:cs="Times New Roman"/>
          <w:b/>
          <w:bCs/>
          <w:sz w:val="24"/>
          <w:lang w:val="en-US" w:eastAsia="zh-CN"/>
        </w:rPr>
        <w:t>2.6.1.</w:t>
      </w:r>
      <w:r>
        <w:rPr>
          <w:rFonts w:hint="eastAsia" w:cs="Times New Roman"/>
          <w:b/>
          <w:bCs/>
          <w:sz w:val="24"/>
          <w:lang w:val="en-US" w:eastAsia="zh-CN"/>
        </w:rPr>
        <w:t>2无组织废气</w:t>
      </w:r>
      <w:bookmarkStart w:id="75" w:name="_Toc18817_WPSOffice_Level2"/>
    </w:p>
    <w:p>
      <w:pPr>
        <w:pStyle w:val="76"/>
        <w:spacing w:before="0" w:beforeAutospacing="0" w:after="0" w:afterAutospacing="0" w:line="490" w:lineRule="exact"/>
        <w:ind w:firstLine="480" w:firstLineChars="200"/>
        <w:jc w:val="both"/>
        <w:outlineLvl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8"/>
          <w:lang w:val="en-US" w:eastAsia="zh-CN" w:bidi="ar-SA"/>
        </w:rPr>
        <w:t>本项目无组织废气污染物主要为颗粒物、二氧化硫、硫酸雾、氮氧化物。通过加强精细化管理，采用密封性好的设备、采用密闭装卸和进料系统等减少无组织废气排放，确保厂界无异味。</w:t>
      </w:r>
      <w:r>
        <w:rPr>
          <w:rFonts w:hint="default" w:ascii="Times New Roman" w:hAnsi="Times New Roman" w:eastAsia="宋体" w:cs="Times New Roman"/>
          <w:color w:val="auto"/>
          <w:highlight w:val="none"/>
        </w:rPr>
        <w:t>各类污染物厂界无组织浓度均达到了《大气污染物综合排放标准》（GB16297-1996）表2中标准要求，厂界无组织硫酸雾、二氧化硫浓度同时满足《硫酸工业污染物排放标准》（GB26132-2010）表8中标准要求。</w:t>
      </w:r>
    </w:p>
    <w:p>
      <w:pPr>
        <w:pStyle w:val="7"/>
        <w:spacing w:line="360" w:lineRule="auto"/>
        <w:rPr>
          <w:rFonts w:hint="eastAsia"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.6.2废水</w:t>
      </w:r>
      <w:bookmarkEnd w:id="75"/>
    </w:p>
    <w:bookmarkEnd w:id="74"/>
    <w:p>
      <w:pPr>
        <w:spacing w:line="360" w:lineRule="auto"/>
        <w:ind w:firstLine="480" w:firstLineChars="200"/>
        <w:rPr>
          <w:rFonts w:hint="eastAsia" w:ascii="Times New Roman" w:hAnsi="Times New Roman" w:eastAsia="宋体" w:cs="Times New Roman"/>
          <w:sz w:val="24"/>
          <w:szCs w:val="24"/>
          <w:lang w:eastAsia="zh-CN"/>
        </w:rPr>
      </w:pPr>
      <w:bookmarkStart w:id="76" w:name="_Toc17675_WPSOffice_Level3"/>
      <w:bookmarkStart w:id="77" w:name="_Toc30180"/>
      <w:r>
        <w:rPr>
          <w:rFonts w:hint="eastAsia"/>
          <w:sz w:val="24"/>
          <w:szCs w:val="24"/>
        </w:rPr>
        <w:t>本项目</w:t>
      </w:r>
      <w:r>
        <w:rPr>
          <w:rFonts w:hint="eastAsia"/>
          <w:sz w:val="24"/>
          <w:szCs w:val="24"/>
          <w:lang w:eastAsia="zh-CN"/>
        </w:rPr>
        <w:t>废水主要为</w:t>
      </w:r>
      <w:r>
        <w:rPr>
          <w:rFonts w:hint="eastAsia"/>
          <w:sz w:val="24"/>
          <w:szCs w:val="24"/>
        </w:rPr>
        <w:t>脱盐水系统排水</w:t>
      </w:r>
      <w:r>
        <w:rPr>
          <w:rFonts w:hint="eastAsia"/>
          <w:sz w:val="24"/>
          <w:szCs w:val="24"/>
          <w:lang w:eastAsia="zh-CN"/>
        </w:rPr>
        <w:t>、循环冷却系统排水、余热回收系统排污水、</w:t>
      </w:r>
      <w:r>
        <w:rPr>
          <w:rFonts w:hint="default" w:ascii="Times New Roman" w:hAnsi="Times New Roman" w:eastAsia="宋体" w:cs="Times New Roman"/>
          <w:sz w:val="24"/>
          <w:szCs w:val="24"/>
        </w:rPr>
        <w:t>车</w:t>
      </w:r>
      <w:r>
        <w:rPr>
          <w:rFonts w:hint="eastAsia" w:ascii="Times New Roman" w:hAnsi="Times New Roman" w:eastAsia="宋体" w:cs="Times New Roman"/>
          <w:sz w:val="24"/>
          <w:szCs w:val="24"/>
          <w:lang w:eastAsia="zh-CN"/>
        </w:rPr>
        <w:t>间</w:t>
      </w:r>
      <w:r>
        <w:rPr>
          <w:rFonts w:hint="default" w:ascii="Times New Roman" w:hAnsi="Times New Roman" w:eastAsia="宋体" w:cs="Times New Roman"/>
          <w:sz w:val="24"/>
          <w:szCs w:val="24"/>
        </w:rPr>
        <w:t>地面冲洗水</w:t>
      </w:r>
      <w:r>
        <w:rPr>
          <w:rFonts w:hint="eastAsia" w:cs="Times New Roman"/>
          <w:sz w:val="24"/>
          <w:szCs w:val="24"/>
          <w:lang w:eastAsia="zh-CN"/>
        </w:rPr>
        <w:t>、</w:t>
      </w:r>
      <w:r>
        <w:rPr>
          <w:rFonts w:hint="default" w:ascii="Times New Roman" w:hAnsi="Times New Roman" w:eastAsia="宋体" w:cs="Times New Roman"/>
          <w:sz w:val="24"/>
          <w:szCs w:val="24"/>
        </w:rPr>
        <w:t>初期雨水</w:t>
      </w:r>
      <w:r>
        <w:rPr>
          <w:rFonts w:hint="eastAsia" w:cs="Times New Roman"/>
          <w:sz w:val="24"/>
          <w:szCs w:val="24"/>
          <w:lang w:eastAsia="zh-CN"/>
        </w:rPr>
        <w:t>及生活废水，</w:t>
      </w:r>
      <w:r>
        <w:rPr>
          <w:rFonts w:hint="default" w:ascii="Times New Roman" w:hAnsi="Times New Roman" w:eastAsia="宋体" w:cs="Times New Roman"/>
          <w:sz w:val="24"/>
          <w:szCs w:val="24"/>
        </w:rPr>
        <w:t>经厂内污水处置设施</w:t>
      </w:r>
      <w:r>
        <w:rPr>
          <w:rFonts w:hint="eastAsia" w:cs="Times New Roman"/>
          <w:sz w:val="24"/>
          <w:szCs w:val="24"/>
          <w:lang w:eastAsia="zh-CN"/>
        </w:rPr>
        <w:t>，</w:t>
      </w:r>
      <w:r>
        <w:rPr>
          <w:rFonts w:hint="default" w:ascii="Times New Roman" w:hAnsi="Times New Roman" w:eastAsia="宋体" w:cs="Times New Roman"/>
          <w:sz w:val="24"/>
          <w:szCs w:val="24"/>
        </w:rPr>
        <w:t>采用酸碱中和+絮凝沉淀工艺处理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达到《硫酸工业污染物排放标准》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表2限值要求后</w:t>
      </w:r>
      <w:r>
        <w:rPr>
          <w:rFonts w:hint="eastAsia" w:ascii="Times New Roman" w:hAnsi="Times New Roman" w:eastAsia="宋体" w:cs="Times New Roman"/>
          <w:sz w:val="24"/>
          <w:szCs w:val="24"/>
          <w:lang w:eastAsia="zh-CN"/>
        </w:rPr>
        <w:t>，</w:t>
      </w:r>
      <w:r>
        <w:rPr>
          <w:rFonts w:hint="eastAsia" w:cs="Times New Roman"/>
          <w:sz w:val="24"/>
          <w:szCs w:val="24"/>
          <w:lang w:eastAsia="zh-CN"/>
        </w:rPr>
        <w:t>与生活污水一起</w:t>
      </w:r>
      <w:r>
        <w:rPr>
          <w:rFonts w:hint="default" w:ascii="Times New Roman" w:hAnsi="Times New Roman" w:eastAsia="宋体" w:cs="Times New Roman"/>
          <w:sz w:val="24"/>
          <w:szCs w:val="24"/>
        </w:rPr>
        <w:t>排入山东民基</w:t>
      </w:r>
      <w:r>
        <w:rPr>
          <w:rFonts w:hint="eastAsia" w:cs="Times New Roman"/>
          <w:sz w:val="24"/>
          <w:szCs w:val="24"/>
          <w:lang w:eastAsia="zh-CN"/>
        </w:rPr>
        <w:t>新材料科技</w:t>
      </w:r>
      <w:r>
        <w:rPr>
          <w:rFonts w:hint="default" w:ascii="Times New Roman" w:hAnsi="Times New Roman" w:eastAsia="宋体" w:cs="Times New Roman"/>
          <w:sz w:val="24"/>
          <w:szCs w:val="24"/>
        </w:rPr>
        <w:t>有限公司污水处理站处理</w:t>
      </w:r>
      <w:r>
        <w:rPr>
          <w:rFonts w:hint="eastAsia" w:cs="Times New Roman"/>
          <w:sz w:val="24"/>
          <w:szCs w:val="24"/>
          <w:lang w:eastAsia="zh-CN"/>
        </w:rPr>
        <w:t>后综合利用，不外排。</w:t>
      </w:r>
    </w:p>
    <w:p>
      <w:pPr>
        <w:pStyle w:val="7"/>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2.6.</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危废与</w:t>
      </w:r>
      <w:r>
        <w:rPr>
          <w:rFonts w:hint="default" w:ascii="Times New Roman" w:hAnsi="Times New Roman" w:eastAsia="宋体" w:cs="Times New Roman"/>
          <w:lang w:val="en-US" w:eastAsia="zh-CN"/>
        </w:rPr>
        <w:t>固体废物</w:t>
      </w:r>
      <w:bookmarkEnd w:id="76"/>
      <w:bookmarkEnd w:id="77"/>
    </w:p>
    <w:p>
      <w:pPr>
        <w:spacing w:line="360" w:lineRule="auto"/>
        <w:ind w:firstLine="480" w:firstLineChars="200"/>
        <w:rPr>
          <w:rFonts w:hint="eastAsia" w:ascii="宋体" w:hAnsi="宋体" w:eastAsia="宋体" w:cs="宋体"/>
          <w:color w:val="C00000"/>
          <w:sz w:val="24"/>
          <w:szCs w:val="24"/>
          <w:lang w:eastAsia="zh-CN"/>
        </w:rPr>
      </w:pPr>
      <w:r>
        <w:rPr>
          <w:rFonts w:hint="eastAsia" w:ascii="宋体" w:hAnsi="宋体" w:eastAsia="宋体" w:cs="宋体"/>
          <w:sz w:val="24"/>
          <w:szCs w:val="24"/>
        </w:rPr>
        <w:t>本项目产生的固体废物包括一般固废</w:t>
      </w:r>
      <w:r>
        <w:rPr>
          <w:rFonts w:hint="eastAsia" w:ascii="宋体" w:hAnsi="宋体" w:eastAsia="宋体" w:cs="宋体"/>
          <w:sz w:val="24"/>
          <w:szCs w:val="24"/>
          <w:lang w:eastAsia="zh-CN"/>
        </w:rPr>
        <w:t>、危险固废和职工生活垃圾</w:t>
      </w:r>
      <w:r>
        <w:rPr>
          <w:rFonts w:hint="eastAsia" w:ascii="宋体" w:hAnsi="宋体" w:cs="宋体"/>
          <w:sz w:val="24"/>
          <w:szCs w:val="24"/>
          <w:lang w:eastAsia="zh-CN"/>
        </w:rPr>
        <w:t>。</w:t>
      </w:r>
    </w:p>
    <w:p>
      <w:pPr>
        <w:spacing w:line="360" w:lineRule="auto"/>
        <w:ind w:left="1200" w:hanging="1200" w:hangingChars="500"/>
        <w:jc w:val="left"/>
        <w:rPr>
          <w:rFonts w:hint="eastAsia" w:ascii="宋体" w:hAnsi="宋体" w:eastAsia="宋体" w:cs="宋体"/>
          <w:sz w:val="24"/>
          <w:szCs w:val="24"/>
          <w:lang w:eastAsia="zh-CN"/>
        </w:rPr>
      </w:pPr>
      <w:r>
        <w:rPr>
          <w:rFonts w:hint="eastAsia" w:ascii="宋体" w:hAnsi="宋体" w:eastAsia="宋体" w:cs="宋体"/>
          <w:sz w:val="24"/>
          <w:szCs w:val="24"/>
        </w:rPr>
        <w:t>一般固废：</w:t>
      </w:r>
      <w:r>
        <w:rPr>
          <w:rFonts w:hint="eastAsia" w:ascii="宋体" w:hAnsi="宋体"/>
          <w:sz w:val="24"/>
        </w:rPr>
        <w:t>空气过滤器过滤和除雾器除雾过程产生</w:t>
      </w:r>
      <w:r>
        <w:rPr>
          <w:rFonts w:hint="eastAsia" w:ascii="宋体" w:hAnsi="宋体"/>
          <w:sz w:val="24"/>
          <w:lang w:eastAsia="zh-CN"/>
        </w:rPr>
        <w:t>的</w:t>
      </w:r>
      <w:r>
        <w:rPr>
          <w:rFonts w:hint="eastAsia" w:hAnsi="宋体"/>
          <w:color w:val="000000"/>
          <w:sz w:val="24"/>
          <w:szCs w:val="24"/>
        </w:rPr>
        <w:t>废滤芯、</w:t>
      </w:r>
      <w:r>
        <w:rPr>
          <w:rFonts w:hint="eastAsia" w:hAnsi="宋体"/>
          <w:color w:val="000000"/>
          <w:sz w:val="24"/>
          <w:szCs w:val="24"/>
          <w:lang w:eastAsia="zh-CN"/>
        </w:rPr>
        <w:t>废</w:t>
      </w:r>
      <w:r>
        <w:rPr>
          <w:rFonts w:hint="eastAsia" w:hAnsi="宋体"/>
          <w:color w:val="000000"/>
          <w:sz w:val="24"/>
          <w:szCs w:val="24"/>
        </w:rPr>
        <w:t>滤网由厂家定期更换</w:t>
      </w:r>
      <w:r>
        <w:rPr>
          <w:rFonts w:hint="eastAsia" w:hAnsi="宋体"/>
          <w:color w:val="000000"/>
          <w:sz w:val="24"/>
          <w:szCs w:val="24"/>
          <w:lang w:eastAsia="zh-CN"/>
        </w:rPr>
        <w:t>。</w:t>
      </w:r>
    </w:p>
    <w:p>
      <w:pPr>
        <w:spacing w:line="360" w:lineRule="auto"/>
        <w:ind w:left="1200" w:hanging="1200" w:hangingChars="500"/>
        <w:rPr>
          <w:rFonts w:hint="eastAsia" w:ascii="宋体" w:hAnsi="宋体" w:eastAsia="宋体" w:cs="宋体"/>
          <w:color w:val="auto"/>
          <w:sz w:val="24"/>
          <w:szCs w:val="24"/>
          <w:lang w:eastAsia="zh-CN"/>
        </w:rPr>
      </w:pPr>
      <w:r>
        <w:rPr>
          <w:rFonts w:hint="eastAsia" w:ascii="宋体" w:hAnsi="宋体" w:eastAsia="宋体" w:cs="宋体"/>
          <w:sz w:val="24"/>
          <w:szCs w:val="24"/>
        </w:rPr>
        <w:t>危险固废：</w:t>
      </w:r>
      <w:r>
        <w:rPr>
          <w:rFonts w:hint="eastAsia" w:ascii="宋体" w:hAnsi="宋体"/>
          <w:sz w:val="24"/>
        </w:rPr>
        <w:t>转化工段产生</w:t>
      </w:r>
      <w:r>
        <w:rPr>
          <w:rFonts w:hint="eastAsia" w:ascii="宋体" w:hAnsi="宋体"/>
          <w:sz w:val="24"/>
          <w:lang w:eastAsia="zh-CN"/>
        </w:rPr>
        <w:t>的</w:t>
      </w:r>
      <w:r>
        <w:rPr>
          <w:rFonts w:hint="eastAsia" w:hAnsi="宋体"/>
          <w:color w:val="000000"/>
          <w:sz w:val="24"/>
          <w:szCs w:val="24"/>
        </w:rPr>
        <w:t>废催化剂、</w:t>
      </w:r>
      <w:r>
        <w:rPr>
          <w:rFonts w:hint="eastAsia" w:ascii="宋体" w:hAnsi="宋体"/>
          <w:sz w:val="24"/>
        </w:rPr>
        <w:t>脱盐水制备</w:t>
      </w:r>
      <w:r>
        <w:rPr>
          <w:rFonts w:hint="eastAsia" w:ascii="宋体" w:hAnsi="宋体"/>
          <w:sz w:val="24"/>
          <w:lang w:eastAsia="zh-CN"/>
        </w:rPr>
        <w:t>采用</w:t>
      </w:r>
      <w:r>
        <w:rPr>
          <w:rFonts w:hint="eastAsia" w:ascii="宋体" w:hAnsi="宋体"/>
          <w:sz w:val="24"/>
        </w:rPr>
        <w:t>反渗透+阴阳离子交换</w:t>
      </w:r>
      <w:r>
        <w:rPr>
          <w:rFonts w:hint="eastAsia" w:ascii="宋体" w:hAnsi="宋体"/>
          <w:sz w:val="24"/>
          <w:lang w:eastAsia="zh-CN"/>
        </w:rPr>
        <w:t>定期更换下来的</w:t>
      </w:r>
      <w:r>
        <w:rPr>
          <w:rFonts w:hint="eastAsia" w:hAnsi="宋体"/>
          <w:color w:val="000000"/>
          <w:sz w:val="24"/>
          <w:szCs w:val="24"/>
        </w:rPr>
        <w:t>废离子树脂、污水处理</w:t>
      </w:r>
      <w:r>
        <w:rPr>
          <w:rFonts w:hint="eastAsia" w:hAnsi="宋体"/>
          <w:color w:val="000000"/>
          <w:sz w:val="24"/>
          <w:szCs w:val="24"/>
          <w:lang w:eastAsia="zh-CN"/>
        </w:rPr>
        <w:t>站产生的</w:t>
      </w:r>
      <w:r>
        <w:rPr>
          <w:rFonts w:hint="eastAsia" w:hAnsi="宋体"/>
          <w:color w:val="000000"/>
          <w:sz w:val="24"/>
          <w:szCs w:val="24"/>
        </w:rPr>
        <w:t>污泥和</w:t>
      </w:r>
      <w:r>
        <w:rPr>
          <w:rFonts w:hint="eastAsia" w:ascii="宋体" w:hAnsi="宋体"/>
          <w:sz w:val="24"/>
        </w:rPr>
        <w:t>溶液净化装置中</w:t>
      </w:r>
      <w:r>
        <w:rPr>
          <w:rFonts w:hint="eastAsia" w:ascii="宋体" w:hAnsi="宋体"/>
          <w:sz w:val="24"/>
          <w:lang w:eastAsia="zh-CN"/>
        </w:rPr>
        <w:t>产生的</w:t>
      </w:r>
      <w:r>
        <w:rPr>
          <w:rFonts w:hint="eastAsia" w:hAnsi="宋体"/>
          <w:color w:val="000000"/>
          <w:sz w:val="24"/>
          <w:szCs w:val="24"/>
        </w:rPr>
        <w:t>废活性炭</w:t>
      </w:r>
      <w:r>
        <w:rPr>
          <w:rFonts w:hint="eastAsia" w:ascii="宋体" w:hAnsi="宋体" w:eastAsia="宋体" w:cs="宋体"/>
          <w:sz w:val="24"/>
          <w:szCs w:val="24"/>
        </w:rPr>
        <w:t>定期委托具有危废处置资质</w:t>
      </w:r>
      <w:r>
        <w:rPr>
          <w:rFonts w:hint="eastAsia" w:ascii="宋体" w:hAnsi="宋体" w:cs="宋体"/>
          <w:sz w:val="24"/>
          <w:szCs w:val="24"/>
          <w:lang w:eastAsia="zh-CN"/>
        </w:rPr>
        <w:t>的</w:t>
      </w:r>
      <w:r>
        <w:rPr>
          <w:rFonts w:hint="eastAsia" w:cs="Times New Roman"/>
          <w:sz w:val="24"/>
          <w:szCs w:val="24"/>
          <w:lang w:eastAsia="zh-CN"/>
        </w:rPr>
        <w:t>德州泉润环境资源有限公司</w:t>
      </w:r>
      <w:r>
        <w:rPr>
          <w:rFonts w:hint="eastAsia" w:ascii="宋体" w:hAnsi="宋体" w:eastAsia="宋体" w:cs="宋体"/>
          <w:sz w:val="24"/>
          <w:szCs w:val="24"/>
        </w:rPr>
        <w:t>处</w:t>
      </w:r>
      <w:r>
        <w:rPr>
          <w:rFonts w:hint="eastAsia" w:ascii="宋体" w:hAnsi="宋体" w:cs="宋体"/>
          <w:sz w:val="24"/>
          <w:szCs w:val="24"/>
          <w:lang w:eastAsia="zh-CN"/>
        </w:rPr>
        <w:t>置</w:t>
      </w:r>
      <w:r>
        <w:rPr>
          <w:rFonts w:hint="eastAsia" w:ascii="宋体" w:hAnsi="宋体" w:eastAsia="宋体" w:cs="宋体"/>
          <w:sz w:val="24"/>
          <w:szCs w:val="24"/>
        </w:rPr>
        <w:t>。</w:t>
      </w:r>
    </w:p>
    <w:p>
      <w:pPr>
        <w:pStyle w:val="2"/>
        <w:ind w:left="0" w:leftChars="0" w:firstLine="0" w:firstLineChars="0"/>
        <w:rPr>
          <w:rFonts w:hint="eastAsia"/>
          <w:sz w:val="24"/>
          <w:szCs w:val="24"/>
          <w:lang w:eastAsia="zh-CN"/>
        </w:rPr>
      </w:pPr>
      <w:r>
        <w:rPr>
          <w:rFonts w:hint="eastAsia" w:ascii="宋体" w:hAnsi="宋体" w:eastAsia="宋体" w:cs="宋体"/>
          <w:color w:val="auto"/>
          <w:sz w:val="24"/>
          <w:szCs w:val="24"/>
          <w:lang w:val="en-US" w:eastAsia="zh-CN"/>
        </w:rPr>
        <w:t>职工生活垃圾：</w:t>
      </w:r>
      <w:r>
        <w:rPr>
          <w:rFonts w:hint="eastAsia" w:hAnsi="宋体"/>
          <w:color w:val="000000"/>
          <w:szCs w:val="21"/>
        </w:rPr>
        <w:t>由厂区垃圾桶收集</w:t>
      </w:r>
      <w:r>
        <w:rPr>
          <w:rFonts w:hint="eastAsia" w:hAnsi="宋体"/>
          <w:color w:val="000000"/>
          <w:szCs w:val="21"/>
          <w:lang w:eastAsia="zh-CN"/>
        </w:rPr>
        <w:t>后</w:t>
      </w:r>
      <w:r>
        <w:rPr>
          <w:rFonts w:hint="eastAsia" w:hAnsi="宋体"/>
          <w:color w:val="000000"/>
        </w:rPr>
        <w:t>由环卫部门定期清运。</w:t>
      </w:r>
    </w:p>
    <w:p>
      <w:pPr>
        <w:pStyle w:val="7"/>
        <w:rPr>
          <w:rFonts w:hint="default" w:ascii="Times New Roman" w:hAnsi="Times New Roman" w:eastAsia="宋体" w:cs="Times New Roman"/>
          <w:lang w:val="en-US" w:eastAsia="zh-CN"/>
        </w:rPr>
      </w:pPr>
      <w:bookmarkStart w:id="78" w:name="_Toc5539_WPSOffice_Level2"/>
      <w:bookmarkStart w:id="79" w:name="_Toc17551"/>
      <w:r>
        <w:rPr>
          <w:rFonts w:hint="default" w:ascii="Times New Roman" w:hAnsi="Times New Roman" w:eastAsia="宋体" w:cs="Times New Roman"/>
          <w:lang w:val="en-US" w:eastAsia="zh-CN"/>
        </w:rPr>
        <w:t>2.6.4 噪声</w:t>
      </w:r>
      <w:bookmarkEnd w:id="78"/>
      <w:bookmarkEnd w:id="79"/>
    </w:p>
    <w:p>
      <w:pPr>
        <w:autoSpaceDE w:val="0"/>
        <w:autoSpaceDN w:val="0"/>
        <w:adjustRightInd w:val="0"/>
        <w:spacing w:line="360" w:lineRule="auto"/>
        <w:rPr>
          <w:rFonts w:hint="default" w:ascii="Times New Roman" w:hAnsi="Times New Roman" w:eastAsia="宋体" w:cs="Times New Roman"/>
          <w:b/>
          <w:bCs/>
          <w:sz w:val="24"/>
        </w:rPr>
      </w:pPr>
      <w:bookmarkStart w:id="80" w:name="_Toc27680_WPSOffice_Level3"/>
      <w:r>
        <w:rPr>
          <w:rFonts w:hint="default" w:ascii="Times New Roman" w:hAnsi="Times New Roman" w:eastAsia="宋体" w:cs="Times New Roman"/>
          <w:b/>
          <w:bCs/>
          <w:sz w:val="24"/>
        </w:rPr>
        <w:t>2.6.4.1主要噪声源</w:t>
      </w:r>
      <w:bookmarkEnd w:id="80"/>
    </w:p>
    <w:p>
      <w:pPr>
        <w:spacing w:line="360" w:lineRule="auto"/>
        <w:ind w:firstLine="480" w:firstLineChars="200"/>
        <w:rPr>
          <w:rFonts w:hint="default"/>
          <w:color w:val="auto"/>
          <w:sz w:val="24"/>
          <w:lang w:val="en-US" w:eastAsia="zh-CN"/>
        </w:rPr>
      </w:pPr>
      <w:r>
        <w:rPr>
          <w:sz w:val="24"/>
          <w:szCs w:val="24"/>
        </w:rPr>
        <w:t>本项目噪声</w:t>
      </w:r>
      <w:r>
        <w:rPr>
          <w:rFonts w:hint="eastAsia"/>
          <w:sz w:val="24"/>
          <w:szCs w:val="24"/>
          <w:lang w:eastAsia="zh-CN"/>
        </w:rPr>
        <w:t>由</w:t>
      </w:r>
      <w:r>
        <w:rPr>
          <w:rFonts w:hint="default" w:ascii="Times New Roman" w:hAnsi="Times New Roman" w:eastAsia="宋体" w:cs="Times New Roman"/>
          <w:color w:val="auto"/>
          <w:sz w:val="24"/>
          <w:szCs w:val="24"/>
        </w:rPr>
        <w:t>生产设备运行产生的噪声</w:t>
      </w:r>
      <w:r>
        <w:rPr>
          <w:rFonts w:hint="default" w:ascii="Times New Roman" w:hAnsi="Times New Roman" w:eastAsia="宋体" w:cs="Times New Roman"/>
          <w:bCs/>
          <w:color w:val="auto"/>
          <w:sz w:val="24"/>
          <w:szCs w:val="24"/>
        </w:rPr>
        <w:t>。</w:t>
      </w:r>
    </w:p>
    <w:p>
      <w:pPr>
        <w:autoSpaceDE w:val="0"/>
        <w:autoSpaceDN w:val="0"/>
        <w:adjustRightInd w:val="0"/>
        <w:spacing w:line="360" w:lineRule="auto"/>
        <w:rPr>
          <w:rFonts w:hint="default" w:ascii="Times New Roman" w:hAnsi="Times New Roman" w:cs="Times New Roman" w:eastAsiaTheme="minorEastAsia"/>
          <w:b/>
          <w:bCs/>
          <w:color w:val="auto"/>
          <w:sz w:val="24"/>
        </w:rPr>
      </w:pPr>
      <w:bookmarkStart w:id="81" w:name="_Toc7731_WPSOffice_Level3"/>
      <w:r>
        <w:rPr>
          <w:rFonts w:hint="default" w:ascii="Times New Roman" w:hAnsi="Times New Roman" w:cs="Times New Roman" w:eastAsiaTheme="minorEastAsia"/>
          <w:b/>
          <w:bCs/>
          <w:color w:val="auto"/>
          <w:sz w:val="24"/>
        </w:rPr>
        <w:t>2.6.4.2治理措施</w:t>
      </w:r>
      <w:bookmarkEnd w:id="81"/>
    </w:p>
    <w:p>
      <w:pPr>
        <w:spacing w:line="360" w:lineRule="auto"/>
        <w:ind w:firstLine="480" w:firstLineChars="200"/>
        <w:rPr>
          <w:color w:val="auto"/>
          <w:sz w:val="24"/>
        </w:rPr>
      </w:pPr>
      <w:r>
        <w:rPr>
          <w:rFonts w:hint="eastAsia" w:ascii="宋体" w:hAnsi="宋体" w:cs="宋体"/>
          <w:color w:val="auto"/>
          <w:sz w:val="24"/>
        </w:rPr>
        <w:t>①</w:t>
      </w:r>
      <w:r>
        <w:rPr>
          <w:rFonts w:hint="eastAsia" w:hAnsi="宋体"/>
          <w:sz w:val="24"/>
          <w:szCs w:val="24"/>
        </w:rPr>
        <w:t>购置低噪声设备，同时加大高噪声设备的噪声治理力度，对高噪声设备采取消声、减振等降噪措施。</w:t>
      </w:r>
    </w:p>
    <w:p>
      <w:pPr>
        <w:pStyle w:val="15"/>
        <w:spacing w:line="360" w:lineRule="auto"/>
        <w:ind w:firstLine="480" w:firstLineChars="200"/>
        <w:rPr>
          <w:rFonts w:hint="eastAsia" w:hAnsi="宋体"/>
          <w:sz w:val="24"/>
          <w:szCs w:val="24"/>
        </w:rPr>
      </w:pPr>
      <w:r>
        <w:rPr>
          <w:rFonts w:hint="eastAsia" w:ascii="宋体" w:hAnsi="宋体" w:cs="宋体"/>
          <w:color w:val="auto"/>
          <w:sz w:val="24"/>
        </w:rPr>
        <w:t>②</w:t>
      </w:r>
      <w:r>
        <w:rPr>
          <w:rFonts w:hint="eastAsia" w:hAnsi="宋体"/>
          <w:sz w:val="24"/>
          <w:szCs w:val="24"/>
        </w:rPr>
        <w:t>噪声控制由相关专业人员设计。在设备布置时，尽量使工作和休息场所远离强噪声源，并设置必要的值班室，对工作人员进行噪声防护隔离。</w:t>
      </w:r>
    </w:p>
    <w:p>
      <w:pPr>
        <w:spacing w:line="360" w:lineRule="auto"/>
        <w:ind w:firstLine="480" w:firstLineChars="200"/>
        <w:rPr>
          <w:color w:val="auto"/>
          <w:sz w:val="24"/>
        </w:rPr>
      </w:pPr>
      <w:r>
        <w:rPr>
          <w:rFonts w:hint="eastAsia" w:ascii="宋体" w:hAnsi="宋体" w:cs="宋体"/>
          <w:color w:val="auto"/>
          <w:sz w:val="24"/>
        </w:rPr>
        <w:t>③</w:t>
      </w:r>
      <w:r>
        <w:rPr>
          <w:rFonts w:hint="eastAsia" w:hAnsi="宋体"/>
          <w:sz w:val="24"/>
          <w:szCs w:val="24"/>
        </w:rPr>
        <w:t>合理布局厂区道路，维护厂区道路平整，加强机动运输车辆行驶管理，降低交通噪声影响。</w:t>
      </w:r>
    </w:p>
    <w:p>
      <w:pPr>
        <w:spacing w:line="360" w:lineRule="auto"/>
        <w:ind w:firstLine="480" w:firstLineChars="200"/>
        <w:rPr>
          <w:color w:val="auto"/>
          <w:sz w:val="24"/>
        </w:rPr>
      </w:pPr>
      <w:r>
        <w:rPr>
          <w:rFonts w:hint="eastAsia" w:ascii="宋体" w:hAnsi="宋体" w:cs="宋体"/>
          <w:color w:val="auto"/>
          <w:sz w:val="24"/>
        </w:rPr>
        <w:t>④</w:t>
      </w:r>
      <w:r>
        <w:rPr>
          <w:rFonts w:hint="eastAsia" w:hAnsi="宋体"/>
          <w:sz w:val="24"/>
          <w:szCs w:val="24"/>
        </w:rPr>
        <w:t>运营期加强设备的维护与管理，避免出现异常情况导致特发高噪声。</w:t>
      </w:r>
    </w:p>
    <w:p>
      <w:pPr>
        <w:pStyle w:val="15"/>
        <w:spacing w:line="360" w:lineRule="auto"/>
        <w:ind w:firstLine="480" w:firstLineChars="200"/>
        <w:rPr>
          <w:rFonts w:hint="eastAsia" w:hAnsi="宋体"/>
          <w:sz w:val="24"/>
          <w:szCs w:val="24"/>
        </w:rPr>
      </w:pPr>
      <w:r>
        <w:rPr>
          <w:rFonts w:hint="eastAsia" w:ascii="宋体" w:hAnsi="宋体" w:cs="宋体"/>
          <w:color w:val="auto"/>
          <w:sz w:val="24"/>
        </w:rPr>
        <w:t>⑤</w:t>
      </w:r>
      <w:r>
        <w:rPr>
          <w:rFonts w:hint="eastAsia" w:hAnsi="宋体"/>
          <w:sz w:val="24"/>
          <w:szCs w:val="24"/>
        </w:rPr>
        <w:t>合理布局，预防噪声叠加干扰，合理布置生产装置，将噪声大的设备远离厂界布置。</w:t>
      </w:r>
    </w:p>
    <w:p>
      <w:pPr>
        <w:spacing w:line="360" w:lineRule="auto"/>
        <w:ind w:firstLine="480" w:firstLineChars="200"/>
        <w:rPr>
          <w:rFonts w:hint="eastAsia" w:ascii="宋体" w:hAnsi="宋体"/>
          <w:sz w:val="24"/>
        </w:rPr>
      </w:pPr>
      <w:r>
        <w:rPr>
          <w:rFonts w:hint="eastAsia" w:ascii="宋体" w:hAnsi="宋体" w:cs="宋体"/>
          <w:color w:val="auto"/>
          <w:sz w:val="24"/>
        </w:rPr>
        <w:t>⑥</w:t>
      </w:r>
      <w:r>
        <w:rPr>
          <w:rFonts w:hint="eastAsia" w:ascii="宋体" w:hAnsi="宋体"/>
          <w:sz w:val="24"/>
        </w:rPr>
        <w:t>加强和完善道路和厂区的绿化等辅助性降噪措施，进一步降低工程噪声和交通噪声对周围环境的影响。</w:t>
      </w:r>
    </w:p>
    <w:p>
      <w:pPr>
        <w:spacing w:line="360" w:lineRule="auto"/>
        <w:ind w:firstLine="480" w:firstLineChars="200"/>
        <w:rPr>
          <w:color w:val="auto"/>
          <w:sz w:val="24"/>
        </w:rPr>
      </w:pPr>
      <w:r>
        <w:rPr>
          <w:color w:val="auto"/>
          <w:sz w:val="24"/>
        </w:rPr>
        <w:t>项目采取以上措施后可以有效地降低设备噪声对周围环境的影响，噪声衰减到厂界</w:t>
      </w:r>
      <w:r>
        <w:rPr>
          <w:bCs/>
          <w:color w:val="auto"/>
          <w:sz w:val="24"/>
        </w:rPr>
        <w:t>能满足</w:t>
      </w:r>
      <w:r>
        <w:rPr>
          <w:color w:val="auto"/>
          <w:sz w:val="24"/>
        </w:rPr>
        <w:t>《工业企业厂界环境噪声排放标准》</w:t>
      </w:r>
      <w:r>
        <w:rPr>
          <w:rFonts w:hint="eastAsia"/>
          <w:color w:val="auto"/>
          <w:sz w:val="24"/>
          <w:lang w:eastAsia="zh-CN"/>
        </w:rPr>
        <w:t>（GB12348-2008）中3类标准</w:t>
      </w:r>
      <w:r>
        <w:rPr>
          <w:color w:val="auto"/>
          <w:sz w:val="24"/>
        </w:rPr>
        <w:t>。</w:t>
      </w:r>
    </w:p>
    <w:p>
      <w:pPr>
        <w:spacing w:line="360" w:lineRule="auto"/>
        <w:ind w:firstLine="480" w:firstLineChars="200"/>
        <w:rPr>
          <w:sz w:val="24"/>
        </w:rPr>
      </w:pPr>
      <w:r>
        <w:rPr>
          <w:color w:val="auto"/>
          <w:sz w:val="24"/>
        </w:rPr>
        <w:t>因此，只要企业落实以上隔声降噪措施，项目噪声对周围环境影响不</w:t>
      </w:r>
      <w:r>
        <w:rPr>
          <w:sz w:val="24"/>
        </w:rPr>
        <w:t>大。</w:t>
      </w:r>
    </w:p>
    <w:p>
      <w:pPr>
        <w:pStyle w:val="6"/>
        <w:spacing w:line="240" w:lineRule="auto"/>
        <w:rPr>
          <w:highlight w:val="none"/>
        </w:rPr>
      </w:pPr>
      <w:r>
        <w:rPr>
          <w:rFonts w:hint="eastAsia"/>
          <w:highlight w:val="none"/>
        </w:rPr>
        <w:t>2.7项目变更汇总情况</w:t>
      </w:r>
    </w:p>
    <w:p>
      <w:pPr>
        <w:numPr>
          <w:ilvl w:val="0"/>
          <w:numId w:val="0"/>
        </w:numPr>
        <w:tabs>
          <w:tab w:val="left" w:pos="938"/>
        </w:tabs>
        <w:spacing w:line="500" w:lineRule="exact"/>
        <w:ind w:firstLine="480" w:firstLineChars="200"/>
        <w:rPr>
          <w:rFonts w:hint="default" w:cs="Times New Roman" w:eastAsiaTheme="minorEastAsia"/>
          <w:color w:val="auto"/>
          <w:sz w:val="24"/>
          <w:szCs w:val="24"/>
          <w:lang w:val="en-US" w:eastAsia="zh-CN"/>
        </w:rPr>
      </w:pPr>
      <w:r>
        <w:rPr>
          <w:rFonts w:hint="eastAsia" w:ascii="宋体" w:hAnsi="宋体" w:eastAsia="宋体" w:cs="宋体"/>
          <w:color w:val="auto"/>
          <w:sz w:val="24"/>
          <w:szCs w:val="24"/>
          <w:lang w:val="en-US" w:eastAsia="zh-CN"/>
        </w:rPr>
        <w:t>本项目无变更内容。</w:t>
      </w:r>
    </w:p>
    <w:p>
      <w:pPr>
        <w:rPr>
          <w:rFonts w:hint="eastAsia" w:eastAsia="宋体"/>
          <w:color w:val="auto"/>
          <w:sz w:val="24"/>
          <w:lang w:val="en-US" w:eastAsia="zh-CN"/>
        </w:rPr>
      </w:pPr>
    </w:p>
    <w:p>
      <w:pPr>
        <w:rPr>
          <w:rFonts w:hint="eastAsia" w:eastAsia="宋体"/>
          <w:sz w:val="24"/>
          <w:lang w:val="en-US" w:eastAsia="zh-CN"/>
        </w:rPr>
      </w:pPr>
    </w:p>
    <w:p>
      <w:pPr>
        <w:rPr>
          <w:rFonts w:hint="eastAsia" w:eastAsia="宋体"/>
          <w:sz w:val="24"/>
          <w:lang w:val="en-US" w:eastAsia="zh-CN"/>
        </w:rPr>
        <w:sectPr>
          <w:footerReference r:id="rId7"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5"/>
        <w:jc w:val="center"/>
      </w:pPr>
      <w:bookmarkStart w:id="82" w:name="_Toc17519"/>
      <w:bookmarkStart w:id="83" w:name="_Toc11169_WPSOffice_Level1"/>
      <w:bookmarkStart w:id="84" w:name="_Toc27755"/>
      <w:r>
        <w:t>第</w:t>
      </w:r>
      <w:r>
        <w:rPr>
          <w:rFonts w:hint="eastAsia"/>
          <w:lang w:val="en-US" w:eastAsia="zh-CN"/>
        </w:rPr>
        <w:t>三</w:t>
      </w:r>
      <w:r>
        <w:t>章</w:t>
      </w:r>
      <w:r>
        <w:rPr>
          <w:rFonts w:hint="eastAsia"/>
        </w:rPr>
        <w:t xml:space="preserve">  环评建议及环评批复要求</w:t>
      </w:r>
      <w:bookmarkEnd w:id="82"/>
      <w:bookmarkEnd w:id="83"/>
      <w:bookmarkEnd w:id="84"/>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rPr>
      </w:pPr>
      <w:bookmarkStart w:id="85" w:name="_Toc6357_WPSOffice_Level2"/>
      <w:bookmarkStart w:id="86" w:name="_Toc11269"/>
      <w:r>
        <w:rPr>
          <w:rFonts w:hint="eastAsia"/>
        </w:rPr>
        <w:t>3.1 环评结论及建议</w:t>
      </w:r>
      <w:bookmarkEnd w:id="85"/>
      <w:bookmarkEnd w:id="86"/>
    </w:p>
    <w:p>
      <w:pPr>
        <w:pStyle w:val="7"/>
        <w:keepNext/>
        <w:keepLines/>
        <w:pageBreakBefore w:val="0"/>
        <w:widowControl w:val="0"/>
        <w:kinsoku/>
        <w:wordWrap/>
        <w:overflowPunct/>
        <w:topLinePunct w:val="0"/>
        <w:autoSpaceDE/>
        <w:autoSpaceDN/>
        <w:bidi w:val="0"/>
        <w:adjustRightInd/>
        <w:snapToGrid/>
        <w:spacing w:before="6" w:after="6" w:line="416" w:lineRule="auto"/>
        <w:textAlignment w:val="auto"/>
        <w:rPr>
          <w:rFonts w:hint="default"/>
        </w:rPr>
      </w:pPr>
      <w:bookmarkStart w:id="87" w:name="_Toc31595"/>
      <w:bookmarkStart w:id="88" w:name="_Toc26359_WPSOffice_Level3"/>
      <w:r>
        <w:rPr>
          <w:rFonts w:hint="default"/>
        </w:rPr>
        <w:t>3.1.1 总体结论</w:t>
      </w:r>
      <w:bookmarkEnd w:id="87"/>
      <w:bookmarkEnd w:id="88"/>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asciiTheme="minorEastAsia" w:hAnsiTheme="minorEastAsia" w:eastAsiaTheme="minorEastAsia" w:cstheme="minorEastAsia"/>
          <w:sz w:val="30"/>
          <w:szCs w:val="30"/>
        </w:rPr>
      </w:pPr>
      <w:bookmarkStart w:id="89" w:name="_Toc13438_WPSOffice_Level2"/>
      <w:bookmarkStart w:id="90" w:name="_Toc9062"/>
      <w:r>
        <w:rPr>
          <w:rFonts w:hint="eastAsia" w:asciiTheme="minorEastAsia" w:hAnsiTheme="minorEastAsia" w:eastAsiaTheme="minorEastAsia" w:cstheme="minorEastAsia"/>
          <w:sz w:val="30"/>
          <w:szCs w:val="30"/>
        </w:rPr>
        <w:t>一、结论</w:t>
      </w:r>
      <w:bookmarkEnd w:id="89"/>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asciiTheme="minorEastAsia" w:hAnsiTheme="minorEastAsia" w:eastAsiaTheme="minorEastAsia" w:cstheme="minorEastAsia"/>
          <w:sz w:val="28"/>
          <w:szCs w:val="28"/>
        </w:rPr>
      </w:pPr>
      <w:bookmarkStart w:id="91" w:name="_Toc12513_WPSOffice_Level3"/>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项目概况</w:t>
      </w:r>
      <w:bookmarkEnd w:id="91"/>
    </w:p>
    <w:p>
      <w:pPr>
        <w:pStyle w:val="6"/>
        <w:keepNext/>
        <w:keepLines/>
        <w:pageBreakBefore w:val="0"/>
        <w:widowControl w:val="0"/>
        <w:kinsoku/>
        <w:wordWrap/>
        <w:overflowPunct/>
        <w:topLinePunct w:val="0"/>
        <w:autoSpaceDE/>
        <w:autoSpaceDN/>
        <w:bidi w:val="0"/>
        <w:adjustRightInd/>
        <w:snapToGrid/>
        <w:spacing w:before="6" w:after="6" w:line="416" w:lineRule="auto"/>
        <w:ind w:firstLine="480" w:firstLineChars="200"/>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sz w:val="24"/>
          <w:szCs w:val="24"/>
        </w:rPr>
        <w:t>项目位于张店区东部化</w:t>
      </w:r>
      <w:r>
        <w:rPr>
          <w:rFonts w:hint="eastAsia" w:ascii="宋体" w:hAnsi="宋体" w:eastAsia="宋体" w:cs="宋体"/>
          <w:b w:val="0"/>
          <w:bCs w:val="0"/>
          <w:sz w:val="24"/>
          <w:szCs w:val="24"/>
        </w:rPr>
        <w:t>工区</w:t>
      </w:r>
      <w:r>
        <w:rPr>
          <w:rFonts w:hint="eastAsia" w:ascii="宋体" w:hAnsi="宋体" w:eastAsia="宋体" w:cs="宋体"/>
          <w:b w:val="0"/>
          <w:bCs w:val="0"/>
          <w:sz w:val="24"/>
          <w:szCs w:val="24"/>
          <w:lang w:val="en-US" w:eastAsia="zh-CN"/>
        </w:rPr>
        <w:t>山东民基新材料科技有限公司</w:t>
      </w:r>
      <w:r>
        <w:rPr>
          <w:rFonts w:hint="eastAsia" w:ascii="宋体" w:hAnsi="宋体" w:eastAsia="宋体" w:cs="宋体"/>
          <w:b w:val="0"/>
          <w:bCs w:val="0"/>
          <w:sz w:val="24"/>
          <w:szCs w:val="24"/>
        </w:rPr>
        <w:t>厂区内预</w:t>
      </w:r>
      <w:r>
        <w:rPr>
          <w:rFonts w:hint="default" w:ascii="Times New Roman" w:hAnsi="Times New Roman" w:eastAsia="宋体" w:cs="Times New Roman"/>
          <w:b w:val="0"/>
          <w:bCs w:val="0"/>
          <w:sz w:val="24"/>
          <w:szCs w:val="24"/>
        </w:rPr>
        <w:t>留用地上</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color w:val="auto"/>
          <w:kern w:val="2"/>
          <w:sz w:val="24"/>
          <w:szCs w:val="28"/>
          <w:lang w:val="en-US" w:eastAsia="zh-CN" w:bidi="ar-SA"/>
        </w:rPr>
        <w:t>生产规</w:t>
      </w:r>
      <w:r>
        <w:rPr>
          <w:rFonts w:hint="default" w:ascii="Times New Roman" w:hAnsi="Times New Roman" w:eastAsia="宋体" w:cs="Times New Roman"/>
          <w:b w:val="0"/>
          <w:bCs w:val="0"/>
          <w:color w:val="auto"/>
          <w:kern w:val="2"/>
          <w:sz w:val="24"/>
          <w:szCs w:val="24"/>
          <w:lang w:val="en-US" w:eastAsia="zh-CN" w:bidi="ar-SA"/>
        </w:rPr>
        <w:t>模为</w:t>
      </w:r>
      <w:r>
        <w:rPr>
          <w:rFonts w:hint="default" w:ascii="Times New Roman" w:hAnsi="Times New Roman" w:eastAsia="宋体" w:cs="Times New Roman"/>
          <w:b w:val="0"/>
          <w:bCs w:val="0"/>
          <w:sz w:val="24"/>
          <w:szCs w:val="24"/>
        </w:rPr>
        <w:t>年产硫酸30万吨</w:t>
      </w:r>
      <w:r>
        <w:rPr>
          <w:rFonts w:hint="default" w:ascii="Times New Roman" w:hAnsi="Times New Roman" w:eastAsia="宋体" w:cs="Times New Roman"/>
          <w:b w:val="0"/>
          <w:bCs w:val="0"/>
          <w:color w:val="auto"/>
          <w:kern w:val="2"/>
          <w:sz w:val="24"/>
          <w:szCs w:val="24"/>
          <w:lang w:val="en-US" w:eastAsia="zh-CN" w:bidi="ar-SA"/>
        </w:rPr>
        <w:t>。总投资8249.42万元，其中环保投资350万元，占地面积14856m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sz w:val="24"/>
          <w:szCs w:val="24"/>
          <w:lang w:eastAsia="zh-CN"/>
        </w:rPr>
        <w:t>。</w:t>
      </w:r>
    </w:p>
    <w:p>
      <w:pPr>
        <w:pStyle w:val="6"/>
        <w:keepNext/>
        <w:keepLines/>
        <w:pageBreakBefore w:val="0"/>
        <w:widowControl w:val="0"/>
        <w:numPr>
          <w:ilvl w:val="0"/>
          <w:numId w:val="5"/>
        </w:numPr>
        <w:kinsoku/>
        <w:wordWrap/>
        <w:overflowPunct/>
        <w:topLinePunct w:val="0"/>
        <w:autoSpaceDE/>
        <w:autoSpaceDN/>
        <w:bidi w:val="0"/>
        <w:adjustRightInd/>
        <w:snapToGrid/>
        <w:spacing w:before="6" w:after="6" w:line="416" w:lineRule="auto"/>
        <w:textAlignment w:val="auto"/>
        <w:rPr>
          <w:rFonts w:hint="eastAsia" w:asciiTheme="minorEastAsia" w:hAnsiTheme="minorEastAsia" w:eastAsiaTheme="minorEastAsia" w:cstheme="minorEastAsia"/>
          <w:sz w:val="28"/>
          <w:szCs w:val="28"/>
          <w:highlight w:val="none"/>
        </w:rPr>
      </w:pPr>
      <w:bookmarkStart w:id="92" w:name="_Toc26607_WPSOffice_Level3"/>
      <w:r>
        <w:rPr>
          <w:rFonts w:hint="eastAsia" w:asciiTheme="minorEastAsia" w:hAnsiTheme="minorEastAsia" w:eastAsiaTheme="minorEastAsia" w:cstheme="minorEastAsia"/>
          <w:sz w:val="28"/>
          <w:szCs w:val="28"/>
          <w:highlight w:val="none"/>
        </w:rPr>
        <w:t>选址合理</w:t>
      </w:r>
      <w:bookmarkEnd w:id="92"/>
    </w:p>
    <w:p>
      <w:pPr>
        <w:adjustRightInd w:val="0"/>
        <w:spacing w:line="360" w:lineRule="auto"/>
        <w:ind w:firstLine="480" w:firstLineChars="200"/>
        <w:rPr>
          <w:rFonts w:hint="default" w:ascii="Times New Roman" w:hAnsi="Times New Roman" w:cs="Times New Roman"/>
          <w:sz w:val="24"/>
        </w:rPr>
      </w:pPr>
      <w:r>
        <w:rPr>
          <w:rFonts w:hint="eastAsia" w:ascii="宋体" w:hAnsi="宋体"/>
          <w:sz w:val="24"/>
        </w:rPr>
        <w:t>1、规</w:t>
      </w:r>
      <w:r>
        <w:rPr>
          <w:rFonts w:hint="default" w:ascii="Times New Roman" w:hAnsi="Times New Roman" w:cs="Times New Roman"/>
          <w:sz w:val="24"/>
        </w:rPr>
        <w:t>划符合性</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项目位于淄博市张店区东部化工区</w:t>
      </w:r>
      <w:r>
        <w:rPr>
          <w:rFonts w:hint="default" w:ascii="Times New Roman" w:hAnsi="Times New Roman" w:cs="Times New Roman"/>
          <w:sz w:val="24"/>
          <w:szCs w:val="24"/>
          <w:lang w:val="en-US" w:eastAsia="zh-CN"/>
        </w:rPr>
        <w:t>山东民基新材料科技有限公司</w:t>
      </w:r>
      <w:r>
        <w:rPr>
          <w:rFonts w:hint="default" w:ascii="Times New Roman" w:hAnsi="Times New Roman" w:cs="Times New Roman"/>
          <w:sz w:val="24"/>
        </w:rPr>
        <w:t>厂区内预留用地上，根据《东部化工企业搬迁新址控制性详细规划》，拟建项目位于总体规划范围内，用地为三类工业用地，符合规划的要求。淄博市规划局一处出具意见</w:t>
      </w:r>
      <w:r>
        <w:rPr>
          <w:rFonts w:hint="eastAsia" w:ascii="宋体" w:hAnsi="宋体" w:eastAsia="宋体" w:cs="宋体"/>
          <w:sz w:val="24"/>
        </w:rPr>
        <w:t>“</w:t>
      </w:r>
      <w:r>
        <w:rPr>
          <w:rFonts w:hint="default" w:ascii="Times New Roman" w:hAnsi="Times New Roman" w:cs="Times New Roman"/>
          <w:sz w:val="24"/>
        </w:rPr>
        <w:t>淄规一处证字</w:t>
      </w:r>
      <w:r>
        <w:rPr>
          <w:rFonts w:hint="eastAsia" w:ascii="宋体" w:hAnsi="宋体" w:eastAsia="宋体" w:cs="宋体"/>
          <w:sz w:val="24"/>
        </w:rPr>
        <w:t>[</w:t>
      </w:r>
      <w:r>
        <w:rPr>
          <w:rFonts w:hint="default" w:ascii="Times New Roman" w:hAnsi="Times New Roman" w:cs="Times New Roman"/>
          <w:sz w:val="24"/>
        </w:rPr>
        <w:t>2015</w:t>
      </w:r>
      <w:r>
        <w:rPr>
          <w:rFonts w:hint="eastAsia" w:ascii="宋体" w:hAnsi="宋体" w:eastAsia="宋体" w:cs="宋体"/>
          <w:sz w:val="24"/>
        </w:rPr>
        <w:t>]</w:t>
      </w:r>
      <w:r>
        <w:rPr>
          <w:rFonts w:hint="default" w:ascii="Times New Roman" w:hAnsi="Times New Roman" w:cs="Times New Roman"/>
          <w:sz w:val="24"/>
        </w:rPr>
        <w:t>29号</w:t>
      </w:r>
      <w:r>
        <w:rPr>
          <w:rFonts w:hint="eastAsia" w:ascii="宋体" w:hAnsi="宋体" w:eastAsia="宋体" w:cs="宋体"/>
          <w:sz w:val="24"/>
        </w:rPr>
        <w:t>”</w:t>
      </w:r>
      <w:r>
        <w:rPr>
          <w:rFonts w:hint="default" w:ascii="Times New Roman" w:hAnsi="Times New Roman" w:cs="Times New Roman"/>
          <w:sz w:val="24"/>
        </w:rPr>
        <w:t>，同意项目选址。</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2、园区规划和准入条件符合性</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根据《山东省环保厅关于张店东部化学工业企业搬迁新址规划环境影响报告书的审查意见》（鲁环审</w:t>
      </w:r>
      <w:r>
        <w:rPr>
          <w:rFonts w:hint="eastAsia" w:ascii="宋体" w:hAnsi="宋体" w:eastAsia="宋体" w:cs="宋体"/>
          <w:sz w:val="24"/>
        </w:rPr>
        <w:t>[</w:t>
      </w:r>
      <w:r>
        <w:rPr>
          <w:rFonts w:hint="default" w:ascii="Times New Roman" w:hAnsi="Times New Roman" w:cs="Times New Roman"/>
          <w:sz w:val="24"/>
        </w:rPr>
        <w:t>2012</w:t>
      </w:r>
      <w:r>
        <w:rPr>
          <w:rFonts w:hint="eastAsia" w:ascii="宋体" w:hAnsi="宋体" w:eastAsia="宋体" w:cs="宋体"/>
          <w:sz w:val="24"/>
        </w:rPr>
        <w:t>]</w:t>
      </w:r>
      <w:r>
        <w:rPr>
          <w:rFonts w:hint="default" w:ascii="Times New Roman" w:hAnsi="Times New Roman" w:cs="Times New Roman"/>
          <w:sz w:val="24"/>
        </w:rPr>
        <w:t>145号）：园区的规划范围为北邻胶济铁路、南至南沣路（即309国道）、西邻湖南路、东至冯北路，规划面积10.78km</w:t>
      </w:r>
      <w:r>
        <w:rPr>
          <w:rFonts w:hint="default" w:ascii="Times New Roman" w:hAnsi="Times New Roman" w:cs="Times New Roman"/>
          <w:sz w:val="24"/>
          <w:vertAlign w:val="superscript"/>
        </w:rPr>
        <w:t>2</w:t>
      </w:r>
      <w:r>
        <w:rPr>
          <w:rFonts w:hint="default" w:ascii="Times New Roman" w:hAnsi="Times New Roman" w:cs="Times New Roman"/>
          <w:sz w:val="24"/>
        </w:rPr>
        <w:t>。产业定位为</w:t>
      </w:r>
      <w:r>
        <w:rPr>
          <w:rFonts w:hint="eastAsia" w:ascii="宋体" w:hAnsi="宋体" w:eastAsia="宋体" w:cs="宋体"/>
          <w:sz w:val="24"/>
        </w:rPr>
        <w:t>“以齐鲁石化为依托，主要以生产齐鲁石化深加工产品和精细化工、医药、农药产品为主的精细化工园区。”拟</w:t>
      </w:r>
      <w:r>
        <w:rPr>
          <w:rFonts w:hint="default" w:ascii="Times New Roman" w:hAnsi="Times New Roman" w:cs="Times New Roman"/>
          <w:sz w:val="24"/>
        </w:rPr>
        <w:t>建项目属于为精细化工配套建设的化工项目，符合准入产业条件。</w:t>
      </w:r>
    </w:p>
    <w:p>
      <w:pPr>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项目位于该园区范围内，东部化工园区管理委员会出具意见“张化管字</w:t>
      </w:r>
      <w:r>
        <w:rPr>
          <w:rFonts w:hint="eastAsia" w:ascii="宋体" w:hAnsi="宋体" w:eastAsia="宋体" w:cs="宋体"/>
          <w:sz w:val="24"/>
        </w:rPr>
        <w:t>[</w:t>
      </w:r>
      <w:r>
        <w:rPr>
          <w:rFonts w:hint="default" w:ascii="Times New Roman" w:hAnsi="Times New Roman" w:cs="Times New Roman"/>
          <w:sz w:val="24"/>
        </w:rPr>
        <w:t>2015</w:t>
      </w:r>
      <w:r>
        <w:rPr>
          <w:rFonts w:hint="eastAsia" w:ascii="宋体" w:hAnsi="宋体" w:eastAsia="宋体" w:cs="宋体"/>
          <w:sz w:val="24"/>
        </w:rPr>
        <w:t>]</w:t>
      </w:r>
      <w:r>
        <w:rPr>
          <w:rFonts w:hint="default" w:ascii="Times New Roman" w:hAnsi="Times New Roman" w:cs="Times New Roman"/>
          <w:sz w:val="24"/>
        </w:rPr>
        <w:t>18号”，同意“30万t/a硫磺制酸搬迁改造项</w:t>
      </w:r>
      <w:r>
        <w:rPr>
          <w:rFonts w:hint="eastAsia" w:ascii="宋体" w:hAnsi="宋体" w:eastAsia="宋体" w:cs="宋体"/>
          <w:sz w:val="24"/>
        </w:rPr>
        <w:t>目”进入东</w:t>
      </w:r>
      <w:r>
        <w:rPr>
          <w:rFonts w:hint="default" w:ascii="Times New Roman" w:hAnsi="Times New Roman" w:cs="Times New Roman"/>
          <w:sz w:val="24"/>
        </w:rPr>
        <w:t>部化工园区。</w:t>
      </w:r>
    </w:p>
    <w:p>
      <w:pPr>
        <w:spacing w:line="360" w:lineRule="auto"/>
        <w:ind w:firstLine="480" w:firstLineChars="200"/>
        <w:rPr>
          <w:rFonts w:hint="default" w:ascii="Times New Roman" w:hAnsi="Times New Roman" w:cs="Times New Roman" w:eastAsiaTheme="minorEastAsia"/>
          <w:b w:val="0"/>
          <w:bCs w:val="0"/>
          <w:color w:val="auto"/>
          <w:kern w:val="2"/>
          <w:sz w:val="24"/>
          <w:szCs w:val="28"/>
          <w:lang w:val="en-US" w:eastAsia="zh-CN" w:bidi="ar-SA"/>
        </w:rPr>
      </w:pPr>
      <w:r>
        <w:rPr>
          <w:rFonts w:hint="default" w:ascii="Times New Roman" w:hAnsi="Times New Roman" w:cs="Times New Roman" w:eastAsiaTheme="minorEastAsia"/>
          <w:b w:val="0"/>
          <w:bCs w:val="0"/>
          <w:color w:val="auto"/>
          <w:kern w:val="2"/>
          <w:sz w:val="24"/>
          <w:szCs w:val="28"/>
          <w:lang w:val="en-US" w:eastAsia="zh-CN" w:bidi="ar-SA"/>
        </w:rPr>
        <w:t>综上</w:t>
      </w:r>
      <w:r>
        <w:rPr>
          <w:rFonts w:hint="eastAsia" w:ascii="Times New Roman" w:hAnsi="Times New Roman" w:cs="Times New Roman" w:eastAsiaTheme="minorEastAsia"/>
          <w:b w:val="0"/>
          <w:bCs w:val="0"/>
          <w:color w:val="auto"/>
          <w:kern w:val="2"/>
          <w:sz w:val="24"/>
          <w:szCs w:val="28"/>
          <w:lang w:val="en-US" w:eastAsia="zh-CN" w:bidi="ar-SA"/>
        </w:rPr>
        <w:t>，</w:t>
      </w:r>
      <w:r>
        <w:rPr>
          <w:rFonts w:hint="default" w:ascii="Times New Roman" w:hAnsi="Times New Roman" w:cs="Times New Roman" w:eastAsiaTheme="minorEastAsia"/>
          <w:b w:val="0"/>
          <w:bCs w:val="0"/>
          <w:color w:val="auto"/>
          <w:kern w:val="2"/>
          <w:sz w:val="24"/>
          <w:szCs w:val="28"/>
          <w:lang w:val="en-US" w:eastAsia="zh-CN" w:bidi="ar-SA"/>
        </w:rPr>
        <w:t>该项目选址合理可行。</w:t>
      </w:r>
    </w:p>
    <w:p>
      <w:pPr>
        <w:pStyle w:val="6"/>
        <w:pageBreakBefore w:val="0"/>
        <w:widowControl w:val="0"/>
        <w:kinsoku/>
        <w:wordWrap/>
        <w:overflowPunct/>
        <w:topLinePunct w:val="0"/>
        <w:bidi w:val="0"/>
        <w:snapToGrid/>
        <w:spacing w:before="6" w:after="6"/>
        <w:textAlignment w:val="auto"/>
        <w:rPr>
          <w:rFonts w:hint="eastAsia"/>
        </w:rPr>
      </w:pPr>
      <w:r>
        <w:rPr>
          <w:rFonts w:hint="eastAsia"/>
        </w:rPr>
        <w:t>3.2 环评批复</w:t>
      </w:r>
      <w:bookmarkEnd w:id="90"/>
    </w:p>
    <w:p>
      <w:pPr>
        <w:spacing w:line="360" w:lineRule="auto"/>
        <w:ind w:firstLine="6240" w:firstLineChars="2600"/>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淄环审[2016]52号</w:t>
      </w:r>
    </w:p>
    <w:p>
      <w:pPr>
        <w:spacing w:line="360" w:lineRule="auto"/>
        <w:rPr>
          <w:rFonts w:hint="eastAsia" w:asciiTheme="majorEastAsia" w:hAnsiTheme="majorEastAsia" w:eastAsiaTheme="majorEastAsia" w:cstheme="majorEastAsia"/>
          <w:sz w:val="24"/>
          <w:szCs w:val="24"/>
        </w:rPr>
      </w:pPr>
      <w:bookmarkStart w:id="93" w:name="_Toc6550_WPSOffice_Level1"/>
      <w:bookmarkStart w:id="94" w:name="_Toc5400"/>
      <w:r>
        <w:rPr>
          <w:rFonts w:hint="default" w:ascii="Times New Roman" w:hAnsi="Times New Roman" w:eastAsia="宋体" w:cs="Times New Roman"/>
          <w:sz w:val="24"/>
          <w:szCs w:val="24"/>
        </w:rPr>
        <w:t>淄博建龙化工有限公司</w:t>
      </w:r>
      <w:r>
        <w:rPr>
          <w:rFonts w:hint="eastAsia" w:asciiTheme="majorEastAsia" w:hAnsiTheme="majorEastAsia" w:eastAsiaTheme="majorEastAsia" w:cstheme="majorEastAsia"/>
          <w:sz w:val="24"/>
          <w:szCs w:val="24"/>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报来《30万t/a硫磺制酸搬迁改造项目环境影响报告书》</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山东海美侬项目咨询有限公司编制</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收悉。经研究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审批意见如下:</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rPr>
        <w:t>、该项目位于张店区东部化工区山东民基化工有限公司厂区内预留用地上</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为搬迁技改项目</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建设内容为将原位于桓台县老厂区25万吨/年硫磺制酸项目进行关停</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搬迁至新建厂址</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并同时进行技改</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该项目建成后硫磺制酸为30万吨/年的生产规模。建设项目总投资8249.42万元</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其中环保投资350万元。根据环评结论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该项目在落实报告书提出的各项污染防治措施后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能够达到环境保护要求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从环保角度分析</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项目建设可行。同意该项目按环评所列建设规模、生产工艺、环境保护措施等进行建设和生产</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二、项目在设计、建设和运行管理中应重点做好以下工作：</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eastAsia="zh-CN"/>
        </w:rPr>
        <w:t>一</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该项目施工期间要按照“清污分流、雨污分流、分质处理、循环利用”原则规划、建设厂区排水系统</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优化污水处理方案建立和完善污水收集设施</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项目运营期车地面冲洗水、初期雨水经厂内污水处置设施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 采用酸碱中和+絮凝沉淀工艺处理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达到《硫酸工业污染物排放标准》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表2限值要求后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与生活污水一起排入山东民基化工有限公司污水处理站处理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达到《污水排入城镇下水道水质标准》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CJ343-2010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表1中B级标准后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排入市政污水管网</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进入光大水务(淄博)有限公司进行深度处理</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二</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该项目施工期间要对各扬尘点定期洒水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粉尘性材料要集中存放并进行遮盖;运输土方过程中要采取蓬布覆盖、冲洗轮胎及挡板等措施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防止土料散落引发扬尘</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并及时对路面进行清扫、洒水严格落实无组织排放控制措施</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该项目运营期有组织废气主要为二吸塔尾气</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经除雾器+湍流脱硫塔石灰乳碱液喷淋吸收后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经60m排气筒排放</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xml:space="preserve">、硫酸雾、单位产品基准排放量达到《硫酸工业污染物排放标准》 </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表6、表7排放限值要求</w:t>
      </w:r>
      <w:r>
        <w:rPr>
          <w:rFonts w:hint="eastAsia" w:cs="Times New Roman"/>
          <w:sz w:val="24"/>
          <w:szCs w:val="24"/>
          <w:lang w:eastAsia="zh-CN"/>
        </w:rPr>
        <w:t>；</w:t>
      </w:r>
      <w:r>
        <w:rPr>
          <w:rFonts w:hint="default" w:ascii="Times New Roman" w:hAnsi="Times New Roman" w:eastAsia="宋体" w:cs="Times New Roman"/>
          <w:sz w:val="24"/>
          <w:szCs w:val="24"/>
        </w:rPr>
        <w:t>NOx达到《大气污染物综合排放标准》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GB16297-1996</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表2排放限值要求</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加强精细化管理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采用密封性好的设备、采用密闭装卸和进料系统等减少无组织废气排放</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确保厂界无异味。</w:t>
      </w:r>
      <w:r>
        <w:rPr>
          <w:rFonts w:hint="eastAsia" w:ascii="Times New Roman" w:hAnsi="Times New Roman" w:eastAsia="宋体" w:cs="Times New Roman"/>
          <w:sz w:val="24"/>
          <w:szCs w:val="24"/>
          <w:lang w:eastAsia="zh-CN"/>
        </w:rPr>
        <w:t>无组织废气排放</w:t>
      </w:r>
      <w:r>
        <w:rPr>
          <w:rFonts w:hint="eastAsia" w:ascii="Times New Roman" w:hAnsi="Times New Roman" w:eastAsia="宋体" w:cs="Times New Roman"/>
          <w:sz w:val="24"/>
          <w:szCs w:val="24"/>
          <w:lang w:val="en-US" w:eastAsia="zh-CN"/>
        </w:rPr>
        <w:t>SO</w:t>
      </w:r>
      <w:r>
        <w:rPr>
          <w:rFonts w:hint="eastAsia"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、硫酸雾确保达到《硫酸工业污染排放标准》（</w:t>
      </w:r>
      <w:r>
        <w:rPr>
          <w:rFonts w:hint="eastAsia" w:ascii="Times New Roman" w:hAnsi="Times New Roman" w:eastAsia="宋体" w:cs="Times New Roman"/>
          <w:sz w:val="24"/>
          <w:szCs w:val="24"/>
          <w:lang w:val="en-US" w:eastAsia="zh-CN"/>
        </w:rPr>
        <w:t>GB26132-2010</w:t>
      </w:r>
      <w:r>
        <w:rPr>
          <w:rFonts w:hint="eastAsia" w:ascii="Times New Roman" w:hAnsi="Times New Roman" w:eastAsia="宋体" w:cs="Times New Roman"/>
          <w:sz w:val="24"/>
          <w:szCs w:val="24"/>
          <w:lang w:eastAsia="zh-CN"/>
        </w:rPr>
        <w:t>）表</w:t>
      </w:r>
      <w:r>
        <w:rPr>
          <w:rFonts w:hint="eastAsia" w:ascii="Times New Roman" w:hAnsi="Times New Roman" w:eastAsia="宋体" w:cs="Times New Roman"/>
          <w:sz w:val="24"/>
          <w:szCs w:val="24"/>
          <w:lang w:val="en-US" w:eastAsia="zh-CN"/>
        </w:rPr>
        <w:t>8排放限值要求；颗粒物确保达到《山东省固定源大气污染源综合排放标准》（DB37/1996-2011）标准要求。</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三</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严格控制施工时间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合理布局</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优先选用低噪音先进设备</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对主要噪声源采取有效减震、隔音、消声等措施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确保施工期和运营期噪声排放分别符合《建筑施工场界环境噪声排放标准》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GB12523-2011</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标准要求和《工业企业厂界环境噪声排放标准》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GB12348-2008</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2类功能区标准要求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严防噪声扰民</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四</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固体废物按“资源化、减量化、无害化”原则及相关法规规定</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建设配套完善的固体废物收集装置</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分类收集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综合利用。焚硫炉炉渣、脱硫石膏外售建材公司综合利用;生活垃圾定期由环卫部门统一处理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执行《一般工业固体废物储存、处置场污染控制标准》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GB18599-2001</w:t>
      </w:r>
      <w:r>
        <w:rPr>
          <w:rFonts w:hint="eastAsia" w:asciiTheme="minorEastAsia" w:hAnsiTheme="minorEastAsia" w:eastAsiaTheme="minorEastAsia" w:cstheme="minorEastAsia"/>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废催化剂、污水处理设施污泥、 废离子树脂和反渗透膜处理执行《危险废物贮存污染控制标准》 </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GB18597-2001</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、《危险废物转移联单管理办法》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妥善处置</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(五)根据环境风险评价、环境应急预案和厂区实际现状</w:t>
      </w:r>
      <w:r>
        <w:rPr>
          <w:rFonts w:hint="eastAsia" w:ascii="Times New Roman" w:hAnsi="Times New Roman" w:eastAsia="宋体" w:cs="Times New Roman"/>
          <w:sz w:val="24"/>
          <w:szCs w:val="24"/>
          <w:lang w:eastAsia="zh-CN"/>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要熟练掌握厂区的所有风险源及相应的应急措施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在主要风险源安装预警和检测装置</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建设相配套的事故应急设施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配备足够应急物资、设备</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在非事故状态下不得占用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并定期进行维修保养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在厂区总排口安装电磁切断阀</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每年定期举行应急演练;加强环境风险管理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对风险评价实行动态管理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保证事故发生时立即进入应急状态</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确保环境安全。</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六</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加强环保宣传教育</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制定环保管理制度</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严格落实《关于进一步规范和加强企业环境管理的意见》</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淄环发[2010]60号</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 xml:space="preserve"> 并作为环保验收必要条件</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七</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项目建成后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确保二氧化硫、氮氧化物排放总量控制在82吨/年、53.6吨/年以内</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确保化学需氧量、氨氮排放总量</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内控指标</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在0.58吨/年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0.075吨/年以内</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三、若该项目的性质、规模、地点、采用的生产工艺或者防治污染、防止生态破坏的措施发生重大变化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须重新向我局报批环境影响评价文件。若项目在运行过程中产生不符合我局批准的环境影响评价文件情形的</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应当进行后评价</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采取改进措施并报我局备案</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四、项目建设必须严格执行</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制度。项目建成后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要及时向我局申请竣工环境保护验收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验收合格后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方可正式投入生产</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五、张店环保分局负责该项目建设期和运行期间的环境监察工作</w:t>
      </w:r>
      <w:r>
        <w:rPr>
          <w:rFonts w:hint="eastAsia" w:ascii="Times New Roman" w:hAnsi="Times New Roman" w:eastAsia="宋体" w:cs="Times New Roman"/>
          <w:sz w:val="24"/>
          <w:szCs w:val="24"/>
          <w:lang w:eastAsia="zh-CN"/>
        </w:rPr>
        <w:t>。</w:t>
      </w:r>
    </w:p>
    <w:p>
      <w:pPr>
        <w:spacing w:line="360" w:lineRule="auto"/>
        <w:rPr>
          <w:rFonts w:hint="default" w:ascii="Times New Roman" w:hAnsi="Times New Roman" w:eastAsia="宋体" w:cs="Times New Roman"/>
          <w:sz w:val="24"/>
          <w:szCs w:val="24"/>
        </w:rPr>
      </w:pPr>
    </w:p>
    <w:p>
      <w:pPr>
        <w:spacing w:line="360" w:lineRule="auto"/>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淄博市环境保护局</w:t>
      </w:r>
    </w:p>
    <w:p>
      <w:pPr>
        <w:spacing w:line="360" w:lineRule="auto"/>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2016年6月6日</w:t>
      </w:r>
    </w:p>
    <w:p>
      <w:pPr>
        <w:pStyle w:val="2"/>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5"/>
        <w:keepNext/>
        <w:keepLines/>
        <w:pageBreakBefore w:val="0"/>
        <w:widowControl w:val="0"/>
        <w:kinsoku/>
        <w:wordWrap/>
        <w:overflowPunct/>
        <w:topLinePunct w:val="0"/>
        <w:autoSpaceDE/>
        <w:autoSpaceDN/>
        <w:bidi w:val="0"/>
        <w:adjustRightInd/>
        <w:snapToGrid/>
        <w:spacing w:before="95" w:beforeLines="30" w:after="95" w:afterLines="30"/>
        <w:jc w:val="center"/>
        <w:textAlignment w:val="auto"/>
      </w:pPr>
      <w:bookmarkStart w:id="95" w:name="_Toc26576"/>
      <w:r>
        <w:t>第</w:t>
      </w:r>
      <w:r>
        <w:rPr>
          <w:rFonts w:hint="eastAsia"/>
          <w:lang w:val="en-US" w:eastAsia="zh-CN"/>
        </w:rPr>
        <w:t>四</w:t>
      </w:r>
      <w:r>
        <w:t>章</w:t>
      </w:r>
      <w:r>
        <w:rPr>
          <w:rFonts w:hint="eastAsia"/>
        </w:rPr>
        <w:t xml:space="preserve">  验收监测调查</w:t>
      </w:r>
      <w:bookmarkEnd w:id="93"/>
      <w:bookmarkEnd w:id="94"/>
      <w:bookmarkEnd w:id="95"/>
    </w:p>
    <w:p>
      <w:pPr>
        <w:pStyle w:val="6"/>
        <w:keepNext/>
        <w:keepLines/>
        <w:pageBreakBefore w:val="0"/>
        <w:widowControl w:val="0"/>
        <w:kinsoku/>
        <w:wordWrap/>
        <w:overflowPunct/>
        <w:topLinePunct w:val="0"/>
        <w:autoSpaceDE/>
        <w:autoSpaceDN/>
        <w:bidi w:val="0"/>
        <w:adjustRightInd/>
        <w:snapToGrid/>
        <w:spacing w:before="95" w:beforeLines="30" w:after="95" w:afterLines="30"/>
        <w:textAlignment w:val="auto"/>
        <w:rPr>
          <w:rFonts w:hint="eastAsia"/>
        </w:rPr>
      </w:pPr>
      <w:bookmarkStart w:id="96" w:name="_Toc7777"/>
      <w:bookmarkStart w:id="97" w:name="_Toc7587_WPSOffice_Level2"/>
      <w:r>
        <w:rPr>
          <w:rFonts w:hint="eastAsia"/>
        </w:rPr>
        <w:t>4.1 监测内容</w:t>
      </w:r>
      <w:bookmarkEnd w:id="96"/>
      <w:bookmarkEnd w:id="97"/>
    </w:p>
    <w:p>
      <w:pPr>
        <w:autoSpaceDE w:val="0"/>
        <w:autoSpaceDN w:val="0"/>
        <w:adjustRightInd w:val="0"/>
        <w:spacing w:line="46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依据对项目的主要污染源、污染物及环保设施运转情况的分析，确定本次验收主要监测内容为</w:t>
      </w:r>
      <w:r>
        <w:rPr>
          <w:rFonts w:hint="default" w:ascii="Times New Roman" w:hAnsi="Times New Roman" w:cs="Times New Roman"/>
          <w:b w:val="0"/>
          <w:bCs w:val="0"/>
          <w:color w:val="auto"/>
          <w:sz w:val="24"/>
        </w:rPr>
        <w:t>废气</w:t>
      </w:r>
      <w:r>
        <w:rPr>
          <w:rFonts w:hint="eastAsia" w:cs="Times New Roman"/>
          <w:b w:val="0"/>
          <w:bCs w:val="0"/>
          <w:color w:val="auto"/>
          <w:sz w:val="24"/>
          <w:lang w:eastAsia="zh-CN"/>
        </w:rPr>
        <w:t>、废水</w:t>
      </w:r>
      <w:r>
        <w:rPr>
          <w:rFonts w:hint="default" w:ascii="Times New Roman" w:hAnsi="Times New Roman" w:cs="Times New Roman"/>
          <w:b w:val="0"/>
          <w:bCs w:val="0"/>
          <w:color w:val="auto"/>
          <w:sz w:val="24"/>
        </w:rPr>
        <w:t>和噪声</w:t>
      </w:r>
      <w:r>
        <w:rPr>
          <w:rFonts w:hint="default" w:ascii="Times New Roman" w:hAnsi="Times New Roman" w:cs="Times New Roman"/>
          <w:sz w:val="24"/>
        </w:rPr>
        <w:t>。</w:t>
      </w:r>
    </w:p>
    <w:p>
      <w:pPr>
        <w:pStyle w:val="6"/>
        <w:keepNext/>
        <w:keepLines/>
        <w:pageBreakBefore w:val="0"/>
        <w:widowControl w:val="0"/>
        <w:kinsoku/>
        <w:wordWrap/>
        <w:overflowPunct/>
        <w:topLinePunct w:val="0"/>
        <w:autoSpaceDE/>
        <w:autoSpaceDN/>
        <w:bidi w:val="0"/>
        <w:adjustRightInd/>
        <w:snapToGrid/>
        <w:spacing w:before="6" w:after="6" w:line="416" w:lineRule="auto"/>
        <w:textAlignment w:val="auto"/>
        <w:rPr>
          <w:rFonts w:hint="eastAsia"/>
        </w:rPr>
      </w:pPr>
      <w:bookmarkStart w:id="98" w:name="_Toc12176_WPSOffice_Level2"/>
      <w:bookmarkStart w:id="99" w:name="_Toc24471"/>
      <w:r>
        <w:rPr>
          <w:rFonts w:hint="eastAsia"/>
        </w:rPr>
        <w:t>4.2 验收期间工况调查</w:t>
      </w:r>
      <w:bookmarkEnd w:id="98"/>
      <w:bookmarkEnd w:id="99"/>
    </w:p>
    <w:p>
      <w:pPr>
        <w:autoSpaceDE w:val="0"/>
        <w:autoSpaceDN w:val="0"/>
        <w:adjustRightInd w:val="0"/>
        <w:spacing w:line="460" w:lineRule="exact"/>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sz w:val="24"/>
        </w:rPr>
        <w:t>本</w:t>
      </w:r>
      <w:r>
        <w:rPr>
          <w:rFonts w:hint="default" w:ascii="Times New Roman" w:hAnsi="Times New Roman" w:cs="Times New Roman"/>
          <w:sz w:val="24"/>
          <w:highlight w:val="none"/>
        </w:rPr>
        <w:t>次验收监测</w:t>
      </w:r>
      <w:r>
        <w:rPr>
          <w:rFonts w:hint="default" w:ascii="Times New Roman" w:hAnsi="Times New Roman" w:cs="Times New Roman"/>
          <w:color w:val="auto"/>
          <w:sz w:val="24"/>
          <w:highlight w:val="none"/>
        </w:rPr>
        <w:t>于</w:t>
      </w:r>
      <w:r>
        <w:rPr>
          <w:rFonts w:hint="eastAsia" w:cs="Times New Roman"/>
          <w:color w:val="auto"/>
          <w:spacing w:val="-4"/>
          <w:sz w:val="24"/>
          <w:szCs w:val="24"/>
          <w:highlight w:val="none"/>
          <w:lang w:val="en-US" w:eastAsia="zh-CN"/>
        </w:rPr>
        <w:t>2020年09月25日、2020年09月26日</w:t>
      </w:r>
      <w:r>
        <w:rPr>
          <w:rFonts w:hint="default" w:ascii="Times New Roman" w:hAnsi="Times New Roman" w:cs="Times New Roman"/>
          <w:color w:val="auto"/>
          <w:sz w:val="24"/>
          <w:highlight w:val="none"/>
        </w:rPr>
        <w:t>进行，监测期间对生产装置生产负荷记录进行查验，汇总情况见表4-1。</w:t>
      </w:r>
    </w:p>
    <w:p>
      <w:pPr>
        <w:spacing w:line="360" w:lineRule="auto"/>
        <w:jc w:val="center"/>
        <w:rPr>
          <w:rFonts w:hint="default" w:ascii="Times New Roman" w:hAnsi="Times New Roman" w:eastAsia="宋体" w:cs="Times New Roman"/>
          <w:color w:val="auto"/>
          <w:sz w:val="24"/>
          <w:highlight w:val="none"/>
        </w:rPr>
      </w:pPr>
      <w:bookmarkStart w:id="100" w:name="_Toc14171_WPSOffice_Level2"/>
      <w:r>
        <w:rPr>
          <w:rFonts w:hint="default" w:ascii="Times New Roman" w:hAnsi="Times New Roman" w:eastAsia="宋体" w:cs="Times New Roman"/>
          <w:color w:val="auto"/>
          <w:sz w:val="24"/>
          <w:highlight w:val="none"/>
        </w:rPr>
        <w:t>表4-1  监测期间生产负荷核查情况</w:t>
      </w:r>
      <w:bookmarkEnd w:id="100"/>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3023"/>
        <w:gridCol w:w="2423"/>
        <w:gridCol w:w="2063"/>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37" w:type="dxa"/>
            <w:tcBorders>
              <w:tl2br w:val="nil"/>
              <w:tr2bl w:val="nil"/>
            </w:tcBorders>
            <w:vAlign w:val="center"/>
          </w:tcPr>
          <w:p>
            <w:pPr>
              <w:spacing w:line="3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监测日期</w:t>
            </w:r>
          </w:p>
        </w:tc>
        <w:tc>
          <w:tcPr>
            <w:tcW w:w="3023" w:type="dxa"/>
            <w:tcBorders>
              <w:tl2br w:val="nil"/>
              <w:tr2bl w:val="nil"/>
            </w:tcBorders>
            <w:vAlign w:val="center"/>
          </w:tcPr>
          <w:p>
            <w:pPr>
              <w:spacing w:line="3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产品名称</w:t>
            </w:r>
          </w:p>
        </w:tc>
        <w:tc>
          <w:tcPr>
            <w:tcW w:w="2423" w:type="dxa"/>
            <w:tcBorders>
              <w:tl2br w:val="nil"/>
              <w:tr2bl w:val="nil"/>
            </w:tcBorders>
            <w:vAlign w:val="center"/>
          </w:tcPr>
          <w:p>
            <w:pPr>
              <w:spacing w:line="28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设计负荷</w:t>
            </w:r>
          </w:p>
          <w:p>
            <w:pPr>
              <w:spacing w:line="280" w:lineRule="exact"/>
              <w:jc w:val="center"/>
              <w:rPr>
                <w:rFonts w:hint="eastAsia"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t</w:t>
            </w:r>
            <w:r>
              <w:rPr>
                <w:rFonts w:hint="eastAsia" w:ascii="Times New Roman" w:hAnsi="Times New Roman" w:cs="Times New Roman" w:eastAsiaTheme="minorEastAsia"/>
                <w:b/>
                <w:bCs/>
                <w:color w:val="auto"/>
                <w:sz w:val="21"/>
                <w:szCs w:val="21"/>
                <w:highlight w:val="none"/>
                <w:lang w:val="en-US" w:eastAsia="zh-CN"/>
              </w:rPr>
              <w:t>/</w:t>
            </w:r>
            <w:r>
              <w:rPr>
                <w:rFonts w:hint="eastAsia" w:cs="Times New Roman" w:eastAsiaTheme="minorEastAsia"/>
                <w:b/>
                <w:bCs/>
                <w:color w:val="auto"/>
                <w:sz w:val="21"/>
                <w:szCs w:val="21"/>
                <w:highlight w:val="none"/>
                <w:lang w:val="en-US" w:eastAsia="zh-CN"/>
              </w:rPr>
              <w:t>d</w:t>
            </w:r>
          </w:p>
        </w:tc>
        <w:tc>
          <w:tcPr>
            <w:tcW w:w="2063" w:type="dxa"/>
            <w:tcBorders>
              <w:tl2br w:val="nil"/>
              <w:tr2bl w:val="nil"/>
            </w:tcBorders>
            <w:vAlign w:val="center"/>
          </w:tcPr>
          <w:p>
            <w:pPr>
              <w:spacing w:line="28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监测期间负荷</w:t>
            </w:r>
          </w:p>
          <w:p>
            <w:pPr>
              <w:spacing w:line="280" w:lineRule="exact"/>
              <w:jc w:val="center"/>
              <w:rPr>
                <w:rFonts w:hint="eastAsia"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t</w:t>
            </w:r>
            <w:r>
              <w:rPr>
                <w:rFonts w:hint="eastAsia" w:ascii="Times New Roman" w:hAnsi="Times New Roman" w:cs="Times New Roman" w:eastAsiaTheme="minorEastAsia"/>
                <w:b/>
                <w:bCs/>
                <w:color w:val="auto"/>
                <w:sz w:val="21"/>
                <w:szCs w:val="21"/>
                <w:highlight w:val="none"/>
                <w:lang w:val="en-US" w:eastAsia="zh-CN"/>
              </w:rPr>
              <w:t>/</w:t>
            </w:r>
            <w:r>
              <w:rPr>
                <w:rFonts w:hint="eastAsia" w:cs="Times New Roman" w:eastAsiaTheme="minorEastAsia"/>
                <w:b/>
                <w:bCs/>
                <w:color w:val="auto"/>
                <w:sz w:val="21"/>
                <w:szCs w:val="21"/>
                <w:highlight w:val="none"/>
                <w:lang w:val="en-US" w:eastAsia="zh-CN"/>
              </w:rPr>
              <w:t>d</w:t>
            </w:r>
          </w:p>
        </w:tc>
        <w:tc>
          <w:tcPr>
            <w:tcW w:w="1008" w:type="dxa"/>
            <w:tcBorders>
              <w:tl2br w:val="nil"/>
              <w:tr2bl w:val="nil"/>
            </w:tcBorders>
            <w:vAlign w:val="center"/>
          </w:tcPr>
          <w:p>
            <w:pPr>
              <w:spacing w:line="28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负荷比</w:t>
            </w:r>
          </w:p>
          <w:p>
            <w:pPr>
              <w:spacing w:line="28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37" w:type="dxa"/>
            <w:tcBorders>
              <w:tl2br w:val="nil"/>
              <w:tr2bl w:val="nil"/>
            </w:tcBorders>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bookmarkStart w:id="101" w:name="_Hlk418599482"/>
            <w:bookmarkStart w:id="102" w:name="OLE_LINK11" w:colFirst="2" w:colLast="2"/>
            <w:bookmarkStart w:id="103" w:name="OLE_LINK19" w:colFirst="2" w:colLast="2"/>
            <w:r>
              <w:rPr>
                <w:rFonts w:hint="eastAsia" w:cs="Times New Roman" w:eastAsiaTheme="minorEastAsia"/>
                <w:color w:val="auto"/>
                <w:sz w:val="21"/>
                <w:szCs w:val="21"/>
                <w:highlight w:val="none"/>
                <w:lang w:val="en-US" w:eastAsia="zh-CN"/>
              </w:rPr>
              <w:t>2020.09.25</w:t>
            </w:r>
          </w:p>
        </w:tc>
        <w:tc>
          <w:tcPr>
            <w:tcW w:w="3023" w:type="dxa"/>
            <w:vMerge w:val="restart"/>
            <w:tcBorders>
              <w:tl2br w:val="nil"/>
              <w:tr2bl w:val="nil"/>
            </w:tcBorders>
            <w:vAlign w:val="center"/>
          </w:tcPr>
          <w:p>
            <w:pPr>
              <w:spacing w:line="4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bCs/>
                <w:szCs w:val="21"/>
              </w:rPr>
              <w:t>硫酸</w:t>
            </w:r>
          </w:p>
        </w:tc>
        <w:tc>
          <w:tcPr>
            <w:tcW w:w="2423" w:type="dxa"/>
            <w:vMerge w:val="restart"/>
            <w:tcBorders>
              <w:tl2br w:val="nil"/>
              <w:tr2bl w:val="nil"/>
            </w:tcBorders>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900</w:t>
            </w:r>
          </w:p>
        </w:tc>
        <w:tc>
          <w:tcPr>
            <w:tcW w:w="2063" w:type="dxa"/>
            <w:tcBorders>
              <w:tl2br w:val="nil"/>
              <w:tr2bl w:val="nil"/>
            </w:tcBorders>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738</w:t>
            </w:r>
          </w:p>
        </w:tc>
        <w:tc>
          <w:tcPr>
            <w:tcW w:w="1008" w:type="dxa"/>
            <w:tcBorders>
              <w:tl2br w:val="nil"/>
              <w:tr2bl w:val="nil"/>
            </w:tcBorders>
            <w:vAlign w:val="center"/>
          </w:tcPr>
          <w:p>
            <w:pPr>
              <w:adjustRightInd w:val="0"/>
              <w:snapToGrid w:val="0"/>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37" w:type="dxa"/>
            <w:tcBorders>
              <w:tl2br w:val="nil"/>
              <w:tr2bl w:val="nil"/>
            </w:tcBorders>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2020.09.26</w:t>
            </w:r>
          </w:p>
        </w:tc>
        <w:tc>
          <w:tcPr>
            <w:tcW w:w="3023" w:type="dxa"/>
            <w:vMerge w:val="continue"/>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p>
        </w:tc>
        <w:tc>
          <w:tcPr>
            <w:tcW w:w="2423" w:type="dxa"/>
            <w:vMerge w:val="continue"/>
            <w:tcBorders>
              <w:tl2br w:val="nil"/>
              <w:tr2bl w:val="nil"/>
            </w:tcBorders>
            <w:vAlign w:val="center"/>
          </w:tcPr>
          <w:p>
            <w:pPr>
              <w:spacing w:line="300" w:lineRule="exact"/>
              <w:jc w:val="center"/>
              <w:rPr>
                <w:rFonts w:hint="eastAsia" w:ascii="Times New Roman" w:hAnsi="Times New Roman" w:cs="Times New Roman" w:eastAsiaTheme="minorEastAsia"/>
                <w:color w:val="auto"/>
                <w:sz w:val="21"/>
                <w:szCs w:val="21"/>
                <w:highlight w:val="none"/>
                <w:lang w:val="en-US" w:eastAsia="zh-CN"/>
              </w:rPr>
            </w:pPr>
          </w:p>
        </w:tc>
        <w:tc>
          <w:tcPr>
            <w:tcW w:w="2063" w:type="dxa"/>
            <w:tcBorders>
              <w:tl2br w:val="nil"/>
              <w:tr2bl w:val="nil"/>
            </w:tcBorders>
            <w:vAlign w:val="center"/>
          </w:tcPr>
          <w:p>
            <w:pPr>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765</w:t>
            </w:r>
          </w:p>
        </w:tc>
        <w:tc>
          <w:tcPr>
            <w:tcW w:w="1008" w:type="dxa"/>
            <w:tcBorders>
              <w:tl2br w:val="nil"/>
              <w:tr2bl w:val="nil"/>
            </w:tcBorders>
            <w:vAlign w:val="center"/>
          </w:tcPr>
          <w:p>
            <w:pPr>
              <w:adjustRightInd w:val="0"/>
              <w:snapToGrid w:val="0"/>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85</w:t>
            </w:r>
          </w:p>
        </w:tc>
      </w:tr>
      <w:bookmarkEnd w:id="101"/>
      <w:bookmarkEnd w:id="102"/>
      <w:bookmarkEnd w:id="103"/>
    </w:tbl>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rPr>
        <w:t>由上表可知，监测期间各产品生产负荷大于</w:t>
      </w:r>
      <w:r>
        <w:rPr>
          <w:rFonts w:hint="default" w:ascii="Times New Roman" w:hAnsi="Times New Roman" w:cs="Times New Roman"/>
          <w:color w:val="auto"/>
          <w:sz w:val="24"/>
        </w:rPr>
        <w:t>75%，能满足竣工环保验收监测工况的要求。</w:t>
      </w:r>
    </w:p>
    <w:p>
      <w:pPr>
        <w:spacing w:line="480" w:lineRule="exact"/>
        <w:ind w:firstLine="480" w:firstLineChars="200"/>
        <w:rPr>
          <w:rFonts w:hint="default" w:ascii="Times New Roman" w:hAnsi="Times New Roman" w:cs="Times New Roman"/>
          <w:sz w:val="24"/>
        </w:rPr>
      </w:pPr>
    </w:p>
    <w:p>
      <w:pPr>
        <w:spacing w:line="480" w:lineRule="exact"/>
        <w:ind w:firstLine="480" w:firstLineChars="200"/>
        <w:rPr>
          <w:rFonts w:hint="default" w:ascii="Times New Roman" w:hAnsi="Times New Roman" w:cs="Times New Roman"/>
          <w:sz w:val="24"/>
        </w:rPr>
      </w:pPr>
    </w:p>
    <w:p>
      <w:pPr>
        <w:spacing w:line="480" w:lineRule="exact"/>
        <w:ind w:firstLine="480" w:firstLineChars="200"/>
        <w:rPr>
          <w:rFonts w:hint="default" w:ascii="Times New Roman" w:hAnsi="Times New Roman" w:cs="Times New Roman"/>
          <w:sz w:val="24"/>
        </w:rPr>
      </w:pPr>
    </w:p>
    <w:p>
      <w:pPr>
        <w:spacing w:line="480" w:lineRule="exact"/>
        <w:ind w:firstLine="480" w:firstLineChars="200"/>
        <w:rPr>
          <w:rFonts w:hint="default" w:ascii="Times New Roman" w:hAnsi="Times New Roman" w:cs="Times New Roman"/>
          <w:sz w:val="24"/>
        </w:rPr>
      </w:pPr>
    </w:p>
    <w:p>
      <w:pPr>
        <w:spacing w:line="480" w:lineRule="exact"/>
        <w:ind w:firstLine="480" w:firstLineChars="200"/>
        <w:rPr>
          <w:rFonts w:hint="default" w:ascii="Times New Roman" w:hAnsi="Times New Roman" w:cs="Times New Roman"/>
          <w:sz w:val="24"/>
        </w:rPr>
      </w:pPr>
    </w:p>
    <w:p>
      <w:pPr>
        <w:pStyle w:val="2"/>
        <w:rPr>
          <w:rFonts w:hint="default" w:ascii="Times New Roman" w:hAnsi="Times New Roman" w:cs="Times New Roman"/>
          <w:sz w:val="24"/>
        </w:rPr>
      </w:pPr>
    </w:p>
    <w:p>
      <w:pPr>
        <w:rPr>
          <w:rFonts w:hint="default"/>
        </w:rPr>
      </w:pPr>
    </w:p>
    <w:p>
      <w:pPr>
        <w:spacing w:line="480" w:lineRule="exact"/>
        <w:ind w:firstLine="480" w:firstLineChars="200"/>
        <w:rPr>
          <w:rFonts w:hint="default" w:ascii="Times New Roman" w:hAnsi="Times New Roman" w:cs="Times New Roman"/>
          <w:sz w:val="24"/>
        </w:rPr>
      </w:pPr>
    </w:p>
    <w:p>
      <w:pPr>
        <w:pStyle w:val="2"/>
        <w:rPr>
          <w:rFonts w:hint="eastAsia" w:eastAsia="宋体"/>
          <w:lang w:val="en-US" w:eastAsia="zh-CN"/>
        </w:rPr>
      </w:pPr>
      <w:r>
        <w:rPr>
          <w:rFonts w:hint="eastAsia"/>
          <w:lang w:val="en-US" w:eastAsia="zh-CN"/>
        </w:rPr>
        <w:t xml:space="preserve"> </w:t>
      </w:r>
    </w:p>
    <w:p>
      <w:pPr>
        <w:rPr>
          <w:rFonts w:hint="default"/>
        </w:rPr>
      </w:pPr>
    </w:p>
    <w:p>
      <w:pPr>
        <w:pStyle w:val="2"/>
        <w:rPr>
          <w:rFonts w:hint="default"/>
        </w:rPr>
      </w:pPr>
    </w:p>
    <w:p>
      <w:pPr>
        <w:rPr>
          <w:rFonts w:hint="default"/>
        </w:rPr>
      </w:pPr>
    </w:p>
    <w:p>
      <w:pPr>
        <w:spacing w:line="480" w:lineRule="exact"/>
        <w:ind w:firstLine="480" w:firstLineChars="200"/>
        <w:rPr>
          <w:rFonts w:hint="default" w:ascii="Times New Roman" w:hAnsi="Times New Roman" w:cs="Times New Roman"/>
          <w:sz w:val="24"/>
        </w:rPr>
      </w:pPr>
    </w:p>
    <w:p>
      <w:pPr>
        <w:pStyle w:val="5"/>
        <w:pageBreakBefore w:val="0"/>
        <w:widowControl w:val="0"/>
        <w:kinsoku/>
        <w:wordWrap/>
        <w:overflowPunct/>
        <w:topLinePunct w:val="0"/>
        <w:autoSpaceDE/>
        <w:autoSpaceDN/>
        <w:bidi w:val="0"/>
        <w:adjustRightInd/>
        <w:snapToGrid/>
        <w:spacing w:before="95" w:beforeLines="30" w:after="95" w:afterLines="30"/>
        <w:jc w:val="center"/>
        <w:textAlignment w:val="auto"/>
        <w:rPr>
          <w:rFonts w:hint="default"/>
        </w:rPr>
      </w:pPr>
      <w:bookmarkStart w:id="104" w:name="_Toc17675_WPSOffice_Level1"/>
      <w:bookmarkStart w:id="105" w:name="_Toc23024"/>
      <w:bookmarkStart w:id="106" w:name="_Toc23608"/>
      <w:r>
        <w:rPr>
          <w:rFonts w:hint="default"/>
        </w:rPr>
        <w:t>第</w:t>
      </w:r>
      <w:r>
        <w:rPr>
          <w:rFonts w:hint="eastAsia"/>
          <w:lang w:val="en-US" w:eastAsia="zh-CN"/>
        </w:rPr>
        <w:t>五</w:t>
      </w:r>
      <w:r>
        <w:rPr>
          <w:rFonts w:hint="default"/>
        </w:rPr>
        <w:t>章  验收监测内容</w:t>
      </w:r>
      <w:bookmarkEnd w:id="104"/>
      <w:bookmarkEnd w:id="105"/>
      <w:bookmarkEnd w:id="106"/>
    </w:p>
    <w:p>
      <w:pPr>
        <w:pStyle w:val="6"/>
        <w:pageBreakBefore w:val="0"/>
        <w:widowControl w:val="0"/>
        <w:kinsoku/>
        <w:wordWrap/>
        <w:overflowPunct/>
        <w:topLinePunct w:val="0"/>
        <w:autoSpaceDE/>
        <w:autoSpaceDN/>
        <w:bidi w:val="0"/>
        <w:adjustRightInd/>
        <w:snapToGrid/>
        <w:spacing w:before="95" w:beforeLines="30" w:after="95" w:afterLines="30"/>
        <w:textAlignment w:val="auto"/>
        <w:rPr>
          <w:rFonts w:hint="eastAsia"/>
        </w:rPr>
      </w:pPr>
      <w:bookmarkStart w:id="107" w:name="_Toc4027_WPSOffice_Level2"/>
      <w:bookmarkStart w:id="108" w:name="_Toc24381"/>
      <w:r>
        <w:rPr>
          <w:rFonts w:hint="eastAsia"/>
        </w:rPr>
        <w:t>5.1 废气监测因子及监测结果评价</w:t>
      </w:r>
      <w:bookmarkEnd w:id="107"/>
      <w:bookmarkEnd w:id="108"/>
    </w:p>
    <w:p>
      <w:pPr>
        <w:pStyle w:val="7"/>
        <w:pageBreakBefore w:val="0"/>
        <w:widowControl w:val="0"/>
        <w:kinsoku/>
        <w:wordWrap/>
        <w:overflowPunct/>
        <w:topLinePunct w:val="0"/>
        <w:autoSpaceDE/>
        <w:autoSpaceDN/>
        <w:bidi w:val="0"/>
        <w:adjustRightInd/>
        <w:snapToGrid/>
        <w:spacing w:before="95" w:beforeLines="30" w:after="95" w:afterLines="30"/>
        <w:textAlignment w:val="auto"/>
        <w:rPr>
          <w:rFonts w:hint="default"/>
        </w:rPr>
      </w:pPr>
      <w:bookmarkStart w:id="109" w:name="_Toc18709"/>
      <w:bookmarkStart w:id="110" w:name="_Toc19993_WPSOffice_Level3"/>
      <w:bookmarkStart w:id="111" w:name="_Toc6934"/>
      <w:r>
        <w:rPr>
          <w:rFonts w:hint="default"/>
        </w:rPr>
        <w:t>5.1.1 监测点位、监测因子</w:t>
      </w:r>
      <w:bookmarkEnd w:id="109"/>
      <w:bookmarkEnd w:id="110"/>
    </w:p>
    <w:p>
      <w:pPr>
        <w:keepNext w:val="0"/>
        <w:keepLines w:val="0"/>
        <w:pageBreakBefore w:val="0"/>
        <w:widowControl w:val="0"/>
        <w:tabs>
          <w:tab w:val="left" w:pos="0"/>
        </w:tabs>
        <w:kinsoku/>
        <w:wordWrap/>
        <w:overflowPunct/>
        <w:topLinePunct w:val="0"/>
        <w:autoSpaceDE/>
        <w:autoSpaceDN/>
        <w:bidi w:val="0"/>
        <w:adjustRightInd/>
        <w:snapToGrid/>
        <w:spacing w:before="95" w:beforeLines="30" w:after="95" w:afterLines="30" w:line="500" w:lineRule="exact"/>
        <w:ind w:firstLine="480" w:firstLineChars="200"/>
        <w:textAlignment w:val="auto"/>
        <w:rPr>
          <w:rFonts w:hint="eastAsia"/>
          <w:sz w:val="24"/>
        </w:rPr>
      </w:pPr>
      <w:r>
        <w:rPr>
          <w:rFonts w:hint="eastAsia"/>
          <w:sz w:val="24"/>
          <w:lang w:val="en-US" w:eastAsia="zh-CN"/>
        </w:rPr>
        <w:t>有组织、</w:t>
      </w:r>
      <w:r>
        <w:rPr>
          <w:rFonts w:hint="eastAsia"/>
          <w:sz w:val="24"/>
        </w:rPr>
        <w:t>无组织废气监测点位及监测因子见表5-</w:t>
      </w:r>
      <w:r>
        <w:rPr>
          <w:rFonts w:hint="eastAsia"/>
          <w:sz w:val="24"/>
          <w:lang w:val="en-US" w:eastAsia="zh-CN"/>
        </w:rPr>
        <w:t>1</w:t>
      </w:r>
      <w:r>
        <w:rPr>
          <w:rFonts w:hint="eastAsia"/>
          <w:sz w:val="24"/>
        </w:rPr>
        <w:t>。</w:t>
      </w:r>
    </w:p>
    <w:p>
      <w:pPr>
        <w:keepNext w:val="0"/>
        <w:keepLines w:val="0"/>
        <w:pageBreakBefore w:val="0"/>
        <w:widowControl w:val="0"/>
        <w:tabs>
          <w:tab w:val="left" w:pos="0"/>
        </w:tabs>
        <w:kinsoku/>
        <w:wordWrap/>
        <w:overflowPunct/>
        <w:topLinePunct w:val="0"/>
        <w:autoSpaceDE/>
        <w:autoSpaceDN/>
        <w:bidi w:val="0"/>
        <w:adjustRightInd/>
        <w:snapToGrid/>
        <w:spacing w:after="6" w:line="470" w:lineRule="exact"/>
        <w:ind w:left="239" w:leftChars="114" w:firstLine="1905" w:firstLineChars="794"/>
        <w:jc w:val="both"/>
        <w:textAlignment w:val="auto"/>
        <w:rPr>
          <w:rFonts w:hint="default" w:ascii="Times New Roman" w:hAnsi="Times New Roman" w:eastAsia="宋体" w:cs="Times New Roman"/>
          <w:sz w:val="24"/>
        </w:rPr>
      </w:pPr>
      <w:bookmarkStart w:id="112" w:name="_Toc14552_WPSOffice_Level2"/>
      <w:r>
        <w:rPr>
          <w:rFonts w:hint="default" w:ascii="Times New Roman" w:hAnsi="Times New Roman" w:eastAsia="宋体" w:cs="Times New Roman"/>
          <w:sz w:val="24"/>
        </w:rPr>
        <w:t>表5-</w:t>
      </w:r>
      <w:r>
        <w:rPr>
          <w:rFonts w:hint="eastAsia" w:cs="Times New Roman"/>
          <w:sz w:val="24"/>
          <w:lang w:val="en-US" w:eastAsia="zh-CN"/>
        </w:rPr>
        <w:t>1</w:t>
      </w:r>
      <w:r>
        <w:rPr>
          <w:rFonts w:hint="default" w:ascii="Times New Roman" w:hAnsi="Times New Roman" w:eastAsia="宋体" w:cs="Times New Roman"/>
          <w:sz w:val="24"/>
        </w:rPr>
        <w:t xml:space="preserve">  </w:t>
      </w:r>
      <w:r>
        <w:rPr>
          <w:rFonts w:hint="eastAsia"/>
          <w:sz w:val="24"/>
          <w:lang w:val="en-US" w:eastAsia="zh-CN"/>
        </w:rPr>
        <w:t>有组织、</w:t>
      </w:r>
      <w:r>
        <w:rPr>
          <w:rFonts w:hint="default" w:ascii="Times New Roman" w:hAnsi="Times New Roman" w:eastAsia="宋体" w:cs="Times New Roman"/>
          <w:sz w:val="24"/>
        </w:rPr>
        <w:t>无组织废气监测点位及监测因子设置</w:t>
      </w:r>
      <w:bookmarkEnd w:id="112"/>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394"/>
        <w:gridCol w:w="2728"/>
        <w:gridCol w:w="1735"/>
        <w:gridCol w:w="1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59" w:type="dxa"/>
            <w:tcBorders>
              <w:tl2br w:val="nil"/>
              <w:tr2bl w:val="nil"/>
            </w:tcBorders>
            <w:vAlign w:val="center"/>
          </w:tcPr>
          <w:p>
            <w:pPr>
              <w:spacing w:line="300" w:lineRule="exact"/>
              <w:jc w:val="center"/>
              <w:rPr>
                <w:b/>
                <w:bCs/>
                <w:color w:val="auto"/>
                <w:sz w:val="21"/>
                <w:szCs w:val="21"/>
              </w:rPr>
            </w:pPr>
            <w:r>
              <w:rPr>
                <w:b/>
                <w:bCs/>
                <w:color w:val="auto"/>
                <w:sz w:val="21"/>
                <w:szCs w:val="21"/>
              </w:rPr>
              <w:t>编号</w:t>
            </w:r>
          </w:p>
        </w:tc>
        <w:tc>
          <w:tcPr>
            <w:tcW w:w="2394" w:type="dxa"/>
            <w:tcBorders>
              <w:tl2br w:val="nil"/>
              <w:tr2bl w:val="nil"/>
            </w:tcBorders>
            <w:vAlign w:val="center"/>
          </w:tcPr>
          <w:p>
            <w:pPr>
              <w:spacing w:line="300" w:lineRule="exact"/>
              <w:jc w:val="center"/>
              <w:rPr>
                <w:b/>
                <w:bCs/>
                <w:color w:val="auto"/>
                <w:sz w:val="21"/>
                <w:szCs w:val="21"/>
              </w:rPr>
            </w:pPr>
            <w:r>
              <w:rPr>
                <w:b/>
                <w:bCs/>
                <w:color w:val="auto"/>
                <w:sz w:val="21"/>
                <w:szCs w:val="21"/>
              </w:rPr>
              <w:t>监测点位</w:t>
            </w:r>
          </w:p>
        </w:tc>
        <w:tc>
          <w:tcPr>
            <w:tcW w:w="2728" w:type="dxa"/>
            <w:tcBorders>
              <w:tl2br w:val="nil"/>
              <w:tr2bl w:val="nil"/>
            </w:tcBorders>
            <w:vAlign w:val="center"/>
          </w:tcPr>
          <w:p>
            <w:pPr>
              <w:spacing w:line="300" w:lineRule="exact"/>
              <w:jc w:val="center"/>
              <w:rPr>
                <w:b/>
                <w:bCs/>
                <w:color w:val="auto"/>
                <w:sz w:val="21"/>
                <w:szCs w:val="21"/>
              </w:rPr>
            </w:pPr>
            <w:r>
              <w:rPr>
                <w:b/>
                <w:bCs/>
                <w:color w:val="auto"/>
                <w:sz w:val="21"/>
                <w:szCs w:val="21"/>
              </w:rPr>
              <w:t>监测</w:t>
            </w:r>
            <w:r>
              <w:rPr>
                <w:rFonts w:hint="eastAsia"/>
                <w:b/>
                <w:bCs/>
                <w:color w:val="auto"/>
                <w:sz w:val="21"/>
                <w:szCs w:val="21"/>
              </w:rPr>
              <w:t>因子</w:t>
            </w:r>
          </w:p>
        </w:tc>
        <w:tc>
          <w:tcPr>
            <w:tcW w:w="1735" w:type="dxa"/>
            <w:tcBorders>
              <w:tl2br w:val="nil"/>
              <w:tr2bl w:val="nil"/>
            </w:tcBorders>
            <w:vAlign w:val="center"/>
          </w:tcPr>
          <w:p>
            <w:pPr>
              <w:spacing w:line="300" w:lineRule="exact"/>
              <w:jc w:val="center"/>
              <w:rPr>
                <w:b/>
                <w:bCs/>
                <w:color w:val="auto"/>
                <w:sz w:val="21"/>
                <w:szCs w:val="21"/>
              </w:rPr>
            </w:pPr>
            <w:r>
              <w:rPr>
                <w:rFonts w:hint="eastAsia"/>
                <w:b/>
                <w:bCs/>
                <w:color w:val="auto"/>
                <w:sz w:val="21"/>
                <w:szCs w:val="21"/>
              </w:rPr>
              <w:t>监测项目</w:t>
            </w:r>
          </w:p>
        </w:tc>
        <w:tc>
          <w:tcPr>
            <w:tcW w:w="1938" w:type="dxa"/>
            <w:tcBorders>
              <w:tl2br w:val="nil"/>
              <w:tr2bl w:val="nil"/>
            </w:tcBorders>
            <w:vAlign w:val="center"/>
          </w:tcPr>
          <w:p>
            <w:pPr>
              <w:spacing w:line="300" w:lineRule="exact"/>
              <w:jc w:val="center"/>
              <w:rPr>
                <w:b/>
                <w:bCs/>
                <w:color w:val="auto"/>
                <w:sz w:val="21"/>
                <w:szCs w:val="21"/>
              </w:rPr>
            </w:pPr>
            <w:r>
              <w:rPr>
                <w:rFonts w:hint="eastAsia"/>
                <w:b/>
                <w:bCs/>
                <w:color w:val="auto"/>
                <w:sz w:val="21"/>
                <w:szCs w:val="21"/>
              </w:rPr>
              <w:t>监测</w:t>
            </w:r>
            <w:r>
              <w:rPr>
                <w:b/>
                <w:bCs/>
                <w:color w:val="auto"/>
                <w:sz w:val="21"/>
                <w:szCs w:val="21"/>
              </w:rPr>
              <w:t>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59" w:type="dxa"/>
            <w:tcBorders>
              <w:tl2br w:val="nil"/>
              <w:tr2bl w:val="nil"/>
            </w:tcBorders>
            <w:vAlign w:val="center"/>
          </w:tcPr>
          <w:p>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1</w:t>
            </w:r>
          </w:p>
        </w:tc>
        <w:tc>
          <w:tcPr>
            <w:tcW w:w="2394" w:type="dxa"/>
            <w:tcBorders>
              <w:tl2br w:val="nil"/>
              <w:tr2bl w:val="nil"/>
            </w:tcBorders>
            <w:vAlign w:val="center"/>
          </w:tcPr>
          <w:p>
            <w:pPr>
              <w:spacing w:line="300" w:lineRule="exact"/>
              <w:jc w:val="center"/>
              <w:rPr>
                <w:color w:val="auto"/>
                <w:sz w:val="21"/>
                <w:szCs w:val="21"/>
              </w:rPr>
            </w:pPr>
            <w:r>
              <w:rPr>
                <w:rFonts w:hint="eastAsia"/>
                <w:color w:val="auto"/>
                <w:sz w:val="21"/>
                <w:szCs w:val="21"/>
              </w:rPr>
              <w:t>厂界上风向（参照点）</w:t>
            </w:r>
          </w:p>
        </w:tc>
        <w:tc>
          <w:tcPr>
            <w:tcW w:w="2728" w:type="dxa"/>
            <w:vMerge w:val="restart"/>
            <w:tcBorders>
              <w:tl2br w:val="nil"/>
              <w:tr2bl w:val="nil"/>
            </w:tcBorders>
            <w:vAlign w:val="center"/>
          </w:tcPr>
          <w:p>
            <w:pPr>
              <w:spacing w:line="300" w:lineRule="exact"/>
              <w:jc w:val="center"/>
              <w:rPr>
                <w:rFonts w:hint="default" w:eastAsia="宋体"/>
                <w:color w:val="auto"/>
                <w:sz w:val="21"/>
                <w:szCs w:val="21"/>
                <w:lang w:val="en-US" w:eastAsia="zh-CN"/>
              </w:rPr>
            </w:pPr>
            <w:r>
              <w:rPr>
                <w:rFonts w:hint="default" w:ascii="Times New Roman" w:hAnsi="Times New Roman" w:eastAsia="宋体" w:cs="Times New Roman"/>
                <w:sz w:val="21"/>
                <w:szCs w:val="21"/>
                <w:lang w:val="en-US" w:eastAsia="zh-CN"/>
              </w:rPr>
              <w:t>颗粒物</w:t>
            </w:r>
            <w:r>
              <w:rPr>
                <w:rFonts w:hint="eastAsia" w:cs="Times New Roman"/>
                <w:sz w:val="21"/>
                <w:szCs w:val="21"/>
                <w:lang w:val="en-US" w:eastAsia="zh-CN"/>
              </w:rPr>
              <w:t>、</w:t>
            </w:r>
            <w:r>
              <w:rPr>
                <w:rFonts w:hint="eastAsia" w:ascii="Times New Roman" w:hAnsi="Times New Roman" w:cs="Times New Roman"/>
                <w:sz w:val="21"/>
                <w:szCs w:val="21"/>
                <w:lang w:val="en-US" w:eastAsia="zh-CN"/>
              </w:rPr>
              <w:t>硫酸雾</w:t>
            </w:r>
            <w:r>
              <w:rPr>
                <w:rFonts w:hint="default" w:ascii="Times New Roman" w:hAnsi="Times New Roman" w:eastAsia="宋体" w:cs="Times New Roman"/>
                <w:sz w:val="21"/>
                <w:szCs w:val="21"/>
                <w:lang w:val="en-US" w:eastAsia="zh-CN"/>
              </w:rPr>
              <w:t>、二氧化硫、氮氧化物</w:t>
            </w:r>
          </w:p>
        </w:tc>
        <w:tc>
          <w:tcPr>
            <w:tcW w:w="1735" w:type="dxa"/>
            <w:vMerge w:val="restart"/>
            <w:tcBorders>
              <w:tl2br w:val="nil"/>
              <w:tr2bl w:val="nil"/>
            </w:tcBorders>
            <w:vAlign w:val="center"/>
          </w:tcPr>
          <w:p>
            <w:pPr>
              <w:spacing w:line="300" w:lineRule="exact"/>
              <w:jc w:val="center"/>
              <w:rPr>
                <w:rFonts w:hint="eastAsia"/>
                <w:color w:val="auto"/>
                <w:sz w:val="21"/>
                <w:szCs w:val="21"/>
              </w:rPr>
            </w:pPr>
            <w:r>
              <w:rPr>
                <w:rFonts w:hint="eastAsia"/>
                <w:color w:val="auto"/>
                <w:sz w:val="21"/>
                <w:szCs w:val="21"/>
              </w:rPr>
              <w:t>排放浓度及</w:t>
            </w:r>
          </w:p>
          <w:p>
            <w:pPr>
              <w:spacing w:line="300" w:lineRule="exact"/>
              <w:jc w:val="center"/>
              <w:rPr>
                <w:color w:val="auto"/>
                <w:sz w:val="21"/>
                <w:szCs w:val="21"/>
              </w:rPr>
            </w:pPr>
            <w:r>
              <w:rPr>
                <w:rFonts w:hint="eastAsia"/>
                <w:color w:val="auto"/>
                <w:sz w:val="21"/>
                <w:szCs w:val="21"/>
              </w:rPr>
              <w:t>气象参数</w:t>
            </w:r>
          </w:p>
        </w:tc>
        <w:tc>
          <w:tcPr>
            <w:tcW w:w="1938" w:type="dxa"/>
            <w:vMerge w:val="restart"/>
            <w:tcBorders>
              <w:tl2br w:val="nil"/>
              <w:tr2bl w:val="nil"/>
            </w:tcBorders>
            <w:vAlign w:val="center"/>
          </w:tcPr>
          <w:p>
            <w:pPr>
              <w:spacing w:line="300" w:lineRule="exact"/>
              <w:jc w:val="center"/>
              <w:rPr>
                <w:rFonts w:hint="eastAsia"/>
                <w:color w:val="auto"/>
                <w:sz w:val="21"/>
                <w:szCs w:val="21"/>
              </w:rPr>
            </w:pPr>
            <w:r>
              <w:rPr>
                <w:rFonts w:hint="eastAsia"/>
                <w:color w:val="auto"/>
                <w:sz w:val="21"/>
                <w:szCs w:val="21"/>
                <w:lang w:val="en-US" w:eastAsia="zh-CN"/>
              </w:rPr>
              <w:t>3</w:t>
            </w:r>
            <w:r>
              <w:rPr>
                <w:rFonts w:hint="eastAsia"/>
                <w:color w:val="auto"/>
                <w:sz w:val="21"/>
                <w:szCs w:val="21"/>
              </w:rPr>
              <w:t>次/天，</w:t>
            </w:r>
          </w:p>
          <w:p>
            <w:pPr>
              <w:spacing w:line="300" w:lineRule="exact"/>
              <w:jc w:val="center"/>
              <w:rPr>
                <w:color w:val="auto"/>
                <w:sz w:val="21"/>
                <w:szCs w:val="21"/>
              </w:rPr>
            </w:pPr>
            <w:r>
              <w:rPr>
                <w:rFonts w:hint="eastAsia"/>
                <w:color w:val="auto"/>
                <w:sz w:val="21"/>
                <w:szCs w:val="21"/>
              </w:rPr>
              <w:t>监测2天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59" w:type="dxa"/>
            <w:tcBorders>
              <w:tl2br w:val="nil"/>
              <w:tr2bl w:val="nil"/>
            </w:tcBorders>
            <w:vAlign w:val="center"/>
          </w:tcPr>
          <w:p>
            <w:pPr>
              <w:spacing w:line="300" w:lineRule="exact"/>
              <w:jc w:val="center"/>
              <w:rPr>
                <w:rFonts w:hint="eastAsia" w:eastAsia="宋体"/>
                <w:color w:val="auto"/>
                <w:sz w:val="21"/>
                <w:szCs w:val="21"/>
                <w:lang w:val="en-US" w:eastAsia="zh-CN"/>
              </w:rPr>
            </w:pPr>
            <w:r>
              <w:rPr>
                <w:rFonts w:hint="eastAsia"/>
                <w:color w:val="auto"/>
                <w:sz w:val="21"/>
                <w:szCs w:val="21"/>
                <w:lang w:val="en-US" w:eastAsia="zh-CN"/>
              </w:rPr>
              <w:t>2</w:t>
            </w:r>
          </w:p>
        </w:tc>
        <w:tc>
          <w:tcPr>
            <w:tcW w:w="2394" w:type="dxa"/>
            <w:tcBorders>
              <w:tl2br w:val="nil"/>
              <w:tr2bl w:val="nil"/>
            </w:tcBorders>
            <w:vAlign w:val="center"/>
          </w:tcPr>
          <w:p>
            <w:pPr>
              <w:spacing w:line="300" w:lineRule="exact"/>
              <w:jc w:val="center"/>
              <w:rPr>
                <w:color w:val="auto"/>
                <w:sz w:val="21"/>
                <w:szCs w:val="21"/>
              </w:rPr>
            </w:pPr>
            <w:r>
              <w:rPr>
                <w:rFonts w:hint="eastAsia"/>
                <w:color w:val="auto"/>
                <w:sz w:val="21"/>
                <w:szCs w:val="21"/>
              </w:rPr>
              <w:t>厂界下风向（监控点）</w:t>
            </w:r>
          </w:p>
        </w:tc>
        <w:tc>
          <w:tcPr>
            <w:tcW w:w="2728" w:type="dxa"/>
            <w:vMerge w:val="continue"/>
            <w:tcBorders>
              <w:tl2br w:val="nil"/>
              <w:tr2bl w:val="nil"/>
            </w:tcBorders>
            <w:vAlign w:val="center"/>
          </w:tcPr>
          <w:p>
            <w:pPr>
              <w:spacing w:line="300" w:lineRule="exact"/>
              <w:jc w:val="center"/>
              <w:rPr>
                <w:color w:val="auto"/>
                <w:sz w:val="21"/>
                <w:szCs w:val="21"/>
              </w:rPr>
            </w:pPr>
          </w:p>
        </w:tc>
        <w:tc>
          <w:tcPr>
            <w:tcW w:w="1735" w:type="dxa"/>
            <w:vMerge w:val="continue"/>
            <w:tcBorders>
              <w:tl2br w:val="nil"/>
              <w:tr2bl w:val="nil"/>
            </w:tcBorders>
            <w:vAlign w:val="center"/>
          </w:tcPr>
          <w:p>
            <w:pPr>
              <w:spacing w:line="300" w:lineRule="exact"/>
              <w:jc w:val="center"/>
              <w:rPr>
                <w:color w:val="auto"/>
                <w:sz w:val="21"/>
                <w:szCs w:val="21"/>
              </w:rPr>
            </w:pPr>
          </w:p>
        </w:tc>
        <w:tc>
          <w:tcPr>
            <w:tcW w:w="1938" w:type="dxa"/>
            <w:vMerge w:val="continue"/>
            <w:tcBorders>
              <w:tl2br w:val="nil"/>
              <w:tr2bl w:val="nil"/>
            </w:tcBorders>
            <w:vAlign w:val="center"/>
          </w:tcPr>
          <w:p>
            <w:pPr>
              <w:spacing w:line="300" w:lineRule="exact"/>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59" w:type="dxa"/>
            <w:tcBorders>
              <w:tl2br w:val="nil"/>
              <w:tr2bl w:val="nil"/>
            </w:tcBorders>
            <w:vAlign w:val="center"/>
          </w:tcPr>
          <w:p>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3</w:t>
            </w:r>
          </w:p>
        </w:tc>
        <w:tc>
          <w:tcPr>
            <w:tcW w:w="2394" w:type="dxa"/>
            <w:tcBorders>
              <w:tl2br w:val="nil"/>
              <w:tr2bl w:val="nil"/>
            </w:tcBorders>
            <w:vAlign w:val="center"/>
          </w:tcPr>
          <w:p>
            <w:pPr>
              <w:spacing w:line="300" w:lineRule="exact"/>
              <w:jc w:val="center"/>
              <w:rPr>
                <w:rFonts w:hint="default" w:eastAsia="宋体"/>
                <w:color w:val="auto"/>
                <w:sz w:val="21"/>
                <w:szCs w:val="21"/>
                <w:lang w:val="en-US" w:eastAsia="zh-CN"/>
              </w:rPr>
            </w:pPr>
            <w:r>
              <w:rPr>
                <w:rFonts w:hint="eastAsia" w:ascii="宋体" w:hAnsi="宋体" w:cs="宋体"/>
                <w:sz w:val="21"/>
                <w:szCs w:val="21"/>
                <w:lang w:val="en-US" w:eastAsia="zh-CN"/>
              </w:rPr>
              <w:t>脱硫塔</w:t>
            </w:r>
            <w:r>
              <w:rPr>
                <w:rFonts w:hint="eastAsia"/>
                <w:color w:val="auto"/>
                <w:sz w:val="21"/>
                <w:szCs w:val="21"/>
                <w:lang w:val="en-US" w:eastAsia="zh-CN"/>
              </w:rPr>
              <w:t>排气筒</w:t>
            </w:r>
          </w:p>
        </w:tc>
        <w:tc>
          <w:tcPr>
            <w:tcW w:w="2728" w:type="dxa"/>
            <w:tcBorders>
              <w:tl2br w:val="nil"/>
              <w:tr2bl w:val="nil"/>
            </w:tcBorders>
            <w:vAlign w:val="center"/>
          </w:tcPr>
          <w:p>
            <w:pPr>
              <w:spacing w:line="300" w:lineRule="exact"/>
              <w:jc w:val="center"/>
              <w:rPr>
                <w:rFonts w:hint="eastAsia" w:eastAsia="宋体"/>
                <w:color w:val="auto"/>
                <w:sz w:val="21"/>
                <w:szCs w:val="21"/>
                <w:lang w:val="en-US" w:eastAsia="zh-CN"/>
              </w:rPr>
            </w:pPr>
            <w:r>
              <w:rPr>
                <w:rFonts w:hint="eastAsia" w:ascii="Times New Roman" w:hAnsi="Times New Roman" w:cs="Times New Roman"/>
                <w:sz w:val="21"/>
                <w:szCs w:val="21"/>
                <w:lang w:val="en-US" w:eastAsia="zh-CN"/>
              </w:rPr>
              <w:t>硫酸雾</w:t>
            </w:r>
            <w:r>
              <w:rPr>
                <w:rFonts w:hint="default" w:ascii="Times New Roman" w:hAnsi="Times New Roman" w:eastAsia="宋体" w:cs="Times New Roman"/>
                <w:sz w:val="21"/>
                <w:szCs w:val="21"/>
                <w:lang w:val="en-US" w:eastAsia="zh-CN"/>
              </w:rPr>
              <w:t>、二氧化硫、氮氧化物</w:t>
            </w:r>
          </w:p>
        </w:tc>
        <w:tc>
          <w:tcPr>
            <w:tcW w:w="1735" w:type="dxa"/>
            <w:tcBorders>
              <w:tl2br w:val="nil"/>
              <w:tr2bl w:val="nil"/>
            </w:tcBorders>
            <w:vAlign w:val="center"/>
          </w:tcPr>
          <w:p>
            <w:pPr>
              <w:spacing w:line="300" w:lineRule="exact"/>
              <w:jc w:val="center"/>
              <w:rPr>
                <w:rFonts w:hint="eastAsia"/>
                <w:color w:val="auto"/>
                <w:sz w:val="21"/>
                <w:szCs w:val="21"/>
                <w:lang w:val="en-US" w:eastAsia="zh-CN"/>
              </w:rPr>
            </w:pPr>
            <w:r>
              <w:rPr>
                <w:rFonts w:hint="eastAsia"/>
                <w:color w:val="auto"/>
                <w:sz w:val="21"/>
                <w:szCs w:val="21"/>
                <w:lang w:val="en-US" w:eastAsia="zh-CN"/>
              </w:rPr>
              <w:t>排放浓度、</w:t>
            </w:r>
          </w:p>
          <w:p>
            <w:pPr>
              <w:spacing w:line="300" w:lineRule="exact"/>
              <w:jc w:val="center"/>
              <w:rPr>
                <w:rFonts w:hint="default" w:eastAsia="宋体"/>
                <w:color w:val="auto"/>
                <w:sz w:val="21"/>
                <w:szCs w:val="21"/>
                <w:lang w:val="en-US" w:eastAsia="zh-CN"/>
              </w:rPr>
            </w:pPr>
            <w:r>
              <w:rPr>
                <w:rFonts w:hint="eastAsia"/>
                <w:color w:val="auto"/>
                <w:sz w:val="21"/>
                <w:szCs w:val="21"/>
                <w:lang w:val="en-US" w:eastAsia="zh-CN"/>
              </w:rPr>
              <w:t>排放速率</w:t>
            </w:r>
          </w:p>
        </w:tc>
        <w:tc>
          <w:tcPr>
            <w:tcW w:w="1938" w:type="dxa"/>
            <w:tcBorders>
              <w:tl2br w:val="nil"/>
              <w:tr2bl w:val="nil"/>
            </w:tcBorders>
            <w:vAlign w:val="center"/>
          </w:tcPr>
          <w:p>
            <w:pPr>
              <w:spacing w:line="300" w:lineRule="exact"/>
              <w:jc w:val="center"/>
              <w:rPr>
                <w:rFonts w:hint="eastAsia"/>
                <w:color w:val="auto"/>
                <w:sz w:val="21"/>
                <w:szCs w:val="21"/>
              </w:rPr>
            </w:pPr>
            <w:r>
              <w:rPr>
                <w:rFonts w:hint="eastAsia"/>
                <w:color w:val="auto"/>
                <w:sz w:val="21"/>
                <w:szCs w:val="21"/>
                <w:lang w:val="en-US" w:eastAsia="zh-CN"/>
              </w:rPr>
              <w:t>3</w:t>
            </w:r>
            <w:r>
              <w:rPr>
                <w:rFonts w:hint="eastAsia"/>
                <w:color w:val="auto"/>
                <w:sz w:val="21"/>
                <w:szCs w:val="21"/>
              </w:rPr>
              <w:t>次/天，</w:t>
            </w:r>
          </w:p>
          <w:p>
            <w:pPr>
              <w:spacing w:line="300" w:lineRule="exact"/>
              <w:jc w:val="center"/>
              <w:rPr>
                <w:color w:val="auto"/>
                <w:sz w:val="21"/>
                <w:szCs w:val="21"/>
              </w:rPr>
            </w:pPr>
            <w:r>
              <w:rPr>
                <w:rFonts w:hint="eastAsia"/>
                <w:color w:val="auto"/>
                <w:sz w:val="21"/>
                <w:szCs w:val="21"/>
              </w:rPr>
              <w:t>监测2天</w:t>
            </w:r>
          </w:p>
        </w:tc>
      </w:tr>
    </w:tbl>
    <w:p>
      <w:pPr>
        <w:pStyle w:val="7"/>
        <w:pageBreakBefore w:val="0"/>
        <w:widowControl w:val="0"/>
        <w:kinsoku/>
        <w:wordWrap/>
        <w:overflowPunct/>
        <w:topLinePunct w:val="0"/>
        <w:autoSpaceDE/>
        <w:autoSpaceDN/>
        <w:bidi w:val="0"/>
        <w:adjustRightInd/>
        <w:snapToGrid/>
        <w:spacing w:before="6" w:after="6"/>
        <w:textAlignment w:val="auto"/>
        <w:rPr>
          <w:rFonts w:hint="eastAsia"/>
        </w:rPr>
      </w:pPr>
      <w:bookmarkStart w:id="113" w:name="_Toc32338_WPSOffice_Level3"/>
      <w:bookmarkStart w:id="114" w:name="_Toc12858"/>
      <w:r>
        <w:rPr>
          <w:rFonts w:hint="eastAsia"/>
        </w:rPr>
        <w:t>5.1.2监测分析方法</w:t>
      </w:r>
      <w:bookmarkEnd w:id="113"/>
      <w:bookmarkEnd w:id="114"/>
    </w:p>
    <w:p>
      <w:pPr>
        <w:pageBreakBefore w:val="0"/>
        <w:widowControl w:val="0"/>
        <w:kinsoku/>
        <w:wordWrap/>
        <w:overflowPunct/>
        <w:topLinePunct w:val="0"/>
        <w:autoSpaceDE/>
        <w:autoSpaceDN/>
        <w:bidi w:val="0"/>
        <w:adjustRightInd/>
        <w:snapToGrid/>
        <w:spacing w:before="6" w:after="6" w:line="520" w:lineRule="exact"/>
        <w:ind w:firstLine="480" w:firstLineChars="200"/>
        <w:textAlignment w:val="auto"/>
        <w:rPr>
          <w:rFonts w:hint="eastAsia"/>
          <w:sz w:val="24"/>
        </w:rPr>
      </w:pPr>
      <w:r>
        <w:rPr>
          <w:rFonts w:hint="eastAsia"/>
          <w:sz w:val="24"/>
        </w:rPr>
        <w:t>废气监测分析方法见表5-</w:t>
      </w:r>
      <w:r>
        <w:rPr>
          <w:rFonts w:hint="eastAsia"/>
          <w:sz w:val="24"/>
          <w:lang w:val="en-US" w:eastAsia="zh-CN"/>
        </w:rPr>
        <w:t>2</w:t>
      </w:r>
      <w:r>
        <w:rPr>
          <w:rFonts w:hint="eastAsia"/>
          <w:sz w:val="24"/>
        </w:rPr>
        <w:t>。</w:t>
      </w:r>
    </w:p>
    <w:p>
      <w:pPr>
        <w:adjustRightInd w:val="0"/>
        <w:snapToGrid w:val="0"/>
        <w:spacing w:line="480" w:lineRule="exact"/>
        <w:jc w:val="center"/>
        <w:rPr>
          <w:rFonts w:hint="default" w:ascii="Times New Roman" w:hAnsi="Times New Roman" w:eastAsia="宋体" w:cs="Times New Roman"/>
          <w:bCs/>
          <w:sz w:val="24"/>
        </w:rPr>
      </w:pPr>
      <w:bookmarkStart w:id="115" w:name="_Toc32338_WPSOffice_Level2"/>
      <w:r>
        <w:rPr>
          <w:rFonts w:hint="default" w:ascii="Times New Roman" w:hAnsi="Times New Roman" w:eastAsia="宋体" w:cs="Times New Roman"/>
          <w:bCs/>
          <w:sz w:val="24"/>
        </w:rPr>
        <w:t>表5-</w:t>
      </w:r>
      <w:r>
        <w:rPr>
          <w:rFonts w:hint="eastAsia" w:cs="Times New Roman"/>
          <w:bCs/>
          <w:sz w:val="24"/>
          <w:lang w:val="en-US" w:eastAsia="zh-CN"/>
        </w:rPr>
        <w:t>2</w:t>
      </w:r>
      <w:r>
        <w:rPr>
          <w:rFonts w:hint="default" w:ascii="Times New Roman" w:hAnsi="Times New Roman" w:eastAsia="宋体" w:cs="Times New Roman"/>
          <w:bCs/>
          <w:sz w:val="24"/>
        </w:rPr>
        <w:t xml:space="preserve">  </w:t>
      </w:r>
      <w:r>
        <w:rPr>
          <w:rFonts w:hint="eastAsia"/>
          <w:sz w:val="24"/>
          <w:lang w:val="en-US" w:eastAsia="zh-CN"/>
        </w:rPr>
        <w:t>有组织、</w:t>
      </w:r>
      <w:r>
        <w:rPr>
          <w:rFonts w:hint="default" w:ascii="Times New Roman" w:hAnsi="Times New Roman" w:eastAsia="宋体" w:cs="Times New Roman"/>
          <w:sz w:val="24"/>
        </w:rPr>
        <w:t>无组织</w:t>
      </w:r>
      <w:r>
        <w:rPr>
          <w:rFonts w:hint="default" w:ascii="Times New Roman" w:hAnsi="Times New Roman" w:eastAsia="宋体" w:cs="Times New Roman"/>
          <w:bCs/>
          <w:sz w:val="24"/>
        </w:rPr>
        <w:t>废气监测分析方法</w:t>
      </w:r>
      <w:bookmarkEnd w:id="115"/>
    </w:p>
    <w:tbl>
      <w:tblPr>
        <w:tblStyle w:val="29"/>
        <w:tblW w:w="99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084"/>
        <w:gridCol w:w="1770"/>
        <w:gridCol w:w="4965"/>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854" w:type="dxa"/>
            <w:tcBorders>
              <w:tl2br w:val="nil"/>
              <w:tr2bl w:val="nil"/>
            </w:tcBorders>
            <w:vAlign w:val="center"/>
          </w:tcPr>
          <w:p>
            <w:pPr>
              <w:spacing w:line="240" w:lineRule="auto"/>
              <w:jc w:val="center"/>
              <w:rPr>
                <w:rFonts w:hint="eastAsia" w:ascii="Times New Roman" w:hAnsi="Times New Roman" w:eastAsia="宋体" w:cs="Times New Roman"/>
                <w:b/>
                <w:sz w:val="21"/>
                <w:szCs w:val="21"/>
                <w:lang w:eastAsia="zh-CN"/>
              </w:rPr>
            </w:pPr>
            <w:r>
              <w:rPr>
                <w:rFonts w:hint="eastAsia" w:cs="Times New Roman"/>
                <w:b/>
                <w:sz w:val="21"/>
                <w:szCs w:val="21"/>
                <w:lang w:eastAsia="zh-CN"/>
              </w:rPr>
              <w:t>类别</w:t>
            </w:r>
          </w:p>
        </w:tc>
        <w:tc>
          <w:tcPr>
            <w:tcW w:w="1084" w:type="dxa"/>
            <w:tcBorders>
              <w:tl2br w:val="nil"/>
              <w:tr2bl w:val="nil"/>
            </w:tcBorders>
            <w:vAlign w:val="center"/>
          </w:tcPr>
          <w:p>
            <w:pPr>
              <w:spacing w:line="240" w:lineRule="auto"/>
              <w:jc w:val="center"/>
              <w:rPr>
                <w:rFonts w:hint="eastAsia" w:ascii="Times New Roman" w:hAnsi="Times New Roman" w:eastAsia="宋体" w:cs="Times New Roman"/>
                <w:b/>
                <w:sz w:val="21"/>
                <w:szCs w:val="21"/>
                <w:lang w:eastAsia="zh-CN"/>
              </w:rPr>
            </w:pPr>
            <w:r>
              <w:rPr>
                <w:rFonts w:hint="default" w:ascii="Times New Roman" w:hAnsi="Times New Roman" w:eastAsia="宋体" w:cs="Times New Roman"/>
                <w:b/>
                <w:sz w:val="21"/>
                <w:szCs w:val="21"/>
              </w:rPr>
              <w:t>项目</w:t>
            </w:r>
            <w:r>
              <w:rPr>
                <w:rFonts w:hint="eastAsia" w:ascii="Times New Roman" w:hAnsi="Times New Roman" w:eastAsia="宋体" w:cs="Times New Roman"/>
                <w:b/>
                <w:sz w:val="21"/>
                <w:szCs w:val="21"/>
                <w:lang w:eastAsia="zh-CN"/>
              </w:rPr>
              <w:t>名称</w:t>
            </w:r>
          </w:p>
        </w:tc>
        <w:tc>
          <w:tcPr>
            <w:tcW w:w="1770" w:type="dxa"/>
            <w:tcBorders>
              <w:tl2br w:val="nil"/>
              <w:tr2bl w:val="nil"/>
            </w:tcBorders>
            <w:vAlign w:val="center"/>
          </w:tcPr>
          <w:p>
            <w:pPr>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w:t>
            </w:r>
            <w:r>
              <w:rPr>
                <w:rFonts w:hint="eastAsia" w:ascii="Times New Roman" w:hAnsi="Times New Roman" w:eastAsia="宋体" w:cs="Times New Roman"/>
                <w:b/>
                <w:sz w:val="21"/>
                <w:szCs w:val="21"/>
                <w:lang w:eastAsia="zh-CN"/>
              </w:rPr>
              <w:t>代号</w:t>
            </w:r>
          </w:p>
        </w:tc>
        <w:tc>
          <w:tcPr>
            <w:tcW w:w="4965" w:type="dxa"/>
            <w:tcBorders>
              <w:tl2br w:val="nil"/>
              <w:tr2bl w:val="nil"/>
            </w:tcBorders>
            <w:vAlign w:val="center"/>
          </w:tcPr>
          <w:p>
            <w:pPr>
              <w:spacing w:line="240" w:lineRule="auto"/>
              <w:jc w:val="center"/>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标准</w:t>
            </w:r>
            <w:r>
              <w:rPr>
                <w:rFonts w:hint="default" w:ascii="Times New Roman" w:hAnsi="Times New Roman" w:eastAsia="宋体" w:cs="Times New Roman"/>
                <w:b/>
                <w:sz w:val="21"/>
                <w:szCs w:val="21"/>
              </w:rPr>
              <w:t>方法</w:t>
            </w:r>
          </w:p>
        </w:tc>
        <w:tc>
          <w:tcPr>
            <w:tcW w:w="1268" w:type="dxa"/>
            <w:tcBorders>
              <w:tl2br w:val="nil"/>
              <w:tr2bl w:val="nil"/>
            </w:tcBorders>
            <w:vAlign w:val="center"/>
          </w:tcPr>
          <w:p>
            <w:pPr>
              <w:spacing w:line="240" w:lineRule="auto"/>
              <w:jc w:val="center"/>
              <w:rPr>
                <w:rFonts w:hint="default" w:ascii="Times New Roman" w:hAnsi="Times New Roman" w:eastAsia="宋体" w:cs="Times New Roman"/>
                <w:b/>
                <w:sz w:val="21"/>
                <w:szCs w:val="21"/>
                <w:vertAlign w:val="superscript"/>
                <w:lang w:eastAsia="zh-CN"/>
              </w:rPr>
            </w:pPr>
            <w:r>
              <w:rPr>
                <w:rFonts w:hint="default" w:ascii="Times New Roman" w:hAnsi="Times New Roman" w:eastAsia="宋体" w:cs="Times New Roman"/>
                <w:b/>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854" w:type="dxa"/>
            <w:vMerge w:val="restart"/>
            <w:tcBorders>
              <w:tl2br w:val="nil"/>
              <w:tr2bl w:val="nil"/>
            </w:tcBorders>
            <w:vAlign w:val="center"/>
          </w:tcPr>
          <w:p>
            <w:pPr>
              <w:spacing w:line="360" w:lineRule="auto"/>
              <w:jc w:val="center"/>
              <w:rPr>
                <w:rFonts w:hint="default"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无组织</w:t>
            </w:r>
          </w:p>
        </w:tc>
        <w:tc>
          <w:tcPr>
            <w:tcW w:w="1084" w:type="dxa"/>
            <w:tcBorders>
              <w:tl2br w:val="nil"/>
              <w:tr2bl w:val="nil"/>
            </w:tcBorders>
            <w:vAlign w:val="center"/>
          </w:tcPr>
          <w:p>
            <w:pPr>
              <w:spacing w:line="360" w:lineRule="auto"/>
              <w:jc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sz w:val="21"/>
                <w:szCs w:val="21"/>
              </w:rPr>
              <w:t>颗粒物</w:t>
            </w:r>
          </w:p>
        </w:tc>
        <w:tc>
          <w:tcPr>
            <w:tcW w:w="1770" w:type="dxa"/>
            <w:tcBorders>
              <w:tl2br w:val="nil"/>
              <w:tr2bl w:val="nil"/>
            </w:tcBorders>
            <w:vAlign w:val="center"/>
          </w:tcPr>
          <w:p>
            <w:pPr>
              <w:spacing w:line="360" w:lineRule="auto"/>
              <w:jc w:val="both"/>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GB/T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15432-1995</w:t>
            </w:r>
          </w:p>
        </w:tc>
        <w:tc>
          <w:tcPr>
            <w:tcW w:w="4965" w:type="dxa"/>
            <w:tcBorders>
              <w:tl2br w:val="nil"/>
              <w:tr2bl w:val="nil"/>
            </w:tcBorders>
            <w:vAlign w:val="center"/>
          </w:tcPr>
          <w:p>
            <w:pPr>
              <w:jc w:val="center"/>
              <w:rPr>
                <w:rFonts w:hint="eastAsia" w:ascii="Times New Roman" w:hAnsi="Times New Roman" w:eastAsia="宋体" w:cs="Times New Roman"/>
                <w:b/>
                <w:sz w:val="21"/>
                <w:szCs w:val="21"/>
                <w:lang w:eastAsia="zh-CN"/>
              </w:rPr>
            </w:pPr>
            <w:r>
              <w:rPr>
                <w:rFonts w:hint="default" w:ascii="Times New Roman" w:hAnsi="Times New Roman" w:eastAsia="宋体" w:cs="Times New Roman"/>
                <w:kern w:val="0"/>
                <w:sz w:val="21"/>
                <w:szCs w:val="21"/>
              </w:rPr>
              <w:t>《环境空气 总悬浮颗粒物的测定 重量法》</w:t>
            </w:r>
          </w:p>
        </w:tc>
        <w:tc>
          <w:tcPr>
            <w:tcW w:w="1268" w:type="dxa"/>
            <w:tcBorders>
              <w:tl2br w:val="nil"/>
              <w:tr2bl w:val="nil"/>
            </w:tcBorders>
            <w:vAlign w:val="center"/>
          </w:tcPr>
          <w:p>
            <w:pPr>
              <w:pStyle w:val="96"/>
              <w:widowControl w:val="0"/>
              <w:pBdr>
                <w:bottom w:val="none" w:color="auto" w:sz="0" w:space="0"/>
                <w:right w:val="none" w:color="auto" w:sz="0" w:space="0"/>
              </w:pBdr>
              <w:spacing w:before="0" w:beforeAutospacing="0" w:after="0" w:afterAutospacing="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0.001</w:t>
            </w:r>
            <w:r>
              <w:rPr>
                <w:rFonts w:hint="default" w:ascii="Times New Roman" w:hAnsi="Times New Roman" w:eastAsia="宋体" w:cs="Times New Roman"/>
                <w:bCs/>
                <w:sz w:val="21"/>
                <w:szCs w:val="21"/>
              </w:rPr>
              <w:t>mg/m</w:t>
            </w:r>
            <w:r>
              <w:rPr>
                <w:rFonts w:hint="default" w:ascii="Times New Roman" w:hAnsi="Times New Roman" w:eastAsia="宋体" w:cs="Times New Roman"/>
                <w:bCs/>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p>
        </w:tc>
        <w:tc>
          <w:tcPr>
            <w:tcW w:w="10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二氧化硫</w:t>
            </w:r>
          </w:p>
        </w:tc>
        <w:tc>
          <w:tcPr>
            <w:tcW w:w="17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HJ 482-2009</w:t>
            </w:r>
          </w:p>
        </w:tc>
        <w:tc>
          <w:tcPr>
            <w:tcW w:w="49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000000"/>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环境空气 二氧化硫的测定 甲醛吸收-副玫瑰苯胺分光光度法</w:t>
            </w:r>
            <w:r>
              <w:rPr>
                <w:rFonts w:hint="eastAsia" w:ascii="Times New Roman" w:hAnsi="Times New Roman" w:cs="Times New Roman"/>
                <w:i w:val="0"/>
                <w:color w:val="000000"/>
                <w:kern w:val="0"/>
                <w:sz w:val="21"/>
                <w:szCs w:val="21"/>
                <w:u w:val="none"/>
                <w:lang w:val="en-US" w:eastAsia="zh-CN" w:bidi="ar"/>
              </w:rPr>
              <w:t>》</w:t>
            </w:r>
          </w:p>
        </w:tc>
        <w:tc>
          <w:tcPr>
            <w:tcW w:w="126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0.007mg/m</w:t>
            </w:r>
            <w:r>
              <w:rPr>
                <w:rFonts w:hint="default" w:ascii="Times New Roman" w:hAnsi="Times New Roman" w:eastAsia="宋体" w:cs="Times New Roman"/>
                <w:i w:val="0"/>
                <w:color w:val="000000"/>
                <w:kern w:val="0"/>
                <w:sz w:val="21"/>
                <w:szCs w:val="21"/>
                <w:u w:val="none"/>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p>
        </w:tc>
        <w:tc>
          <w:tcPr>
            <w:tcW w:w="10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氮氧化物</w:t>
            </w:r>
          </w:p>
        </w:tc>
        <w:tc>
          <w:tcPr>
            <w:tcW w:w="17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i w:val="0"/>
                <w:color w:val="000000"/>
                <w:kern w:val="0"/>
                <w:sz w:val="21"/>
                <w:szCs w:val="21"/>
                <w:u w:val="none"/>
                <w:lang w:val="en-US" w:eastAsia="zh-CN" w:bidi="ar"/>
              </w:rPr>
              <w:t>HJ 479-2009</w:t>
            </w:r>
          </w:p>
        </w:tc>
        <w:tc>
          <w:tcPr>
            <w:tcW w:w="49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环境空气 氮氧化物（一氧化氮和二氧化氮）的测定 盐酸萘乙二胺分光光度法</w:t>
            </w:r>
            <w:r>
              <w:rPr>
                <w:rFonts w:hint="eastAsia" w:ascii="Times New Roman" w:hAnsi="Times New Roman" w:cs="Times New Roman"/>
                <w:i w:val="0"/>
                <w:color w:val="000000"/>
                <w:kern w:val="0"/>
                <w:sz w:val="21"/>
                <w:szCs w:val="21"/>
                <w:u w:val="none"/>
                <w:lang w:val="en-US" w:eastAsia="zh-CN" w:bidi="ar"/>
              </w:rPr>
              <w:t>》</w:t>
            </w:r>
          </w:p>
        </w:tc>
        <w:tc>
          <w:tcPr>
            <w:tcW w:w="1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 w:val="0"/>
                <w:bCs/>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w:t>
            </w:r>
            <w:r>
              <w:rPr>
                <w:rFonts w:hint="eastAsia" w:ascii="Times New Roman" w:hAnsi="Times New Roman" w:cs="Times New Roman"/>
                <w:i w:val="0"/>
                <w:color w:val="000000"/>
                <w:kern w:val="0"/>
                <w:sz w:val="21"/>
                <w:szCs w:val="21"/>
                <w:u w:val="none"/>
                <w:lang w:val="en-US" w:eastAsia="zh-CN" w:bidi="ar"/>
              </w:rPr>
              <w:t>05</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continue"/>
            <w:tcBorders>
              <w:tl2br w:val="nil"/>
              <w:tr2bl w:val="nil"/>
            </w:tcBorders>
            <w:vAlign w:val="center"/>
          </w:tcPr>
          <w:p>
            <w:pPr>
              <w:pStyle w:val="2"/>
              <w:ind w:left="0" w:leftChars="0" w:firstLine="0" w:firstLineChars="0"/>
              <w:rPr>
                <w:rFonts w:hint="eastAsia"/>
                <w:lang w:val="en-US" w:eastAsia="zh-CN"/>
              </w:rPr>
            </w:pPr>
          </w:p>
        </w:tc>
        <w:tc>
          <w:tcPr>
            <w:tcW w:w="10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硫酸雾</w:t>
            </w:r>
          </w:p>
        </w:tc>
        <w:tc>
          <w:tcPr>
            <w:tcW w:w="17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b w:val="0"/>
                <w:bCs/>
                <w:sz w:val="21"/>
                <w:szCs w:val="21"/>
                <w:lang w:eastAsia="zh-CN"/>
              </w:rPr>
              <w:t>国家环保总局 2003年第四版（增补版）</w:t>
            </w:r>
          </w:p>
        </w:tc>
        <w:tc>
          <w:tcPr>
            <w:tcW w:w="4965" w:type="dxa"/>
            <w:tcBorders>
              <w:tl2br w:val="nil"/>
              <w:tr2bl w:val="nil"/>
            </w:tcBorders>
            <w:vAlign w:val="center"/>
          </w:tcPr>
          <w:p>
            <w:pPr>
              <w:shd w:val="clear"/>
              <w:spacing w:line="360" w:lineRule="auto"/>
              <w:jc w:val="center"/>
              <w:rPr>
                <w:rFonts w:hint="default" w:ascii="Times New Roman" w:hAnsi="Times New Roman" w:eastAsia="宋体" w:cs="Times New Roman"/>
                <w:b w:val="0"/>
                <w:bCs/>
                <w:sz w:val="21"/>
                <w:szCs w:val="21"/>
                <w:lang w:eastAsia="zh-CN"/>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b w:val="0"/>
                <w:bCs/>
                <w:sz w:val="21"/>
                <w:szCs w:val="21"/>
                <w:lang w:eastAsia="zh-CN"/>
              </w:rPr>
              <w:t>空气和废气监测分析方法》第五篇 第四章</w:t>
            </w:r>
          </w:p>
          <w:p>
            <w:pPr>
              <w:shd w:val="clear"/>
              <w:spacing w:line="36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 xml:space="preserve"> 四（一）铬酸钡分光光度法</w:t>
            </w:r>
          </w:p>
        </w:tc>
        <w:tc>
          <w:tcPr>
            <w:tcW w:w="1268" w:type="dxa"/>
            <w:tcBorders>
              <w:tl2br w:val="nil"/>
              <w:tr2bl w:val="nil"/>
            </w:tcBorders>
            <w:vAlign w:val="center"/>
          </w:tcPr>
          <w:p>
            <w:pPr>
              <w:pStyle w:val="96"/>
              <w:widowControl w:val="0"/>
              <w:pBdr>
                <w:bottom w:val="none" w:color="auto" w:sz="0" w:space="0"/>
                <w:right w:val="none" w:color="auto" w:sz="0" w:space="0"/>
              </w:pBdr>
              <w:spacing w:before="0" w:beforeAutospacing="0" w:after="0" w:afterAutospacing="0"/>
              <w:jc w:val="center"/>
              <w:textAlignment w:val="auto"/>
              <w:rPr>
                <w:rFonts w:hint="default" w:ascii="Times New Roman" w:hAnsi="Times New Roman" w:cs="Times New Roman" w:eastAsiaTheme="minorEastAsia"/>
                <w:b w:val="0"/>
                <w:bCs/>
                <w:sz w:val="21"/>
                <w:szCs w:val="21"/>
                <w:lang w:val="en-US" w:eastAsia="zh-CN"/>
              </w:rPr>
            </w:pPr>
            <w:r>
              <w:rPr>
                <w:rFonts w:hint="eastAsia" w:cs="Times New Roman" w:eastAsiaTheme="minorEastAsia"/>
                <w:b w:val="0"/>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有组织</w:t>
            </w:r>
          </w:p>
        </w:tc>
        <w:tc>
          <w:tcPr>
            <w:tcW w:w="1084" w:type="dxa"/>
            <w:tcBorders>
              <w:tl2br w:val="nil"/>
              <w:tr2bl w:val="nil"/>
            </w:tcBorders>
            <w:vAlign w:val="center"/>
          </w:tcPr>
          <w:p>
            <w:pPr>
              <w:spacing w:line="480" w:lineRule="auto"/>
              <w:jc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sz w:val="21"/>
                <w:szCs w:val="21"/>
                <w:highlight w:val="none"/>
                <w:lang w:val="en-US" w:eastAsia="zh-CN"/>
              </w:rPr>
              <w:t>二氧化硫</w:t>
            </w:r>
          </w:p>
        </w:tc>
        <w:tc>
          <w:tcPr>
            <w:tcW w:w="1770" w:type="dxa"/>
            <w:tcBorders>
              <w:tl2br w:val="nil"/>
              <w:tr2bl w:val="nil"/>
            </w:tcBorders>
            <w:vAlign w:val="center"/>
          </w:tcPr>
          <w:p>
            <w:pPr>
              <w:spacing w:line="48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sz w:val="21"/>
                <w:szCs w:val="21"/>
              </w:rPr>
              <w:t>HJ 57-20</w:t>
            </w:r>
            <w:r>
              <w:rPr>
                <w:rFonts w:hint="default" w:ascii="Times New Roman" w:hAnsi="Times New Roman" w:eastAsia="宋体" w:cs="Times New Roman"/>
                <w:sz w:val="21"/>
                <w:szCs w:val="21"/>
                <w:lang w:val="en-US" w:eastAsia="zh-CN"/>
              </w:rPr>
              <w:t>17</w:t>
            </w:r>
          </w:p>
        </w:tc>
        <w:tc>
          <w:tcPr>
            <w:tcW w:w="4965" w:type="dxa"/>
            <w:tcBorders>
              <w:tl2br w:val="nil"/>
              <w:tr2bl w:val="nil"/>
            </w:tcBorders>
            <w:vAlign w:val="center"/>
          </w:tcPr>
          <w:p>
            <w:pPr>
              <w:keepNext w:val="0"/>
              <w:keepLines w:val="0"/>
              <w:widowControl/>
              <w:suppressLineNumbers w:val="0"/>
              <w:spacing w:line="480" w:lineRule="auto"/>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sz w:val="21"/>
                <w:szCs w:val="21"/>
                <w:highlight w:val="none"/>
                <w:lang w:eastAsia="zh-CN"/>
              </w:rPr>
              <w:t>《固定污染源废气 二氧化硫的测定 定电位电解法</w:t>
            </w:r>
            <w:r>
              <w:rPr>
                <w:rFonts w:hint="default" w:ascii="Times New Roman" w:hAnsi="Times New Roman" w:eastAsia="宋体" w:cs="Times New Roman"/>
                <w:sz w:val="21"/>
                <w:szCs w:val="21"/>
                <w:highlight w:val="none"/>
              </w:rPr>
              <w:t>》</w:t>
            </w:r>
          </w:p>
        </w:tc>
        <w:tc>
          <w:tcPr>
            <w:tcW w:w="1268" w:type="dxa"/>
            <w:tcBorders>
              <w:tl2br w:val="nil"/>
              <w:tr2bl w:val="nil"/>
            </w:tcBorders>
            <w:vAlign w:val="center"/>
          </w:tcPr>
          <w:p>
            <w:pPr>
              <w:spacing w:line="480" w:lineRule="auto"/>
              <w:jc w:val="center"/>
              <w:rPr>
                <w:rFonts w:hint="eastAsia" w:ascii="Times New Roman" w:hAnsi="Times New Roman" w:cs="Times New Roman" w:eastAsiaTheme="minorEastAsia"/>
                <w:b w:val="0"/>
                <w:bCs/>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bCs/>
                <w:sz w:val="21"/>
                <w:szCs w:val="21"/>
              </w:rPr>
              <w:t>mg/m</w:t>
            </w:r>
            <w:r>
              <w:rPr>
                <w:rFonts w:hint="default" w:ascii="Times New Roman" w:hAnsi="Times New Roman" w:eastAsia="宋体" w:cs="Times New Roman"/>
                <w:bCs/>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bCs w:val="0"/>
                <w:i w:val="0"/>
                <w:color w:val="000000"/>
                <w:kern w:val="0"/>
                <w:sz w:val="21"/>
                <w:szCs w:val="21"/>
                <w:u w:val="none"/>
                <w:lang w:val="en-US" w:eastAsia="zh-CN" w:bidi="ar"/>
              </w:rPr>
            </w:pPr>
          </w:p>
        </w:tc>
        <w:tc>
          <w:tcPr>
            <w:tcW w:w="1084" w:type="dxa"/>
            <w:tcBorders>
              <w:tl2br w:val="nil"/>
              <w:tr2bl w:val="nil"/>
            </w:tcBorders>
            <w:vAlign w:val="center"/>
          </w:tcPr>
          <w:p>
            <w:pPr>
              <w:spacing w:line="480" w:lineRule="auto"/>
              <w:jc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sz w:val="21"/>
                <w:szCs w:val="21"/>
                <w:highlight w:val="none"/>
                <w:lang w:val="en-US" w:eastAsia="zh-CN"/>
              </w:rPr>
              <w:t>氮氧化物</w:t>
            </w:r>
          </w:p>
        </w:tc>
        <w:tc>
          <w:tcPr>
            <w:tcW w:w="1770" w:type="dxa"/>
            <w:tcBorders>
              <w:tl2br w:val="nil"/>
              <w:tr2bl w:val="nil"/>
            </w:tcBorders>
            <w:vAlign w:val="center"/>
          </w:tcPr>
          <w:p>
            <w:pPr>
              <w:spacing w:line="48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sz w:val="21"/>
                <w:szCs w:val="21"/>
              </w:rPr>
              <w:t>HJ 693-2014</w:t>
            </w:r>
          </w:p>
        </w:tc>
        <w:tc>
          <w:tcPr>
            <w:tcW w:w="4965" w:type="dxa"/>
            <w:tcBorders>
              <w:tl2br w:val="nil"/>
              <w:tr2bl w:val="nil"/>
            </w:tcBorders>
            <w:vAlign w:val="center"/>
          </w:tcPr>
          <w:p>
            <w:pPr>
              <w:keepNext w:val="0"/>
              <w:keepLines w:val="0"/>
              <w:widowControl/>
              <w:suppressLineNumbers w:val="0"/>
              <w:spacing w:line="480" w:lineRule="auto"/>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sz w:val="21"/>
                <w:szCs w:val="21"/>
                <w:highlight w:val="none"/>
              </w:rPr>
              <w:t>《固定污染源废气 氮氧化物的测定 定电位电解法》</w:t>
            </w:r>
          </w:p>
        </w:tc>
        <w:tc>
          <w:tcPr>
            <w:tcW w:w="1268" w:type="dxa"/>
            <w:tcBorders>
              <w:tl2br w:val="nil"/>
              <w:tr2bl w:val="nil"/>
            </w:tcBorders>
            <w:vAlign w:val="center"/>
          </w:tcPr>
          <w:p>
            <w:pPr>
              <w:spacing w:line="480" w:lineRule="auto"/>
              <w:jc w:val="center"/>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bCs/>
                <w:sz w:val="21"/>
                <w:szCs w:val="21"/>
              </w:rPr>
              <w:t>mg/m</w:t>
            </w:r>
            <w:r>
              <w:rPr>
                <w:rFonts w:hint="default" w:ascii="Times New Roman" w:hAnsi="Times New Roman" w:eastAsia="宋体" w:cs="Times New Roman"/>
                <w:bCs/>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4"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p>
        </w:tc>
        <w:tc>
          <w:tcPr>
            <w:tcW w:w="10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硫酸雾</w:t>
            </w:r>
          </w:p>
        </w:tc>
        <w:tc>
          <w:tcPr>
            <w:tcW w:w="17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b w:val="0"/>
                <w:bCs/>
                <w:sz w:val="21"/>
                <w:szCs w:val="21"/>
                <w:lang w:eastAsia="zh-CN"/>
              </w:rPr>
              <w:t>国家环保总局 2003年第四版（增补版）</w:t>
            </w:r>
          </w:p>
        </w:tc>
        <w:tc>
          <w:tcPr>
            <w:tcW w:w="4965" w:type="dxa"/>
            <w:tcBorders>
              <w:tl2br w:val="nil"/>
              <w:tr2bl w:val="nil"/>
            </w:tcBorders>
            <w:vAlign w:val="center"/>
          </w:tcPr>
          <w:p>
            <w:pPr>
              <w:shd w:val="clear"/>
              <w:spacing w:line="360" w:lineRule="auto"/>
              <w:jc w:val="center"/>
              <w:rPr>
                <w:rFonts w:hint="default" w:ascii="Times New Roman" w:hAnsi="Times New Roman" w:eastAsia="宋体" w:cs="Times New Roman"/>
                <w:b w:val="0"/>
                <w:bCs/>
                <w:sz w:val="21"/>
                <w:szCs w:val="21"/>
                <w:lang w:eastAsia="zh-CN"/>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b w:val="0"/>
                <w:bCs/>
                <w:sz w:val="21"/>
                <w:szCs w:val="21"/>
                <w:lang w:eastAsia="zh-CN"/>
              </w:rPr>
              <w:t>空气和废气监测分析方法》第五篇 第四章</w:t>
            </w:r>
          </w:p>
          <w:p>
            <w:pPr>
              <w:shd w:val="clear"/>
              <w:spacing w:line="360" w:lineRule="auto"/>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eastAsia="zh-CN"/>
              </w:rPr>
              <w:t xml:space="preserve"> 四（一）铬酸钡分光光度法</w:t>
            </w:r>
          </w:p>
        </w:tc>
        <w:tc>
          <w:tcPr>
            <w:tcW w:w="1268" w:type="dxa"/>
            <w:tcBorders>
              <w:tl2br w:val="nil"/>
              <w:tr2bl w:val="nil"/>
            </w:tcBorders>
            <w:vAlign w:val="center"/>
          </w:tcPr>
          <w:p>
            <w:pPr>
              <w:pStyle w:val="96"/>
              <w:widowControl w:val="0"/>
              <w:pBdr>
                <w:bottom w:val="none" w:color="auto" w:sz="0" w:space="0"/>
                <w:right w:val="none" w:color="auto" w:sz="0" w:space="0"/>
              </w:pBdr>
              <w:spacing w:before="0" w:beforeAutospacing="0" w:after="0" w:afterAutospacing="0"/>
              <w:jc w:val="center"/>
              <w:textAlignment w:val="auto"/>
              <w:rPr>
                <w:rFonts w:hint="eastAsia" w:ascii="Times New Roman" w:hAnsi="Times New Roman" w:cs="Times New Roman" w:eastAsiaTheme="minorEastAsia"/>
                <w:b w:val="0"/>
                <w:bCs/>
                <w:sz w:val="21"/>
                <w:szCs w:val="21"/>
                <w:lang w:val="en-US" w:eastAsia="zh-CN"/>
              </w:rPr>
            </w:pPr>
            <w:r>
              <w:rPr>
                <w:rFonts w:hint="eastAsia" w:cs="Times New Roman" w:eastAsiaTheme="minorEastAsia"/>
                <w:b w:val="0"/>
                <w:bCs/>
                <w:sz w:val="21"/>
                <w:szCs w:val="21"/>
                <w:lang w:val="en-US" w:eastAsia="zh-CN"/>
              </w:rPr>
              <w:t>/</w:t>
            </w:r>
          </w:p>
        </w:tc>
      </w:tr>
    </w:tbl>
    <w:p>
      <w:pPr>
        <w:pStyle w:val="7"/>
        <w:rPr>
          <w:rFonts w:hint="default" w:ascii="Times New Roman" w:hAnsi="Times New Roman" w:eastAsia="宋体" w:cs="Times New Roman"/>
        </w:rPr>
      </w:pPr>
      <w:bookmarkStart w:id="116" w:name="_Toc17443_WPSOffice_Level3"/>
      <w:r>
        <w:rPr>
          <w:rFonts w:hint="default"/>
        </w:rPr>
        <w:t>5.1</w:t>
      </w:r>
      <w:r>
        <w:rPr>
          <w:rFonts w:hint="default" w:ascii="Times New Roman" w:hAnsi="Times New Roman" w:eastAsia="宋体" w:cs="Times New Roman"/>
        </w:rPr>
        <w:t>.3 质量保证和质量控制</w:t>
      </w:r>
      <w:bookmarkEnd w:id="111"/>
      <w:bookmarkEnd w:id="116"/>
    </w:p>
    <w:p>
      <w:pPr>
        <w:autoSpaceDE w:val="0"/>
        <w:autoSpaceDN w:val="0"/>
        <w:adjustRightInd w:val="0"/>
        <w:spacing w:line="480" w:lineRule="exact"/>
        <w:ind w:firstLine="480" w:firstLineChars="200"/>
        <w:jc w:val="left"/>
        <w:rPr>
          <w:rFonts w:hint="default" w:ascii="Times New Roman" w:hAnsi="Times New Roman" w:cs="Times New Roman"/>
          <w:sz w:val="24"/>
        </w:rPr>
      </w:pPr>
      <w:bookmarkStart w:id="117" w:name="_Toc23952_WPSOffice_Level3"/>
      <w:bookmarkStart w:id="118" w:name="_Toc7264"/>
      <w:r>
        <w:rPr>
          <w:rFonts w:hint="default" w:ascii="Times New Roman" w:hAnsi="Times New Roman" w:cs="Times New Roman"/>
          <w:sz w:val="24"/>
        </w:rPr>
        <w:t>监测质量保证和质量控制按照《固定污染源监测质量保证与质量控制技术规范（试行）》（HJ/T373-2007）、《环境空气质量手工监测技术规范》（HJ/T194-20</w:t>
      </w:r>
      <w:r>
        <w:rPr>
          <w:rFonts w:hint="eastAsia" w:cs="Times New Roman"/>
          <w:sz w:val="24"/>
          <w:lang w:val="en-US" w:eastAsia="zh-CN"/>
        </w:rPr>
        <w:t>17</w:t>
      </w:r>
      <w:r>
        <w:rPr>
          <w:rFonts w:hint="default" w:ascii="Times New Roman" w:hAnsi="Times New Roman" w:cs="Times New Roman"/>
          <w:sz w:val="24"/>
        </w:rPr>
        <w:t>）的相关要求进行。</w:t>
      </w:r>
    </w:p>
    <w:p>
      <w:pPr>
        <w:autoSpaceDE w:val="0"/>
        <w:autoSpaceDN w:val="0"/>
        <w:adjustRightInd w:val="0"/>
        <w:spacing w:line="480" w:lineRule="exact"/>
        <w:ind w:firstLine="480" w:firstLineChars="200"/>
        <w:jc w:val="left"/>
        <w:rPr>
          <w:rFonts w:hint="default" w:ascii="Times New Roman" w:hAnsi="Times New Roman" w:cs="Times New Roman"/>
          <w:sz w:val="24"/>
        </w:rPr>
      </w:pPr>
      <w:r>
        <w:rPr>
          <w:rFonts w:hint="default" w:ascii="Times New Roman" w:hAnsi="Times New Roman" w:eastAsia="仿宋" w:cs="Times New Roman"/>
          <w:sz w:val="24"/>
        </w:rPr>
        <w:fldChar w:fldCharType="begin"/>
      </w:r>
      <w:r>
        <w:rPr>
          <w:rFonts w:hint="default" w:ascii="Times New Roman" w:hAnsi="Times New Roman" w:eastAsia="仿宋" w:cs="Times New Roman"/>
          <w:sz w:val="24"/>
        </w:rPr>
        <w:instrText xml:space="preserve"> = 1 \* GB2 </w:instrText>
      </w:r>
      <w:r>
        <w:rPr>
          <w:rFonts w:hint="default" w:ascii="Times New Roman" w:hAnsi="Times New Roman" w:eastAsia="仿宋" w:cs="Times New Roman"/>
          <w:sz w:val="24"/>
        </w:rPr>
        <w:fldChar w:fldCharType="separate"/>
      </w:r>
      <w:r>
        <w:rPr>
          <w:rFonts w:hint="default" w:ascii="Times New Roman" w:hAnsi="Times New Roman" w:eastAsia="仿宋" w:cs="Times New Roman"/>
          <w:sz w:val="24"/>
        </w:rPr>
        <w:t>⑴</w:t>
      </w:r>
      <w:r>
        <w:rPr>
          <w:rFonts w:hint="default" w:ascii="Times New Roman" w:hAnsi="Times New Roman" w:eastAsia="仿宋" w:cs="Times New Roman"/>
          <w:sz w:val="24"/>
        </w:rPr>
        <w:fldChar w:fldCharType="end"/>
      </w:r>
      <w:r>
        <w:rPr>
          <w:rFonts w:hint="default" w:ascii="Times New Roman" w:hAnsi="Times New Roman" w:cs="Times New Roman"/>
          <w:sz w:val="24"/>
        </w:rPr>
        <w:t>监测期间核查了生产负荷记录，生产负荷大于75%，满足要求。</w:t>
      </w:r>
    </w:p>
    <w:p>
      <w:pPr>
        <w:autoSpaceDE w:val="0"/>
        <w:autoSpaceDN w:val="0"/>
        <w:adjustRightInd w:val="0"/>
        <w:spacing w:line="480" w:lineRule="exact"/>
        <w:ind w:firstLine="480" w:firstLineChars="200"/>
        <w:jc w:val="left"/>
        <w:rPr>
          <w:rFonts w:hint="default" w:ascii="Times New Roman" w:hAnsi="Times New Roman" w:cs="Times New Roman"/>
          <w:sz w:val="24"/>
        </w:rPr>
      </w:pPr>
      <w:r>
        <w:rPr>
          <w:rFonts w:hint="default" w:ascii="Times New Roman" w:hAnsi="Times New Roman" w:eastAsia="仿宋" w:cs="Times New Roman"/>
          <w:sz w:val="24"/>
        </w:rPr>
        <w:fldChar w:fldCharType="begin"/>
      </w:r>
      <w:r>
        <w:rPr>
          <w:rFonts w:hint="default" w:ascii="Times New Roman" w:hAnsi="Times New Roman" w:eastAsia="仿宋" w:cs="Times New Roman"/>
          <w:sz w:val="24"/>
        </w:rPr>
        <w:instrText xml:space="preserve"> = 2 \* GB2 </w:instrText>
      </w:r>
      <w:r>
        <w:rPr>
          <w:rFonts w:hint="default" w:ascii="Times New Roman" w:hAnsi="Times New Roman" w:eastAsia="仿宋" w:cs="Times New Roman"/>
          <w:sz w:val="24"/>
        </w:rPr>
        <w:fldChar w:fldCharType="separate"/>
      </w:r>
      <w:r>
        <w:rPr>
          <w:rFonts w:hint="default" w:ascii="Times New Roman" w:hAnsi="Times New Roman" w:eastAsia="仿宋" w:cs="Times New Roman"/>
          <w:sz w:val="24"/>
        </w:rPr>
        <w:t>⑵</w:t>
      </w:r>
      <w:r>
        <w:rPr>
          <w:rFonts w:hint="default" w:ascii="Times New Roman" w:hAnsi="Times New Roman" w:eastAsia="仿宋" w:cs="Times New Roman"/>
          <w:sz w:val="24"/>
        </w:rPr>
        <w:fldChar w:fldCharType="end"/>
      </w:r>
      <w:r>
        <w:rPr>
          <w:rFonts w:hint="default" w:ascii="Times New Roman" w:hAnsi="Times New Roman" w:cs="Times New Roman"/>
          <w:sz w:val="24"/>
        </w:rPr>
        <w:t>优先采用了国标、行标监测分析方法，监测采样与测试分析人员均经考核合格并持证上岗，监测仪器经计量部门检定并在有效使用期内。</w:t>
      </w:r>
    </w:p>
    <w:p>
      <w:pPr>
        <w:pStyle w:val="7"/>
        <w:ind w:firstLine="480" w:firstLineChars="200"/>
        <w:rPr>
          <w:rFonts w:hint="default" w:ascii="Times New Roman" w:hAnsi="Times New Roman" w:cs="Times New Roman"/>
          <w:b w:val="0"/>
          <w:bCs w:val="0"/>
          <w:sz w:val="24"/>
          <w:lang w:val="en-US" w:eastAsia="zh-CN"/>
        </w:rPr>
      </w:pPr>
      <w:r>
        <w:rPr>
          <w:rFonts w:hint="default" w:ascii="Times New Roman" w:hAnsi="Times New Roman" w:eastAsia="仿宋" w:cs="Times New Roman"/>
          <w:b w:val="0"/>
          <w:bCs w:val="0"/>
          <w:sz w:val="24"/>
        </w:rPr>
        <w:fldChar w:fldCharType="begin"/>
      </w:r>
      <w:r>
        <w:rPr>
          <w:rFonts w:hint="default" w:ascii="Times New Roman" w:hAnsi="Times New Roman" w:eastAsia="仿宋" w:cs="Times New Roman"/>
          <w:b w:val="0"/>
          <w:bCs w:val="0"/>
          <w:sz w:val="24"/>
        </w:rPr>
        <w:instrText xml:space="preserve"> = 3 \* GB2 </w:instrText>
      </w:r>
      <w:r>
        <w:rPr>
          <w:rFonts w:hint="default" w:ascii="Times New Roman" w:hAnsi="Times New Roman" w:eastAsia="仿宋" w:cs="Times New Roman"/>
          <w:b w:val="0"/>
          <w:bCs w:val="0"/>
          <w:sz w:val="24"/>
        </w:rPr>
        <w:fldChar w:fldCharType="separate"/>
      </w:r>
      <w:r>
        <w:rPr>
          <w:rFonts w:hint="default" w:ascii="Times New Roman" w:hAnsi="Times New Roman" w:eastAsia="仿宋" w:cs="Times New Roman"/>
          <w:b w:val="0"/>
          <w:bCs w:val="0"/>
          <w:sz w:val="24"/>
        </w:rPr>
        <w:t>⑶</w:t>
      </w:r>
      <w:r>
        <w:rPr>
          <w:rFonts w:hint="default" w:ascii="Times New Roman" w:hAnsi="Times New Roman" w:eastAsia="仿宋" w:cs="Times New Roman"/>
          <w:b w:val="0"/>
          <w:bCs w:val="0"/>
          <w:sz w:val="24"/>
        </w:rPr>
        <w:fldChar w:fldCharType="end"/>
      </w:r>
      <w:r>
        <w:rPr>
          <w:rFonts w:hint="default" w:ascii="Times New Roman" w:hAnsi="Times New Roman" w:cs="Times New Roman"/>
          <w:b w:val="0"/>
          <w:bCs w:val="0"/>
          <w:sz w:val="24"/>
        </w:rPr>
        <w:t>监测数据和技术报告执行三级审核制度</w:t>
      </w:r>
      <w:r>
        <w:rPr>
          <w:rFonts w:hint="default" w:ascii="Times New Roman" w:hAnsi="Times New Roman" w:cs="Times New Roman"/>
          <w:b w:val="0"/>
          <w:bCs w:val="0"/>
          <w:sz w:val="24"/>
          <w:lang w:val="en-US" w:eastAsia="zh-CN"/>
        </w:rPr>
        <w:t>。</w:t>
      </w:r>
    </w:p>
    <w:p>
      <w:pPr>
        <w:pStyle w:val="7"/>
        <w:rPr>
          <w:rFonts w:hint="default"/>
        </w:rPr>
      </w:pPr>
      <w:r>
        <w:rPr>
          <w:rFonts w:hint="default"/>
        </w:rPr>
        <w:t>5.1.4 验收监测评价标准</w:t>
      </w:r>
      <w:bookmarkEnd w:id="117"/>
      <w:bookmarkEnd w:id="118"/>
    </w:p>
    <w:p>
      <w:pPr>
        <w:autoSpaceDE w:val="0"/>
        <w:autoSpaceDN w:val="0"/>
        <w:adjustRightInd w:val="0"/>
        <w:spacing w:before="46" w:beforeLines="15" w:after="46" w:afterLines="15" w:line="480" w:lineRule="exact"/>
        <w:ind w:firstLine="470" w:firstLineChars="195"/>
        <w:jc w:val="left"/>
        <w:rPr>
          <w:rFonts w:hint="eastAsia"/>
          <w:b/>
          <w:kern w:val="0"/>
          <w:sz w:val="24"/>
        </w:rPr>
      </w:pPr>
      <w:bookmarkStart w:id="119" w:name="_Toc23952_WPSOffice_Level2"/>
      <w:bookmarkStart w:id="120" w:name="_Toc18943"/>
      <w:r>
        <w:rPr>
          <w:rFonts w:hint="eastAsia"/>
          <w:b/>
          <w:kern w:val="0"/>
          <w:sz w:val="24"/>
          <w:highlight w:val="none"/>
          <w:lang w:val="en-US" w:eastAsia="zh-CN"/>
        </w:rPr>
        <w:t>5.1</w:t>
      </w:r>
      <w:r>
        <w:rPr>
          <w:rFonts w:hint="eastAsia"/>
          <w:b/>
          <w:kern w:val="0"/>
          <w:sz w:val="24"/>
          <w:highlight w:val="none"/>
          <w:lang w:eastAsia="zh-CN"/>
        </w:rPr>
        <w:t>.</w:t>
      </w:r>
      <w:r>
        <w:rPr>
          <w:rFonts w:hint="eastAsia"/>
          <w:b/>
          <w:kern w:val="0"/>
          <w:sz w:val="24"/>
          <w:highlight w:val="none"/>
          <w:lang w:val="en-US" w:eastAsia="zh-CN"/>
        </w:rPr>
        <w:t>4.1</w:t>
      </w:r>
      <w:r>
        <w:rPr>
          <w:rFonts w:hint="eastAsia"/>
          <w:b/>
          <w:kern w:val="0"/>
          <w:sz w:val="24"/>
          <w:lang w:val="en-US" w:eastAsia="zh-CN"/>
        </w:rPr>
        <w:t>有组织、</w:t>
      </w:r>
      <w:r>
        <w:rPr>
          <w:rFonts w:hint="eastAsia"/>
          <w:b/>
          <w:kern w:val="0"/>
          <w:sz w:val="24"/>
        </w:rPr>
        <w:t>无组织</w:t>
      </w:r>
      <w:r>
        <w:rPr>
          <w:rFonts w:hint="eastAsia"/>
          <w:b/>
          <w:kern w:val="0"/>
          <w:sz w:val="24"/>
          <w:lang w:eastAsia="zh-CN"/>
        </w:rPr>
        <w:t>废气</w:t>
      </w:r>
      <w:r>
        <w:rPr>
          <w:rFonts w:hint="eastAsia"/>
          <w:b/>
          <w:kern w:val="0"/>
          <w:sz w:val="24"/>
        </w:rPr>
        <w:t>排放评价标准</w:t>
      </w:r>
      <w:bookmarkEnd w:id="119"/>
    </w:p>
    <w:p>
      <w:pPr>
        <w:pStyle w:val="2"/>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有组织废气主要为二吸塔尾气</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highlight w:val="none"/>
        </w:rPr>
        <w:t>二氧化硫、氮氧化物排放浓度均满足山东省《区域性大气污染物综合排放标准》（DB37/2376-2019）表1中重点控制区标准要求，硫酸雾和二氧化硫排放浓度同时满足《硫酸工业污染物排放标准》（GB26132-2010）表6中标准要求，氮氧化物排放浓度同时满足</w:t>
      </w:r>
      <w:r>
        <w:rPr>
          <w:rFonts w:hint="eastAsia" w:ascii="Times New Roman" w:hAnsi="Times New Roman" w:eastAsia="宋体" w:cs="Times New Roman"/>
          <w:highlight w:val="none"/>
          <w:lang w:eastAsia="zh-CN"/>
        </w:rPr>
        <w:t>山东省《锅炉大气污染物排放标准》</w:t>
      </w:r>
      <w:r>
        <w:rPr>
          <w:rFonts w:hint="default" w:ascii="Times New Roman" w:hAnsi="Times New Roman" w:eastAsia="宋体" w:cs="Times New Roman"/>
          <w:highlight w:val="none"/>
        </w:rPr>
        <w:t>（DB37/2374-2018）相关标准要求。</w:t>
      </w:r>
    </w:p>
    <w:p>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sz w:val="24"/>
          <w:szCs w:val="24"/>
          <w:lang w:eastAsia="zh-CN"/>
        </w:rPr>
        <w:t>无组织废气</w:t>
      </w:r>
      <w:r>
        <w:rPr>
          <w:rFonts w:hint="default" w:ascii="Times New Roman" w:hAnsi="Times New Roman" w:eastAsia="宋体" w:cs="Times New Roman"/>
          <w:sz w:val="24"/>
          <w:szCs w:val="24"/>
        </w:rPr>
        <w:t>颗粒物、硫酸雾、二氧化硫</w:t>
      </w:r>
      <w:r>
        <w:rPr>
          <w:rFonts w:hint="default" w:ascii="Times New Roman" w:hAnsi="Times New Roman" w:eastAsia="宋体" w:cs="Times New Roman"/>
          <w:sz w:val="24"/>
          <w:szCs w:val="24"/>
          <w:lang w:eastAsia="zh-CN"/>
        </w:rPr>
        <w:t>、氮氧化物</w:t>
      </w:r>
      <w:r>
        <w:rPr>
          <w:rFonts w:hint="default" w:ascii="Times New Roman" w:hAnsi="Times New Roman" w:eastAsia="宋体" w:cs="Times New Roman"/>
          <w:sz w:val="24"/>
          <w:szCs w:val="24"/>
        </w:rPr>
        <w:t>厂界无组织浓度均达到了《大气污染物综合排放标准》（GB16297-1996）表2中标准要求，厂界无组织硫酸雾、二氧化硫浓度同时满足《硫酸工业污染物排放标准》（GB26132-2010）表8中标准要求。</w:t>
      </w:r>
    </w:p>
    <w:p>
      <w:pPr>
        <w:spacing w:line="480" w:lineRule="exact"/>
        <w:jc w:val="center"/>
        <w:rPr>
          <w:rFonts w:hint="eastAsia" w:ascii="宋体" w:hAnsi="宋体" w:eastAsia="宋体" w:cs="宋体"/>
          <w:sz w:val="24"/>
        </w:rPr>
      </w:pPr>
      <w:bookmarkStart w:id="121" w:name="_Toc6616_WPSOffice_Level2"/>
      <w:r>
        <w:rPr>
          <w:rFonts w:hint="default" w:ascii="Times New Roman" w:hAnsi="Times New Roman" w:eastAsia="宋体" w:cs="Times New Roman"/>
          <w:sz w:val="24"/>
        </w:rPr>
        <w:t>表5-</w:t>
      </w:r>
      <w:r>
        <w:rPr>
          <w:rFonts w:hint="eastAsia" w:cs="Times New Roman"/>
          <w:sz w:val="24"/>
          <w:lang w:val="en-US" w:eastAsia="zh-CN"/>
        </w:rPr>
        <w:t>3</w:t>
      </w:r>
      <w:r>
        <w:rPr>
          <w:rFonts w:hint="default" w:ascii="Times New Roman" w:hAnsi="Times New Roman" w:eastAsia="宋体" w:cs="Times New Roman"/>
          <w:sz w:val="24"/>
        </w:rPr>
        <w:t xml:space="preserve">  </w:t>
      </w:r>
      <w:r>
        <w:rPr>
          <w:rFonts w:hint="eastAsia" w:cs="Times New Roman"/>
          <w:sz w:val="24"/>
          <w:lang w:eastAsia="zh-CN"/>
        </w:rPr>
        <w:t>有组织、</w:t>
      </w:r>
      <w:r>
        <w:rPr>
          <w:rFonts w:hint="default" w:ascii="Times New Roman" w:hAnsi="Times New Roman" w:eastAsia="宋体" w:cs="Times New Roman"/>
          <w:sz w:val="24"/>
        </w:rPr>
        <w:t>无组织</w:t>
      </w:r>
      <w:r>
        <w:rPr>
          <w:rFonts w:hint="eastAsia" w:cs="Times New Roman"/>
          <w:sz w:val="24"/>
          <w:lang w:eastAsia="zh-CN"/>
        </w:rPr>
        <w:t>废气</w:t>
      </w:r>
      <w:r>
        <w:rPr>
          <w:rFonts w:hint="default" w:ascii="Times New Roman" w:hAnsi="Times New Roman" w:eastAsia="宋体" w:cs="Times New Roman"/>
          <w:sz w:val="24"/>
        </w:rPr>
        <w:t>排放评价标准限值</w:t>
      </w:r>
      <w:bookmarkEnd w:id="121"/>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140"/>
        <w:gridCol w:w="999"/>
        <w:gridCol w:w="1593"/>
        <w:gridCol w:w="4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316" w:type="dxa"/>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40" w:type="dxa"/>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999" w:type="dxa"/>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593" w:type="dxa"/>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4806" w:type="dxa"/>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316" w:type="dxa"/>
            <w:vMerge w:val="restart"/>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1140" w:type="dxa"/>
            <w:vAlign w:val="center"/>
          </w:tcPr>
          <w:p>
            <w:pPr>
              <w:adjustRightInd w:val="0"/>
              <w:snapToGrid w:val="0"/>
              <w:spacing w:line="340" w:lineRule="exact"/>
              <w:jc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rPr>
              <w:t>硫酸雾</w:t>
            </w:r>
          </w:p>
        </w:tc>
        <w:tc>
          <w:tcPr>
            <w:tcW w:w="999" w:type="dxa"/>
            <w:vAlign w:val="center"/>
          </w:tcPr>
          <w:p>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5</w:t>
            </w:r>
          </w:p>
        </w:tc>
        <w:tc>
          <w:tcPr>
            <w:tcW w:w="4806" w:type="dxa"/>
            <w:vMerge w:val="restart"/>
            <w:vAlign w:val="center"/>
          </w:tcPr>
          <w:p>
            <w:pPr>
              <w:jc w:val="left"/>
              <w:rPr>
                <w:rFonts w:hint="default" w:ascii="Times New Roman" w:hAnsi="Times New Roman" w:eastAsia="宋体" w:cs="Times New Roman"/>
                <w:color w:val="auto"/>
                <w:sz w:val="21"/>
                <w:szCs w:val="21"/>
              </w:rPr>
            </w:pPr>
            <w:r>
              <w:rPr>
                <w:rFonts w:hint="default"/>
                <w:sz w:val="21"/>
                <w:szCs w:val="21"/>
              </w:rPr>
              <w:t xml:space="preserve">《硫酸工业污染物排放标准》 </w:t>
            </w:r>
            <w:r>
              <w:rPr>
                <w:rFonts w:hint="eastAsia"/>
                <w:sz w:val="21"/>
                <w:szCs w:val="21"/>
              </w:rPr>
              <w:t>(</w:t>
            </w:r>
            <w:r>
              <w:rPr>
                <w:rFonts w:hint="default"/>
                <w:sz w:val="21"/>
                <w:szCs w:val="21"/>
              </w:rPr>
              <w:t>GB26132-2010</w:t>
            </w:r>
            <w:r>
              <w:rPr>
                <w:rFonts w:hint="eastAsia"/>
                <w:sz w:val="21"/>
                <w:szCs w:val="21"/>
              </w:rPr>
              <w:t>)</w:t>
            </w:r>
            <w:r>
              <w:rPr>
                <w:rFonts w:hint="default"/>
                <w:sz w:val="21"/>
                <w:szCs w:val="21"/>
              </w:rPr>
              <w:t>表6</w:t>
            </w:r>
            <w:r>
              <w:rPr>
                <w:rFonts w:hint="eastAsia" w:cs="Times New Roman"/>
                <w:sz w:val="21"/>
                <w:szCs w:val="21"/>
                <w:lang w:eastAsia="zh-CN"/>
              </w:rPr>
              <w:t>及《</w:t>
            </w:r>
            <w:r>
              <w:rPr>
                <w:rFonts w:hint="default" w:ascii="Times New Roman" w:hAnsi="Times New Roman" w:eastAsia="宋体" w:cs="Times New Roman"/>
                <w:sz w:val="21"/>
                <w:szCs w:val="21"/>
              </w:rPr>
              <w:t>区域性大气污染物综合排放标准</w:t>
            </w:r>
            <w:r>
              <w:rPr>
                <w:rFonts w:hint="eastAsia" w:cs="Times New Roman"/>
                <w:sz w:val="21"/>
                <w:szCs w:val="21"/>
                <w:lang w:eastAsia="zh-CN"/>
              </w:rPr>
              <w:t>》</w:t>
            </w:r>
            <w:r>
              <w:rPr>
                <w:rFonts w:hint="default" w:ascii="Times New Roman" w:hAnsi="Times New Roman" w:eastAsia="宋体" w:cs="Times New Roman"/>
                <w:snapToGrid w:val="0"/>
                <w:color w:val="000000"/>
                <w:kern w:val="0"/>
                <w:sz w:val="21"/>
                <w:szCs w:val="21"/>
              </w:rPr>
              <w:t>（DB37/237</w:t>
            </w:r>
            <w:r>
              <w:rPr>
                <w:rFonts w:hint="eastAsia" w:cs="Times New Roman"/>
                <w:snapToGrid w:val="0"/>
                <w:color w:val="000000"/>
                <w:kern w:val="0"/>
                <w:sz w:val="21"/>
                <w:szCs w:val="21"/>
                <w:lang w:val="en-US" w:eastAsia="zh-CN"/>
              </w:rPr>
              <w:t>6</w:t>
            </w:r>
            <w:r>
              <w:rPr>
                <w:rFonts w:hint="default" w:ascii="Times New Roman" w:hAnsi="Times New Roman" w:eastAsia="宋体" w:cs="Times New Roman"/>
                <w:snapToGrid w:val="0"/>
                <w:color w:val="000000"/>
                <w:kern w:val="0"/>
                <w:sz w:val="21"/>
                <w:szCs w:val="21"/>
              </w:rPr>
              <w:t>-201</w:t>
            </w:r>
            <w:r>
              <w:rPr>
                <w:rFonts w:hint="eastAsia" w:cs="Times New Roman"/>
                <w:snapToGrid w:val="0"/>
                <w:color w:val="000000"/>
                <w:kern w:val="0"/>
                <w:sz w:val="21"/>
                <w:szCs w:val="21"/>
                <w:lang w:val="en-US" w:eastAsia="zh-CN"/>
              </w:rPr>
              <w:t>9</w:t>
            </w:r>
            <w:r>
              <w:rPr>
                <w:rFonts w:hint="default" w:ascii="Times New Roman" w:hAnsi="Times New Roman" w:eastAsia="宋体" w:cs="Times New Roman"/>
                <w:snapToGrid w:val="0"/>
                <w:color w:val="000000"/>
                <w:kern w:val="0"/>
                <w:sz w:val="21"/>
                <w:szCs w:val="21"/>
              </w:rPr>
              <w:t>）</w:t>
            </w:r>
            <w:r>
              <w:rPr>
                <w:rFonts w:cs="Times New Roman" w:asciiTheme="minorEastAsia" w:hAnsiTheme="minorEastAsia" w:eastAsiaTheme="minorEastAsia"/>
              </w:rPr>
              <w:t>表1中重点控制区标准要求</w:t>
            </w:r>
            <w:r>
              <w:rPr>
                <w:rFonts w:hint="eastAsia"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316" w:type="dxa"/>
            <w:vMerge w:val="continue"/>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140" w:type="dxa"/>
            <w:vAlign w:val="center"/>
          </w:tcPr>
          <w:p>
            <w:pPr>
              <w:adjustRightInd w:val="0"/>
              <w:snapToGrid w:val="0"/>
              <w:spacing w:line="340" w:lineRule="exact"/>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lang w:val="en-US" w:eastAsia="zh-CN"/>
              </w:rPr>
              <w:t>二氧化硫</w:t>
            </w:r>
          </w:p>
        </w:tc>
        <w:tc>
          <w:tcPr>
            <w:tcW w:w="999" w:type="dxa"/>
            <w:vAlign w:val="center"/>
          </w:tcPr>
          <w:p>
            <w:pPr>
              <w:spacing w:line="36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c>
          <w:tcPr>
            <w:tcW w:w="4806" w:type="dxa"/>
            <w:vMerge w:val="continue"/>
            <w:vAlign w:val="center"/>
          </w:tcPr>
          <w:p>
            <w:pPr>
              <w:jc w:val="left"/>
              <w:rPr>
                <w:rFonts w:hint="default" w:ascii="Times New Roman" w:hAnsi="Times New Roman" w:eastAsia="宋体" w:cs="Times New Roman"/>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5" w:hRule="exact"/>
          <w:jc w:val="center"/>
        </w:trPr>
        <w:tc>
          <w:tcPr>
            <w:tcW w:w="1316" w:type="dxa"/>
            <w:vMerge w:val="continue"/>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140" w:type="dxa"/>
            <w:vAlign w:val="center"/>
          </w:tcPr>
          <w:p>
            <w:pPr>
              <w:adjustRightInd w:val="0"/>
              <w:snapToGrid w:val="0"/>
              <w:spacing w:line="340" w:lineRule="exact"/>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lang w:val="en-US" w:eastAsia="zh-CN"/>
              </w:rPr>
              <w:t>氮氧化物</w:t>
            </w:r>
          </w:p>
        </w:tc>
        <w:tc>
          <w:tcPr>
            <w:tcW w:w="999" w:type="dxa"/>
            <w:vAlign w:val="center"/>
          </w:tcPr>
          <w:p>
            <w:pPr>
              <w:spacing w:line="36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100</w:t>
            </w:r>
          </w:p>
        </w:tc>
        <w:tc>
          <w:tcPr>
            <w:tcW w:w="4806" w:type="dxa"/>
            <w:vAlign w:val="center"/>
          </w:tcPr>
          <w:p>
            <w:pPr>
              <w:jc w:val="left"/>
              <w:rPr>
                <w:rFonts w:hint="default" w:ascii="Times New Roman" w:hAnsi="Times New Roman" w:eastAsia="宋体" w:cs="Times New Roman"/>
                <w:sz w:val="21"/>
                <w:szCs w:val="21"/>
              </w:rPr>
            </w:pPr>
            <w:r>
              <w:rPr>
                <w:rFonts w:hint="eastAsia"/>
                <w:snapToGrid w:val="0"/>
                <w:color w:val="000000"/>
                <w:kern w:val="0"/>
                <w:sz w:val="21"/>
                <w:szCs w:val="21"/>
                <w:lang w:eastAsia="zh-CN"/>
              </w:rPr>
              <w:t>山东省《锅炉大气污染物排放标准》</w:t>
            </w:r>
            <w:r>
              <w:rPr>
                <w:rFonts w:hint="eastAsia"/>
                <w:snapToGrid w:val="0"/>
                <w:color w:val="000000"/>
                <w:kern w:val="0"/>
                <w:sz w:val="21"/>
                <w:szCs w:val="21"/>
              </w:rPr>
              <w:t>（DB37/2374-201</w:t>
            </w:r>
            <w:r>
              <w:rPr>
                <w:rFonts w:hint="eastAsia"/>
                <w:snapToGrid w:val="0"/>
                <w:color w:val="000000"/>
                <w:kern w:val="0"/>
                <w:sz w:val="21"/>
                <w:szCs w:val="21"/>
                <w:lang w:val="en-US" w:eastAsia="zh-CN"/>
              </w:rPr>
              <w:t>8</w:t>
            </w:r>
            <w:r>
              <w:rPr>
                <w:rFonts w:hint="eastAsia"/>
                <w:snapToGrid w:val="0"/>
                <w:color w:val="000000"/>
                <w:kern w:val="0"/>
                <w:sz w:val="21"/>
                <w:szCs w:val="21"/>
              </w:rPr>
              <w:t>）</w:t>
            </w:r>
            <w:r>
              <w:rPr>
                <w:rFonts w:hint="eastAsia" w:cs="Times New Roman"/>
                <w:sz w:val="21"/>
                <w:szCs w:val="21"/>
                <w:lang w:eastAsia="zh-CN"/>
              </w:rPr>
              <w:t>及《</w:t>
            </w:r>
            <w:r>
              <w:rPr>
                <w:rFonts w:hint="default" w:ascii="Times New Roman" w:hAnsi="Times New Roman" w:eastAsia="宋体" w:cs="Times New Roman"/>
                <w:sz w:val="21"/>
                <w:szCs w:val="21"/>
              </w:rPr>
              <w:t>区域性大气污染物综合排放标准</w:t>
            </w:r>
            <w:r>
              <w:rPr>
                <w:rFonts w:hint="eastAsia" w:cs="Times New Roman"/>
                <w:sz w:val="21"/>
                <w:szCs w:val="21"/>
                <w:lang w:eastAsia="zh-CN"/>
              </w:rPr>
              <w:t>》</w:t>
            </w:r>
            <w:r>
              <w:rPr>
                <w:rFonts w:hint="default" w:ascii="Times New Roman" w:hAnsi="Times New Roman" w:eastAsia="宋体" w:cs="Times New Roman"/>
                <w:snapToGrid w:val="0"/>
                <w:color w:val="000000"/>
                <w:kern w:val="0"/>
                <w:sz w:val="21"/>
                <w:szCs w:val="21"/>
              </w:rPr>
              <w:t>（DB37/237</w:t>
            </w:r>
            <w:r>
              <w:rPr>
                <w:rFonts w:hint="default" w:ascii="Times New Roman" w:hAnsi="Times New Roman" w:cs="Times New Roman"/>
                <w:snapToGrid w:val="0"/>
                <w:color w:val="000000"/>
                <w:kern w:val="0"/>
                <w:sz w:val="21"/>
                <w:szCs w:val="21"/>
                <w:vertAlign w:val="baseline"/>
                <w:lang w:val="en-US" w:eastAsia="zh-CN"/>
              </w:rPr>
              <w:t>6</w:t>
            </w:r>
            <w:r>
              <w:rPr>
                <w:rFonts w:hint="default" w:ascii="Times New Roman" w:hAnsi="Times New Roman" w:eastAsia="宋体" w:cs="Times New Roman"/>
                <w:snapToGrid w:val="0"/>
                <w:color w:val="000000"/>
                <w:kern w:val="0"/>
                <w:sz w:val="21"/>
                <w:szCs w:val="21"/>
              </w:rPr>
              <w:t>-201</w:t>
            </w:r>
            <w:r>
              <w:rPr>
                <w:rFonts w:hint="default" w:ascii="Times New Roman" w:hAnsi="Times New Roman" w:cs="Times New Roman"/>
                <w:snapToGrid w:val="0"/>
                <w:color w:val="000000"/>
                <w:kern w:val="0"/>
                <w:sz w:val="21"/>
                <w:szCs w:val="21"/>
                <w:lang w:val="en-US" w:eastAsia="zh-CN"/>
              </w:rPr>
              <w:t>9</w:t>
            </w:r>
            <w:r>
              <w:rPr>
                <w:rFonts w:hint="default" w:ascii="Times New Roman" w:hAnsi="Times New Roman" w:eastAsia="宋体" w:cs="Times New Roman"/>
                <w:snapToGrid w:val="0"/>
                <w:color w:val="000000"/>
                <w:kern w:val="0"/>
                <w:sz w:val="21"/>
                <w:szCs w:val="21"/>
              </w:rPr>
              <w:t>）</w:t>
            </w:r>
            <w:r>
              <w:rPr>
                <w:rFonts w:cs="Times New Roman" w:asciiTheme="minorEastAsia" w:hAnsiTheme="minorEastAsia" w:eastAsiaTheme="minorEastAsia"/>
              </w:rPr>
              <w:t>表1中重点控制区标准要求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exact"/>
          <w:jc w:val="center"/>
        </w:trPr>
        <w:tc>
          <w:tcPr>
            <w:tcW w:w="1316" w:type="dxa"/>
            <w:vMerge w:val="restart"/>
            <w:vAlign w:val="center"/>
          </w:tcPr>
          <w:p>
            <w:pPr>
              <w:spacing w:line="360" w:lineRule="auto"/>
              <w:jc w:val="center"/>
              <w:rPr>
                <w:rFonts w:hint="default" w:ascii="Times New Roman" w:hAnsi="Times New Roman" w:eastAsia="宋体" w:cs="Times New Roman"/>
                <w:color w:val="auto"/>
                <w:sz w:val="21"/>
                <w:szCs w:val="21"/>
                <w:lang w:val="en-US" w:eastAsia="zh-CN"/>
              </w:rPr>
            </w:pPr>
          </w:p>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140" w:type="dxa"/>
            <w:vAlign w:val="center"/>
          </w:tcPr>
          <w:p>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颗粒物</w:t>
            </w:r>
          </w:p>
        </w:tc>
        <w:tc>
          <w:tcPr>
            <w:tcW w:w="999" w:type="dxa"/>
            <w:vAlign w:val="center"/>
          </w:tcPr>
          <w:p>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4806" w:type="dxa"/>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《大气污染物综合排放标准》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GB16297-1996</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w:t>
            </w:r>
            <w:r>
              <w:rPr>
                <w:rFonts w:hint="eastAsia" w:cs="Times New Roman"/>
                <w:sz w:val="21"/>
                <w:szCs w:val="21"/>
                <w:lang w:eastAsia="zh-CN"/>
              </w:rPr>
              <w:t>无组织</w:t>
            </w:r>
            <w:r>
              <w:rPr>
                <w:rFonts w:hint="default" w:ascii="Times New Roman" w:hAnsi="Times New Roman" w:eastAsia="宋体" w:cs="Times New Roman"/>
                <w:sz w:val="21"/>
                <w:szCs w:val="21"/>
              </w:rPr>
              <w:t>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1316" w:type="dxa"/>
            <w:vMerge w:val="continue"/>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140" w:type="dxa"/>
            <w:vAlign w:val="center"/>
          </w:tcPr>
          <w:p>
            <w:pPr>
              <w:adjustRightInd w:val="0"/>
              <w:snapToGrid w:val="0"/>
              <w:spacing w:line="340" w:lineRule="exact"/>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color w:val="auto"/>
                <w:kern w:val="0"/>
                <w:sz w:val="21"/>
                <w:szCs w:val="21"/>
                <w:lang w:val="en-US" w:eastAsia="zh-CN"/>
              </w:rPr>
              <w:t>硫酸雾</w:t>
            </w:r>
          </w:p>
        </w:tc>
        <w:tc>
          <w:tcPr>
            <w:tcW w:w="999" w:type="dxa"/>
            <w:vAlign w:val="center"/>
          </w:tcPr>
          <w:p>
            <w:pPr>
              <w:spacing w:line="36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0.3</w:t>
            </w:r>
          </w:p>
        </w:tc>
        <w:tc>
          <w:tcPr>
            <w:tcW w:w="4806" w:type="dxa"/>
            <w:vMerge w:val="restart"/>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GB16297-1996</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w:t>
            </w:r>
            <w:r>
              <w:rPr>
                <w:rFonts w:hint="eastAsia" w:cs="Times New Roman"/>
                <w:sz w:val="21"/>
                <w:szCs w:val="21"/>
                <w:lang w:eastAsia="zh-CN"/>
              </w:rPr>
              <w:t>无组织</w:t>
            </w:r>
            <w:r>
              <w:rPr>
                <w:rFonts w:hint="default" w:ascii="Times New Roman" w:hAnsi="Times New Roman" w:eastAsia="宋体" w:cs="Times New Roman"/>
                <w:sz w:val="21"/>
                <w:szCs w:val="21"/>
              </w:rPr>
              <w:t>排放限值</w:t>
            </w:r>
            <w:r>
              <w:rPr>
                <w:rFonts w:hint="eastAsia" w:cs="Times New Roman"/>
                <w:sz w:val="21"/>
                <w:szCs w:val="21"/>
                <w:lang w:eastAsia="zh-CN"/>
              </w:rPr>
              <w:t>及</w:t>
            </w:r>
            <w:r>
              <w:rPr>
                <w:rFonts w:hint="eastAsia" w:ascii="Times New Roman" w:hAnsi="Times New Roman" w:eastAsia="宋体" w:cs="Times New Roman"/>
                <w:sz w:val="21"/>
                <w:szCs w:val="21"/>
                <w:lang w:eastAsia="zh-CN"/>
              </w:rPr>
              <w:t>《硫酸工业污染排放标准》（</w:t>
            </w:r>
            <w:r>
              <w:rPr>
                <w:rFonts w:hint="eastAsia" w:ascii="Times New Roman" w:hAnsi="Times New Roman" w:eastAsia="宋体" w:cs="Times New Roman"/>
                <w:sz w:val="21"/>
                <w:szCs w:val="21"/>
                <w:lang w:val="en-US" w:eastAsia="zh-CN"/>
              </w:rPr>
              <w:t>GB26132-2010</w:t>
            </w:r>
            <w:r>
              <w:rPr>
                <w:rFonts w:hint="eastAsia" w:ascii="Times New Roman" w:hAnsi="Times New Roman" w:eastAsia="宋体" w:cs="Times New Roman"/>
                <w:sz w:val="21"/>
                <w:szCs w:val="21"/>
                <w:lang w:eastAsia="zh-CN"/>
              </w:rPr>
              <w:t>）表</w:t>
            </w:r>
            <w:r>
              <w:rPr>
                <w:rFonts w:hint="eastAsia" w:ascii="Times New Roman" w:hAnsi="Times New Roman" w:eastAsia="宋体" w:cs="Times New Roman"/>
                <w:sz w:val="21"/>
                <w:szCs w:val="21"/>
                <w:lang w:val="en-US" w:eastAsia="zh-CN"/>
              </w:rPr>
              <w:t>8排放限值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1316" w:type="dxa"/>
            <w:vMerge w:val="continue"/>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140" w:type="dxa"/>
            <w:vAlign w:val="center"/>
          </w:tcPr>
          <w:p>
            <w:pPr>
              <w:adjustRightInd w:val="0"/>
              <w:snapToGrid w:val="0"/>
              <w:spacing w:line="340" w:lineRule="exact"/>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color w:val="auto"/>
                <w:kern w:val="0"/>
                <w:sz w:val="21"/>
                <w:szCs w:val="21"/>
                <w:lang w:val="en-US" w:eastAsia="zh-CN"/>
              </w:rPr>
              <w:t>二氧化硫</w:t>
            </w:r>
          </w:p>
        </w:tc>
        <w:tc>
          <w:tcPr>
            <w:tcW w:w="999" w:type="dxa"/>
            <w:vAlign w:val="center"/>
          </w:tcPr>
          <w:p>
            <w:pPr>
              <w:spacing w:line="36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4806" w:type="dxa"/>
            <w:vMerge w:val="continue"/>
            <w:vAlign w:val="center"/>
          </w:tcPr>
          <w:p>
            <w:pPr>
              <w:jc w:val="left"/>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1316" w:type="dxa"/>
            <w:vMerge w:val="continue"/>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140" w:type="dxa"/>
            <w:vAlign w:val="center"/>
          </w:tcPr>
          <w:p>
            <w:pPr>
              <w:adjustRightInd w:val="0"/>
              <w:snapToGrid w:val="0"/>
              <w:spacing w:line="340" w:lineRule="exact"/>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color w:val="auto"/>
                <w:kern w:val="0"/>
                <w:sz w:val="21"/>
                <w:szCs w:val="21"/>
                <w:lang w:val="en-US" w:eastAsia="zh-CN"/>
              </w:rPr>
              <w:t>氮氧化物</w:t>
            </w:r>
          </w:p>
        </w:tc>
        <w:tc>
          <w:tcPr>
            <w:tcW w:w="999" w:type="dxa"/>
            <w:vAlign w:val="center"/>
          </w:tcPr>
          <w:p>
            <w:pPr>
              <w:spacing w:line="36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593" w:type="dxa"/>
            <w:vAlign w:val="center"/>
          </w:tcPr>
          <w:p>
            <w:pPr>
              <w:spacing w:line="36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0.12</w:t>
            </w:r>
          </w:p>
        </w:tc>
        <w:tc>
          <w:tcPr>
            <w:tcW w:w="4806" w:type="dxa"/>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GB16297-1996</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w:t>
            </w:r>
            <w:r>
              <w:rPr>
                <w:rFonts w:hint="eastAsia" w:cs="Times New Roman"/>
                <w:sz w:val="21"/>
                <w:szCs w:val="21"/>
                <w:lang w:eastAsia="zh-CN"/>
              </w:rPr>
              <w:t>无组织</w:t>
            </w:r>
            <w:r>
              <w:rPr>
                <w:rFonts w:hint="default" w:ascii="Times New Roman" w:hAnsi="Times New Roman" w:eastAsia="宋体" w:cs="Times New Roman"/>
                <w:sz w:val="21"/>
                <w:szCs w:val="21"/>
              </w:rPr>
              <w:t>排放限值要求</w:t>
            </w:r>
          </w:p>
        </w:tc>
      </w:tr>
    </w:tbl>
    <w:p>
      <w:pPr>
        <w:pStyle w:val="7"/>
        <w:rPr>
          <w:rFonts w:hint="eastAsia" w:ascii="宋体" w:hAnsi="宋体" w:eastAsia="宋体" w:cs="宋体"/>
          <w:b/>
          <w:color w:val="auto"/>
          <w:sz w:val="30"/>
          <w:szCs w:val="30"/>
        </w:rPr>
      </w:pPr>
      <w:bookmarkStart w:id="122" w:name="_Toc6616_WPSOffice_Level3"/>
      <w:r>
        <w:rPr>
          <w:rFonts w:hint="eastAsia" w:ascii="Times New Roman" w:hAnsi="Times New Roman" w:eastAsia="宋体" w:cs="Times New Roman"/>
          <w:b/>
          <w:bCs/>
          <w:color w:val="auto"/>
          <w:kern w:val="2"/>
          <w:sz w:val="28"/>
          <w:szCs w:val="28"/>
          <w:lang w:val="en-US" w:eastAsia="zh-CN" w:bidi="ar-SA"/>
        </w:rPr>
        <w:t>5.1.5</w:t>
      </w:r>
      <w:r>
        <w:rPr>
          <w:rFonts w:hint="eastAsia" w:ascii="宋体" w:hAnsi="宋体" w:eastAsia="宋体" w:cs="宋体"/>
          <w:b/>
          <w:color w:val="auto"/>
          <w:sz w:val="24"/>
        </w:rPr>
        <w:t xml:space="preserve"> </w:t>
      </w:r>
      <w:r>
        <w:rPr>
          <w:rFonts w:hint="eastAsia" w:ascii="宋体" w:hAnsi="宋体" w:eastAsia="宋体" w:cs="宋体"/>
          <w:b/>
          <w:color w:val="auto"/>
          <w:sz w:val="28"/>
          <w:szCs w:val="28"/>
        </w:rPr>
        <w:t>监测结果</w:t>
      </w:r>
      <w:bookmarkEnd w:id="120"/>
      <w:bookmarkEnd w:id="122"/>
    </w:p>
    <w:p>
      <w:pPr>
        <w:spacing w:before="62" w:beforeLines="20" w:line="460" w:lineRule="exact"/>
        <w:rPr>
          <w:rFonts w:hint="default" w:ascii="Times New Roman" w:hAnsi="Times New Roman" w:eastAsia="宋体" w:cs="Times New Roman"/>
          <w:b/>
          <w:bCs/>
          <w:sz w:val="28"/>
          <w:szCs w:val="28"/>
        </w:rPr>
      </w:pPr>
      <w:bookmarkStart w:id="123" w:name="_Toc5021_WPSOffice_Level2"/>
      <w:r>
        <w:rPr>
          <w:rFonts w:hint="default" w:ascii="Times New Roman" w:hAnsi="Times New Roman" w:eastAsia="宋体" w:cs="Times New Roman"/>
          <w:b/>
          <w:bCs/>
          <w:sz w:val="28"/>
          <w:szCs w:val="28"/>
        </w:rPr>
        <w:t>5.1.5.</w:t>
      </w:r>
      <w:r>
        <w:rPr>
          <w:rFonts w:hint="eastAsia" w:cs="Times New Roman"/>
          <w:b/>
          <w:bCs/>
          <w:sz w:val="28"/>
          <w:szCs w:val="28"/>
          <w:lang w:val="en-US" w:eastAsia="zh-CN"/>
        </w:rPr>
        <w:t>1</w:t>
      </w:r>
      <w:r>
        <w:rPr>
          <w:rFonts w:hint="default" w:ascii="Times New Roman" w:hAnsi="Times New Roman" w:eastAsia="宋体" w:cs="Times New Roman"/>
          <w:b/>
          <w:bCs/>
          <w:sz w:val="28"/>
          <w:szCs w:val="28"/>
        </w:rPr>
        <w:t xml:space="preserve"> 无组织废气监测结果</w:t>
      </w:r>
      <w:bookmarkEnd w:id="123"/>
    </w:p>
    <w:p>
      <w:pPr>
        <w:autoSpaceDE w:val="0"/>
        <w:autoSpaceDN w:val="0"/>
        <w:adjustRightInd w:val="0"/>
        <w:spacing w:line="460" w:lineRule="exact"/>
        <w:ind w:firstLine="480" w:firstLineChars="200"/>
        <w:jc w:val="left"/>
        <w:rPr>
          <w:rFonts w:hint="default" w:ascii="Times New Roman" w:hAnsi="Times New Roman" w:eastAsia="宋体" w:cs="Times New Roman"/>
          <w:b w:val="0"/>
          <w:bCs w:val="0"/>
          <w:sz w:val="24"/>
        </w:rPr>
      </w:pPr>
      <w:r>
        <w:rPr>
          <w:rFonts w:hint="eastAsia"/>
          <w:b w:val="0"/>
          <w:bCs w:val="0"/>
          <w:sz w:val="24"/>
        </w:rPr>
        <w:t>监测期间气象参数见表5-</w:t>
      </w:r>
      <w:r>
        <w:rPr>
          <w:rFonts w:hint="eastAsia"/>
          <w:b w:val="0"/>
          <w:bCs w:val="0"/>
          <w:sz w:val="24"/>
          <w:lang w:val="en-US" w:eastAsia="zh-CN"/>
        </w:rPr>
        <w:t>4</w:t>
      </w:r>
      <w:r>
        <w:rPr>
          <w:rFonts w:hint="eastAsia"/>
          <w:b w:val="0"/>
          <w:bCs w:val="0"/>
          <w:sz w:val="24"/>
        </w:rPr>
        <w:t>。</w:t>
      </w:r>
    </w:p>
    <w:p>
      <w:pPr>
        <w:adjustRightInd w:val="0"/>
        <w:snapToGrid w:val="0"/>
        <w:spacing w:line="460" w:lineRule="exact"/>
        <w:jc w:val="center"/>
        <w:rPr>
          <w:rFonts w:hint="default" w:ascii="Times New Roman" w:hAnsi="Times New Roman" w:eastAsia="宋体" w:cs="Times New Roman"/>
          <w:bCs/>
          <w:sz w:val="24"/>
          <w:highlight w:val="none"/>
        </w:rPr>
      </w:pPr>
      <w:bookmarkStart w:id="124" w:name="_Toc6402_WPSOffice_Level2"/>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4</w:t>
      </w:r>
      <w:r>
        <w:rPr>
          <w:rFonts w:hint="default" w:ascii="Times New Roman" w:hAnsi="Times New Roman" w:eastAsia="宋体" w:cs="Times New Roman"/>
          <w:bCs/>
          <w:sz w:val="24"/>
          <w:highlight w:val="none"/>
        </w:rPr>
        <w:t xml:space="preserve">  监测期间气象参数表</w:t>
      </w:r>
      <w:bookmarkEnd w:id="124"/>
    </w:p>
    <w:tbl>
      <w:tblPr>
        <w:tblStyle w:val="28"/>
        <w:tblW w:w="102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885"/>
        <w:gridCol w:w="1215"/>
        <w:gridCol w:w="1328"/>
        <w:gridCol w:w="1860"/>
        <w:gridCol w:w="1125"/>
        <w:gridCol w:w="16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227"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采样日期</w:t>
            </w:r>
          </w:p>
        </w:tc>
        <w:tc>
          <w:tcPr>
            <w:tcW w:w="885"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天气</w:t>
            </w:r>
          </w:p>
        </w:tc>
        <w:tc>
          <w:tcPr>
            <w:tcW w:w="1215"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气温</w:t>
            </w:r>
          </w:p>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w:t>
            </w:r>
          </w:p>
        </w:tc>
        <w:tc>
          <w:tcPr>
            <w:tcW w:w="1328"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气压</w:t>
            </w:r>
          </w:p>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（hPa）</w:t>
            </w:r>
          </w:p>
        </w:tc>
        <w:tc>
          <w:tcPr>
            <w:tcW w:w="1860"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相对湿度</w:t>
            </w:r>
          </w:p>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（%RH）</w:t>
            </w:r>
          </w:p>
        </w:tc>
        <w:tc>
          <w:tcPr>
            <w:tcW w:w="1125"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风向</w:t>
            </w:r>
          </w:p>
        </w:tc>
        <w:tc>
          <w:tcPr>
            <w:tcW w:w="1647"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风速（m/s）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2020.09.25（昼间）</w:t>
            </w:r>
          </w:p>
        </w:tc>
        <w:tc>
          <w:tcPr>
            <w:tcW w:w="88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24.9</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1007.7</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42</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rPr>
            </w:pPr>
          </w:p>
        </w:tc>
        <w:tc>
          <w:tcPr>
            <w:tcW w:w="88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26.1</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1006.8</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40</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rPr>
            </w:pPr>
          </w:p>
        </w:tc>
        <w:tc>
          <w:tcPr>
            <w:tcW w:w="885" w:type="dxa"/>
            <w:tcBorders>
              <w:tl2br w:val="nil"/>
              <w:tr2bl w:val="nil"/>
            </w:tcBorders>
            <w:shd w:val="clear" w:color="auto" w:fill="auto"/>
            <w:vAlign w:val="center"/>
          </w:tcPr>
          <w:p>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27.7</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1006.2</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color w:val="auto"/>
                <w:sz w:val="21"/>
                <w:szCs w:val="21"/>
                <w:highlight w:val="none"/>
                <w:shd w:val="clear"/>
                <w:lang w:val="en-US" w:eastAsia="zh-CN"/>
              </w:rPr>
              <w:t>37</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p>
        </w:tc>
        <w:tc>
          <w:tcPr>
            <w:tcW w:w="885" w:type="dxa"/>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28.3</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1005.5</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color w:val="auto"/>
                <w:sz w:val="21"/>
                <w:szCs w:val="21"/>
                <w:highlight w:val="none"/>
                <w:shd w:val="clear"/>
                <w:lang w:val="en-US" w:eastAsia="zh-CN"/>
              </w:rPr>
              <w:t>36</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2020.09.25（夜间）</w:t>
            </w:r>
          </w:p>
        </w:tc>
        <w:tc>
          <w:tcPr>
            <w:tcW w:w="885" w:type="dxa"/>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20.6</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1008.3</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color w:val="auto"/>
                <w:sz w:val="21"/>
                <w:szCs w:val="21"/>
                <w:highlight w:val="none"/>
                <w:shd w:val="clear"/>
                <w:lang w:val="en-US" w:eastAsia="zh-CN"/>
              </w:rPr>
              <w:t>36</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restart"/>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2020.09.26（昼间）</w:t>
            </w:r>
          </w:p>
        </w:tc>
        <w:tc>
          <w:tcPr>
            <w:tcW w:w="88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25.2</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1011.1</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43</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p>
        </w:tc>
        <w:tc>
          <w:tcPr>
            <w:tcW w:w="88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26.5</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1010.9</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41</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p>
        </w:tc>
        <w:tc>
          <w:tcPr>
            <w:tcW w:w="885" w:type="dxa"/>
            <w:tcBorders>
              <w:tl2br w:val="nil"/>
              <w:tr2bl w:val="nil"/>
            </w:tcBorders>
            <w:shd w:val="clear" w:color="auto" w:fill="auto"/>
            <w:vAlign w:val="center"/>
          </w:tcPr>
          <w:p>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27.6</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1010.2</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39</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vMerge w:val="continue"/>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p>
        </w:tc>
        <w:tc>
          <w:tcPr>
            <w:tcW w:w="885" w:type="dxa"/>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29.1</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1009.6</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35</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shd w:val="clear"/>
                <w:lang w:val="en-US" w:eastAsia="zh-CN"/>
              </w:rPr>
            </w:pPr>
            <w:r>
              <w:rPr>
                <w:rFonts w:hint="eastAsia" w:ascii="Times New Roman" w:hAnsi="Times New Roman" w:cs="Times New Roman"/>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7" w:type="dxa"/>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2020.09.26（夜间）</w:t>
            </w:r>
          </w:p>
        </w:tc>
        <w:tc>
          <w:tcPr>
            <w:tcW w:w="885" w:type="dxa"/>
            <w:tcBorders>
              <w:tl2br w:val="nil"/>
              <w:tr2bl w:val="nil"/>
            </w:tcBorders>
            <w:shd w:val="clear" w:color="auto" w:fill="auto"/>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晴</w:t>
            </w:r>
          </w:p>
        </w:tc>
        <w:tc>
          <w:tcPr>
            <w:tcW w:w="12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20.9</w:t>
            </w:r>
          </w:p>
        </w:tc>
        <w:tc>
          <w:tcPr>
            <w:tcW w:w="13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1011.6</w:t>
            </w:r>
          </w:p>
        </w:tc>
        <w:tc>
          <w:tcPr>
            <w:tcW w:w="186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shd w:val="clear"/>
                <w:lang w:val="en-US" w:eastAsia="zh-CN"/>
              </w:rPr>
            </w:pPr>
            <w:r>
              <w:rPr>
                <w:rFonts w:hint="eastAsia" w:ascii="Times New Roman" w:hAnsi="Times New Roman" w:cs="Times New Roman"/>
                <w:color w:val="auto"/>
                <w:sz w:val="21"/>
                <w:szCs w:val="21"/>
                <w:highlight w:val="none"/>
                <w:shd w:val="clear"/>
                <w:lang w:val="en-US" w:eastAsia="zh-CN"/>
              </w:rPr>
              <w:t>35</w:t>
            </w:r>
          </w:p>
        </w:tc>
        <w:tc>
          <w:tcPr>
            <w:tcW w:w="11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N</w:t>
            </w:r>
          </w:p>
        </w:tc>
        <w:tc>
          <w:tcPr>
            <w:tcW w:w="164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shd w:val="clear"/>
                <w:lang w:val="en-US" w:eastAsia="zh-CN"/>
              </w:rPr>
            </w:pPr>
            <w:r>
              <w:rPr>
                <w:rFonts w:hint="eastAsia" w:ascii="Times New Roman" w:hAnsi="Times New Roman" w:cs="Times New Roman"/>
                <w:sz w:val="21"/>
                <w:szCs w:val="21"/>
                <w:highlight w:val="none"/>
                <w:lang w:val="en-US" w:eastAsia="zh-CN"/>
              </w:rPr>
              <w:t>1.9</w:t>
            </w:r>
          </w:p>
        </w:tc>
      </w:tr>
    </w:tbl>
    <w:p>
      <w:pPr>
        <w:adjustRightInd w:val="0"/>
        <w:snapToGrid w:val="0"/>
        <w:spacing w:line="240" w:lineRule="auto"/>
        <w:rPr>
          <w:rFonts w:hint="eastAsia"/>
          <w:sz w:val="24"/>
        </w:rPr>
      </w:pPr>
    </w:p>
    <w:p>
      <w:pPr>
        <w:adjustRightInd w:val="0"/>
        <w:snapToGrid w:val="0"/>
        <w:spacing w:line="360" w:lineRule="auto"/>
        <w:rPr>
          <w:rFonts w:hint="eastAsia"/>
          <w:sz w:val="24"/>
          <w:lang w:val="en-US" w:eastAsia="zh-CN"/>
        </w:rPr>
      </w:pPr>
      <w:r>
        <w:rPr>
          <w:rFonts w:hint="eastAsia"/>
          <w:sz w:val="24"/>
        </w:rPr>
        <w:t>厂界无组织排放监测结果见表5-</w:t>
      </w:r>
      <w:r>
        <w:rPr>
          <w:rFonts w:hint="eastAsia"/>
          <w:sz w:val="24"/>
          <w:lang w:val="en-US" w:eastAsia="zh-CN"/>
        </w:rPr>
        <w:t>5、5-6、5-7、5-8、图5-1</w:t>
      </w:r>
    </w:p>
    <w:p>
      <w:pPr>
        <w:adjustRightInd w:val="0"/>
        <w:snapToGrid w:val="0"/>
        <w:spacing w:line="240" w:lineRule="auto"/>
        <w:jc w:val="center"/>
        <w:rPr>
          <w:rFonts w:hint="default" w:ascii="Times New Roman" w:hAnsi="Times New Roman" w:eastAsia="宋体" w:cs="Times New Roman"/>
          <w:bCs/>
          <w:szCs w:val="21"/>
        </w:rPr>
      </w:pPr>
      <w:bookmarkStart w:id="125" w:name="_Toc17719_WPSOffice_Level2"/>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5</w:t>
      </w:r>
      <w:r>
        <w:rPr>
          <w:rFonts w:hint="default" w:ascii="Times New Roman" w:hAnsi="Times New Roman" w:eastAsia="宋体" w:cs="Times New Roman"/>
          <w:bCs/>
          <w:sz w:val="24"/>
          <w:highlight w:val="none"/>
        </w:rPr>
        <w:t>厂界</w:t>
      </w:r>
      <w:r>
        <w:rPr>
          <w:rFonts w:hint="default" w:ascii="Times New Roman" w:hAnsi="Times New Roman" w:eastAsia="宋体" w:cs="Times New Roman"/>
          <w:bCs/>
          <w:sz w:val="24"/>
        </w:rPr>
        <w:t>无组织</w:t>
      </w:r>
      <w:r>
        <w:rPr>
          <w:rFonts w:hint="eastAsia" w:cs="Times New Roman"/>
          <w:bCs/>
          <w:sz w:val="24"/>
          <w:lang w:val="en-US" w:eastAsia="zh-CN"/>
        </w:rPr>
        <w:t>颗粒物</w:t>
      </w:r>
      <w:r>
        <w:rPr>
          <w:rFonts w:hint="default" w:ascii="Times New Roman" w:hAnsi="Times New Roman" w:eastAsia="宋体" w:cs="Times New Roman"/>
          <w:bCs/>
          <w:sz w:val="24"/>
        </w:rPr>
        <w:t xml:space="preserve">排放监测结果 </w:t>
      </w:r>
      <w:r>
        <w:rPr>
          <w:rFonts w:hint="default" w:ascii="Times New Roman" w:hAnsi="Times New Roman" w:eastAsia="宋体" w:cs="Times New Roman"/>
          <w:bCs/>
          <w:szCs w:val="21"/>
        </w:rPr>
        <w:t>（单位：mg/m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bookmarkEnd w:id="125"/>
    </w:p>
    <w:tbl>
      <w:tblPr>
        <w:tblStyle w:val="28"/>
        <w:tblW w:w="10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1000"/>
        <w:gridCol w:w="1000"/>
        <w:gridCol w:w="1000"/>
        <w:gridCol w:w="1000"/>
        <w:gridCol w:w="1"/>
        <w:gridCol w:w="999"/>
        <w:gridCol w:w="1000"/>
        <w:gridCol w:w="1000"/>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检测项目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颗粒物（mg/m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 w:val="0"/>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检测依据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《环境空气 总悬浮颗粒物的测定 重量法》(GB/T 15432-1995)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检测时间</w:t>
            </w:r>
          </w:p>
        </w:tc>
        <w:tc>
          <w:tcPr>
            <w:tcW w:w="4001" w:type="dxa"/>
            <w:gridSpan w:val="5"/>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2020.09.25</w:t>
            </w:r>
          </w:p>
        </w:tc>
        <w:tc>
          <w:tcPr>
            <w:tcW w:w="4001" w:type="dxa"/>
            <w:gridSpan w:val="4"/>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77" w:type="dxa"/>
            <w:tcBorders>
              <w:tl2br w:val="nil"/>
              <w:tr2bl w:val="nil"/>
            </w:tcBorders>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pPr>
              <w:pStyle w:val="2"/>
              <w:ind w:left="0" w:leftChars="0" w:firstLine="211" w:firstLineChars="100"/>
              <w:jc w:val="center"/>
              <w:rPr>
                <w:rFonts w:hint="default" w:ascii="Times New Roman" w:hAnsi="Times New Roman" w:eastAsia="宋体" w:cs="Times New Roman"/>
                <w:b/>
                <w:bCs w:val="0"/>
                <w:kern w:val="2"/>
                <w:sz w:val="21"/>
                <w:szCs w:val="21"/>
                <w:highlight w:val="none"/>
                <w:lang w:val="en-US" w:eastAsia="zh-CN" w:bidi="ar-SA"/>
              </w:rPr>
            </w:pPr>
          </w:p>
          <w:p>
            <w:pPr>
              <w:pStyle w:val="2"/>
              <w:snapToGrid w:val="0"/>
              <w:spacing w:line="240" w:lineRule="auto"/>
              <w:ind w:left="0" w:leftChars="0" w:firstLine="0" w:firstLineChars="0"/>
              <w:jc w:val="both"/>
              <mc:AlternateContent>
                <mc:Choice Requires="wpsCustomData">
                  <wpsCustomData:diagonalParaType/>
                </mc:Choice>
              </mc:AlternateContent>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eastAsia="宋体" w:cs="Times New Roman"/>
                <w:b/>
                <w:bCs w:val="0"/>
                <w:kern w:val="2"/>
                <w:sz w:val="21"/>
                <w:szCs w:val="21"/>
                <w:highlight w:val="none"/>
                <w:lang w:val="en-US" w:eastAsia="zh-CN" w:bidi="ar-SA"/>
              </w:rPr>
              <w:t>检测点位</w:t>
            </w:r>
          </w:p>
          <w:p>
            <w:pPr>
              <w:pStyle w:val="2"/>
              <w:ind w:left="0" w:leftChars="0"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kern w:val="2"/>
                <w:sz w:val="21"/>
                <w:szCs w:val="21"/>
                <w:highlight w:val="none"/>
                <w:lang w:val="en-US" w:eastAsia="zh-CN" w:bidi="ar-SA"/>
              </w:rPr>
              <w:t xml:space="preserve">   检测结果</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上风向1#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0.233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0.317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0.284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0.267</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0.217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0.283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0.250</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下风向2#</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0.367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0.417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0.400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0.350</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0.350</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default" w:ascii="Times New Roman" w:hAnsi="Times New Roman" w:cs="Times New Roman"/>
                <w:lang w:val="en-US" w:eastAsia="zh-CN"/>
              </w:rPr>
              <w:t>0.400</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default" w:ascii="Times New Roman" w:hAnsi="Times New Roman" w:cs="Times New Roman"/>
                <w:lang w:val="en-US" w:eastAsia="zh-CN"/>
              </w:rPr>
              <w:t>0.417</w:t>
            </w:r>
          </w:p>
        </w:tc>
        <w:tc>
          <w:tcPr>
            <w:tcW w:w="1002"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default" w:ascii="Times New Roman" w:hAnsi="Times New Roman" w:cs="Times New Roman"/>
                <w:lang w:val="en-US" w:eastAsia="zh-CN"/>
              </w:rPr>
              <w:t>0.433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0.383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0.333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0.433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0.367</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0.367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0.450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0.383</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0.417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0.434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0.418</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0.383</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0.367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0.383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0.434</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lang w:val="en-US" w:eastAsia="zh-CN"/>
              </w:rPr>
              <w:t>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备注</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bCs/>
                <w:sz w:val="21"/>
                <w:szCs w:val="21"/>
                <w:lang w:val="en-US" w:eastAsia="zh-CN"/>
              </w:rPr>
              <w:t>检测点位见附图</w:t>
            </w:r>
          </w:p>
        </w:tc>
      </w:tr>
    </w:tbl>
    <w:p>
      <w:pPr>
        <w:pStyle w:val="2"/>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Cs/>
          <w:highlight w:val="none"/>
        </w:rPr>
        <w:t>验收监测期间，厂界无组织</w:t>
      </w:r>
      <w:r>
        <w:rPr>
          <w:rFonts w:hint="eastAsia" w:cs="Times New Roman"/>
          <w:b w:val="0"/>
          <w:bCs/>
          <w:sz w:val="24"/>
          <w:szCs w:val="24"/>
          <w:lang w:val="en-US" w:eastAsia="zh-CN"/>
        </w:rPr>
        <w:t>颗粒物</w:t>
      </w:r>
      <w:r>
        <w:rPr>
          <w:rFonts w:hint="eastAsia" w:cs="Times New Roman"/>
          <w:bCs/>
          <w:kern w:val="2"/>
          <w:sz w:val="24"/>
          <w:szCs w:val="24"/>
          <w:highlight w:val="none"/>
          <w:lang w:val="en-US" w:eastAsia="zh-CN" w:bidi="ar-SA"/>
        </w:rPr>
        <w:t>两天测得</w:t>
      </w:r>
      <w:r>
        <w:rPr>
          <w:rFonts w:hint="default" w:ascii="Times New Roman" w:hAnsi="Times New Roman" w:cs="Times New Roman"/>
          <w:sz w:val="24"/>
          <w:szCs w:val="24"/>
          <w:highlight w:val="none"/>
        </w:rPr>
        <w:t>最大排放浓度</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0.450mg/m</w:t>
      </w:r>
      <w:r>
        <w:rPr>
          <w:rFonts w:hint="eastAsia"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满足</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大气</w:t>
      </w:r>
      <w:r>
        <w:rPr>
          <w:rFonts w:hint="default" w:ascii="Times New Roman" w:hAnsi="Times New Roman" w:eastAsia="宋体" w:cs="Times New Roman"/>
          <w:color w:val="auto"/>
          <w:sz w:val="24"/>
          <w:szCs w:val="24"/>
        </w:rPr>
        <w:t>污染物</w:t>
      </w:r>
      <w:r>
        <w:rPr>
          <w:rFonts w:hint="eastAsia" w:cs="Times New Roman"/>
          <w:color w:val="auto"/>
          <w:sz w:val="24"/>
          <w:szCs w:val="24"/>
          <w:lang w:eastAsia="zh-CN"/>
        </w:rPr>
        <w:t>综合</w:t>
      </w:r>
      <w:r>
        <w:rPr>
          <w:rFonts w:hint="default" w:ascii="Times New Roman" w:hAnsi="Times New Roman" w:eastAsia="宋体" w:cs="Times New Roman"/>
          <w:color w:val="auto"/>
          <w:sz w:val="24"/>
          <w:szCs w:val="24"/>
        </w:rPr>
        <w:t>排放标准》 (GB</w:t>
      </w:r>
      <w:r>
        <w:rPr>
          <w:rFonts w:hint="default" w:ascii="Times New Roman" w:hAnsi="Times New Roman" w:cs="Times New Roman"/>
          <w:color w:val="auto"/>
          <w:sz w:val="24"/>
          <w:szCs w:val="24"/>
          <w:lang w:val="en-US" w:eastAsia="zh-CN"/>
        </w:rPr>
        <w:t xml:space="preserve"> 16297</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1996</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表</w:t>
      </w:r>
      <w:r>
        <w:rPr>
          <w:rFonts w:hint="eastAsia" w:cs="Times New Roman"/>
          <w:color w:val="auto"/>
          <w:sz w:val="24"/>
          <w:szCs w:val="24"/>
          <w:lang w:val="en-US" w:eastAsia="zh-CN"/>
        </w:rPr>
        <w:t>2无组织排放限值要求</w:t>
      </w:r>
      <w:r>
        <w:rPr>
          <w:rFonts w:hint="default" w:ascii="Times New Roman" w:hAnsi="Times New Roman" w:cs="Times New Roman"/>
          <w:color w:val="auto"/>
          <w:sz w:val="24"/>
          <w:szCs w:val="24"/>
          <w:highlight w:val="none"/>
        </w:rPr>
        <w:t>。</w:t>
      </w:r>
    </w:p>
    <w:p>
      <w:pPr>
        <w:adjustRightInd w:val="0"/>
        <w:snapToGrid w:val="0"/>
        <w:spacing w:line="360" w:lineRule="auto"/>
        <w:jc w:val="center"/>
        <w:rPr>
          <w:rFonts w:hint="default" w:ascii="Times New Roman" w:hAnsi="Times New Roman" w:eastAsia="宋体" w:cs="Times New Roman"/>
          <w:bCs/>
          <w:szCs w:val="21"/>
        </w:rPr>
      </w:pPr>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6</w:t>
      </w:r>
      <w:r>
        <w:rPr>
          <w:rFonts w:hint="default" w:ascii="Times New Roman" w:hAnsi="Times New Roman" w:eastAsia="宋体" w:cs="Times New Roman"/>
          <w:bCs/>
          <w:sz w:val="24"/>
          <w:highlight w:val="none"/>
        </w:rPr>
        <w:t>厂界</w:t>
      </w:r>
      <w:r>
        <w:rPr>
          <w:rFonts w:hint="default" w:ascii="Times New Roman" w:hAnsi="Times New Roman" w:eastAsia="宋体" w:cs="Times New Roman"/>
          <w:bCs/>
          <w:sz w:val="24"/>
        </w:rPr>
        <w:t>无组织</w:t>
      </w:r>
      <w:r>
        <w:rPr>
          <w:rFonts w:hint="eastAsia" w:cs="Times New Roman"/>
          <w:bCs/>
          <w:sz w:val="24"/>
          <w:lang w:val="en-US" w:eastAsia="zh-CN"/>
        </w:rPr>
        <w:t>硫酸雾</w:t>
      </w:r>
      <w:r>
        <w:rPr>
          <w:rFonts w:hint="default" w:ascii="Times New Roman" w:hAnsi="Times New Roman" w:eastAsia="宋体" w:cs="Times New Roman"/>
          <w:bCs/>
          <w:sz w:val="24"/>
        </w:rPr>
        <w:t xml:space="preserve">排放监测结果 </w:t>
      </w:r>
      <w:r>
        <w:rPr>
          <w:rFonts w:hint="default" w:ascii="Times New Roman" w:hAnsi="Times New Roman" w:eastAsia="宋体" w:cs="Times New Roman"/>
          <w:bCs/>
          <w:szCs w:val="21"/>
        </w:rPr>
        <w:t>（单位：mg/m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bl>
      <w:tblPr>
        <w:tblStyle w:val="28"/>
        <w:tblW w:w="10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1000"/>
        <w:gridCol w:w="1000"/>
        <w:gridCol w:w="1000"/>
        <w:gridCol w:w="1000"/>
        <w:gridCol w:w="1"/>
        <w:gridCol w:w="999"/>
        <w:gridCol w:w="1000"/>
        <w:gridCol w:w="1000"/>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line="360" w:lineRule="auto"/>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检测项目</w:t>
            </w:r>
          </w:p>
        </w:tc>
        <w:tc>
          <w:tcPr>
            <w:tcW w:w="8002" w:type="dxa"/>
            <w:gridSpan w:val="9"/>
            <w:tcBorders>
              <w:tl2br w:val="nil"/>
              <w:tr2bl w:val="nil"/>
            </w:tcBorders>
            <w:noWrap w:val="0"/>
            <w:vAlign w:val="center"/>
          </w:tcPr>
          <w:p>
            <w:pPr>
              <w:spacing w:beforeAutospacing="0" w:line="360" w:lineRule="auto"/>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b w:val="0"/>
                <w:bCs/>
                <w:sz w:val="21"/>
                <w:szCs w:val="21"/>
                <w:lang w:val="en-US" w:eastAsia="zh-CN"/>
              </w:rPr>
              <w:t>硫酸雾</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 w:val="0"/>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eastAsia="zh-CN"/>
              </w:rPr>
            </w:pPr>
            <w:r>
              <w:rPr>
                <w:rFonts w:hint="eastAsia" w:cs="Times New Roman"/>
                <w:b/>
                <w:sz w:val="21"/>
                <w:szCs w:val="21"/>
                <w:lang w:eastAsia="zh-CN"/>
              </w:rPr>
              <w:t>检测依据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shd w:val="clear" w:color="auto" w:fill="auto"/>
                <w:lang w:eastAsia="zh-CN"/>
              </w:rPr>
            </w:pPr>
            <w:r>
              <w:rPr>
                <w:rFonts w:hint="default" w:ascii="Times New Roman" w:hAnsi="Times New Roman" w:eastAsia="宋体" w:cs="Times New Roman"/>
                <w:b w:val="0"/>
                <w:bCs/>
                <w:sz w:val="21"/>
                <w:szCs w:val="21"/>
                <w:shd w:val="clear" w:color="auto" w:fill="auto"/>
                <w:lang w:eastAsia="zh-CN"/>
              </w:rPr>
              <w:t xml:space="preserve">《空气和废气监测分析方法》第五篇 第 四章 四（一）铬酸钡分光光度法 </w:t>
            </w:r>
          </w:p>
          <w:p>
            <w:pPr>
              <w:spacing w:beforeAutospacing="0"/>
              <w:jc w:val="center"/>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sz w:val="21"/>
                <w:szCs w:val="21"/>
                <w:shd w:val="clear" w:color="auto" w:fill="auto"/>
                <w:lang w:eastAsia="zh-CN"/>
              </w:rPr>
              <w:t>国家环保总局 2003 年第四版（增补版）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检测时间</w:t>
            </w:r>
          </w:p>
        </w:tc>
        <w:tc>
          <w:tcPr>
            <w:tcW w:w="4001" w:type="dxa"/>
            <w:gridSpan w:val="5"/>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2020.09.25</w:t>
            </w:r>
          </w:p>
        </w:tc>
        <w:tc>
          <w:tcPr>
            <w:tcW w:w="4001" w:type="dxa"/>
            <w:gridSpan w:val="4"/>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77" w:type="dxa"/>
            <w:tcBorders>
              <w:tl2br w:val="nil"/>
              <w:tr2bl w:val="nil"/>
            </w:tcBorders>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pPr>
              <w:pStyle w:val="2"/>
              <w:ind w:left="0" w:leftChars="0" w:firstLine="211" w:firstLineChars="100"/>
              <w:jc w:val="center"/>
              <w:rPr>
                <w:rFonts w:hint="default" w:ascii="Times New Roman" w:hAnsi="Times New Roman" w:eastAsia="宋体" w:cs="Times New Roman"/>
                <w:b/>
                <w:bCs w:val="0"/>
                <w:kern w:val="2"/>
                <w:sz w:val="21"/>
                <w:szCs w:val="21"/>
                <w:highlight w:val="none"/>
                <w:lang w:val="en-US" w:eastAsia="zh-CN" w:bidi="ar-SA"/>
              </w:rPr>
            </w:pPr>
          </w:p>
          <w:p>
            <w:pPr>
              <w:pStyle w:val="2"/>
              <w:snapToGrid w:val="0"/>
              <w:spacing w:line="240" w:lineRule="auto"/>
              <w:ind w:left="0" w:leftChars="0" w:firstLine="0" w:firstLineChars="0"/>
              <w:jc w:val="both"/>
              <mc:AlternateContent>
                <mc:Choice Requires="wpsCustomData">
                  <wpsCustomData:diagonalParaType/>
                </mc:Choice>
              </mc:AlternateContent>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eastAsia="宋体" w:cs="Times New Roman"/>
                <w:b/>
                <w:bCs w:val="0"/>
                <w:kern w:val="2"/>
                <w:sz w:val="21"/>
                <w:szCs w:val="21"/>
                <w:highlight w:val="none"/>
                <w:lang w:val="en-US" w:eastAsia="zh-CN" w:bidi="ar-SA"/>
              </w:rPr>
              <w:t>检测点位</w:t>
            </w:r>
          </w:p>
          <w:p>
            <w:pPr>
              <w:pStyle w:val="2"/>
              <w:ind w:left="0" w:leftChars="0"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kern w:val="2"/>
                <w:sz w:val="21"/>
                <w:szCs w:val="21"/>
                <w:highlight w:val="none"/>
                <w:lang w:val="en-US" w:eastAsia="zh-CN" w:bidi="ar-SA"/>
              </w:rPr>
              <w:t xml:space="preserve">   检测结果</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上风向1#</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0.21</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0.22</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0.23</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0.22</w:t>
            </w:r>
          </w:p>
        </w:tc>
        <w:tc>
          <w:tcPr>
            <w:tcW w:w="1000" w:type="dxa"/>
            <w:gridSpan w:val="2"/>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0.22</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0.21</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0.21</w:t>
            </w:r>
          </w:p>
        </w:tc>
        <w:tc>
          <w:tcPr>
            <w:tcW w:w="1002"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下风向2#</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0" w:type="dxa"/>
            <w:gridSpan w:val="2"/>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0" w:type="dxa"/>
            <w:tcBorders>
              <w:tl2br w:val="nil"/>
              <w:tr2bl w:val="nil"/>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0.28</w:t>
            </w:r>
          </w:p>
        </w:tc>
        <w:tc>
          <w:tcPr>
            <w:tcW w:w="1000" w:type="dxa"/>
            <w:tcBorders>
              <w:tl2br w:val="nil"/>
              <w:tr2bl w:val="nil"/>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0.26</w:t>
            </w:r>
          </w:p>
        </w:tc>
        <w:tc>
          <w:tcPr>
            <w:tcW w:w="1002" w:type="dxa"/>
            <w:tcBorders>
              <w:tl2br w:val="nil"/>
              <w:tr2bl w:val="nil"/>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下风向3#</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0" w:type="dxa"/>
            <w:gridSpan w:val="2"/>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2"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下风向4#</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0.28</w:t>
            </w:r>
          </w:p>
        </w:tc>
        <w:tc>
          <w:tcPr>
            <w:tcW w:w="1000" w:type="dxa"/>
            <w:gridSpan w:val="2"/>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0.26</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0.27</w:t>
            </w:r>
          </w:p>
        </w:tc>
        <w:tc>
          <w:tcPr>
            <w:tcW w:w="1000"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0.29</w:t>
            </w:r>
          </w:p>
        </w:tc>
        <w:tc>
          <w:tcPr>
            <w:tcW w:w="1002" w:type="dxa"/>
            <w:tcBorders>
              <w:tl2br w:val="nil"/>
              <w:tr2bl w:val="nil"/>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lang w:val="en-US" w:eastAsia="zh-CN"/>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备注</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eastAsia" w:ascii="Times New Roman" w:hAnsi="Times New Roman" w:cs="Times New Roman"/>
                <w:sz w:val="21"/>
                <w:szCs w:val="21"/>
                <w:highlight w:val="none"/>
                <w:lang w:val="en-US" w:eastAsia="zh-CN"/>
              </w:rPr>
              <w:t>*硫酸雾项目为分包项目，分包公司为中弘生态环保（山东）有限责任公司，报告编号为：</w:t>
            </w:r>
            <w:r>
              <w:rPr>
                <w:rFonts w:hint="default" w:ascii="Times New Roman" w:hAnsi="Times New Roman" w:eastAsia="宋体" w:cs="Times New Roman"/>
                <w:color w:val="000000"/>
                <w:kern w:val="0"/>
                <w:sz w:val="21"/>
                <w:szCs w:val="21"/>
                <w:lang w:val="en-US" w:eastAsia="zh-CN" w:bidi="ar"/>
              </w:rPr>
              <w:t>ZH2009072</w:t>
            </w:r>
            <w:r>
              <w:rPr>
                <w:rFonts w:hint="eastAsia" w:ascii="Times New Roman" w:hAnsi="Times New Roman" w:cs="Times New Roman"/>
                <w:color w:val="000000"/>
                <w:kern w:val="0"/>
                <w:sz w:val="21"/>
                <w:szCs w:val="21"/>
                <w:lang w:val="en-US" w:eastAsia="zh-CN" w:bidi="ar"/>
              </w:rPr>
              <w:t>。</w:t>
            </w:r>
            <w:r>
              <w:rPr>
                <w:rFonts w:hint="default" w:ascii="Times New Roman" w:hAnsi="Times New Roman" w:eastAsia="宋体" w:cs="Times New Roman"/>
                <w:b w:val="0"/>
                <w:bCs/>
                <w:sz w:val="21"/>
                <w:szCs w:val="21"/>
                <w:lang w:val="en-US" w:eastAsia="zh-CN"/>
              </w:rPr>
              <w:t>检测点位见附图</w:t>
            </w:r>
          </w:p>
        </w:tc>
      </w:tr>
    </w:tbl>
    <w:p>
      <w:pPr>
        <w:adjustRightInd w:val="0"/>
        <w:snapToGrid w:val="0"/>
        <w:spacing w:line="240" w:lineRule="auto"/>
        <w:jc w:val="center"/>
        <w:rPr>
          <w:rFonts w:hint="default" w:ascii="Times New Roman" w:hAnsi="Times New Roman" w:eastAsia="宋体" w:cs="Times New Roman"/>
          <w:bCs/>
          <w:szCs w:val="21"/>
        </w:rPr>
      </w:pPr>
    </w:p>
    <w:p>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7</w:t>
      </w:r>
      <w:r>
        <w:rPr>
          <w:rFonts w:hint="default" w:ascii="Times New Roman" w:hAnsi="Times New Roman" w:eastAsia="宋体" w:cs="Times New Roman"/>
          <w:bCs/>
          <w:sz w:val="24"/>
          <w:highlight w:val="none"/>
        </w:rPr>
        <w:t>厂界</w:t>
      </w:r>
      <w:r>
        <w:rPr>
          <w:rFonts w:hint="default" w:ascii="Times New Roman" w:hAnsi="Times New Roman" w:eastAsia="宋体" w:cs="Times New Roman"/>
          <w:bCs/>
          <w:sz w:val="24"/>
          <w:szCs w:val="24"/>
        </w:rPr>
        <w:t>无组织</w:t>
      </w:r>
      <w:r>
        <w:rPr>
          <w:rFonts w:hint="eastAsia" w:ascii="Times New Roman" w:hAnsi="Times New Roman" w:cs="Times New Roman"/>
          <w:b w:val="0"/>
          <w:bCs/>
          <w:sz w:val="24"/>
          <w:szCs w:val="24"/>
          <w:lang w:val="en-US" w:eastAsia="zh-CN"/>
        </w:rPr>
        <w:t>二氧化硫</w:t>
      </w:r>
      <w:r>
        <w:rPr>
          <w:rFonts w:hint="default" w:ascii="Times New Roman" w:hAnsi="Times New Roman" w:eastAsia="宋体" w:cs="Times New Roman"/>
          <w:bCs/>
          <w:sz w:val="24"/>
          <w:szCs w:val="24"/>
        </w:rPr>
        <w:t>排放监测结果 （单位：</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Cs/>
          <w:sz w:val="24"/>
          <w:szCs w:val="24"/>
        </w:rPr>
        <w:t>）</w:t>
      </w:r>
    </w:p>
    <w:tbl>
      <w:tblPr>
        <w:tblStyle w:val="28"/>
        <w:tblW w:w="10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1000"/>
        <w:gridCol w:w="1000"/>
        <w:gridCol w:w="1000"/>
        <w:gridCol w:w="1000"/>
        <w:gridCol w:w="1"/>
        <w:gridCol w:w="999"/>
        <w:gridCol w:w="1000"/>
        <w:gridCol w:w="1000"/>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检测项目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二氧化硫</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 w:val="0"/>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检测依据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环境空气 二氧化硫的测定 甲醛吸收-副玫瑰苯胺分光光度法</w:t>
            </w:r>
            <w:r>
              <w:rPr>
                <w:rFonts w:hint="eastAsia" w:ascii="Times New Roman" w:hAnsi="Times New Roman" w:cs="Times New Roman"/>
                <w:i w:val="0"/>
                <w:color w:val="000000"/>
                <w:kern w:val="0"/>
                <w:sz w:val="21"/>
                <w:szCs w:val="21"/>
                <w:u w:val="none"/>
                <w:lang w:val="en-US" w:eastAsia="zh-CN" w:bidi="ar"/>
              </w:rPr>
              <w:t>》</w:t>
            </w:r>
            <w:r>
              <w:rPr>
                <w:rFonts w:hint="eastAsia" w:ascii="宋体" w:hAnsi="宋体" w:eastAsia="宋体" w:cs="宋体"/>
                <w:b w:val="0"/>
                <w:bCs/>
                <w:sz w:val="21"/>
                <w:szCs w:val="21"/>
                <w:lang w:eastAsia="zh-CN"/>
              </w:rPr>
              <w:t>(</w:t>
            </w:r>
            <w:r>
              <w:rPr>
                <w:rFonts w:hint="default" w:ascii="Times New Roman" w:hAnsi="Times New Roman" w:eastAsia="宋体" w:cs="Times New Roman"/>
                <w:i w:val="0"/>
                <w:color w:val="000000"/>
                <w:kern w:val="0"/>
                <w:sz w:val="21"/>
                <w:szCs w:val="21"/>
                <w:u w:val="none"/>
                <w:lang w:val="en-US" w:eastAsia="zh-CN" w:bidi="ar"/>
              </w:rPr>
              <w:t>HJ 482-2009</w:t>
            </w:r>
            <w:r>
              <w:rPr>
                <w:rFonts w:hint="eastAsia" w:ascii="宋体" w:hAnsi="宋体" w:eastAsia="宋体" w:cs="宋体"/>
                <w:b w:val="0"/>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检测时间</w:t>
            </w:r>
          </w:p>
        </w:tc>
        <w:tc>
          <w:tcPr>
            <w:tcW w:w="4001" w:type="dxa"/>
            <w:gridSpan w:val="5"/>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2020.09.25</w:t>
            </w:r>
          </w:p>
        </w:tc>
        <w:tc>
          <w:tcPr>
            <w:tcW w:w="4001" w:type="dxa"/>
            <w:gridSpan w:val="4"/>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77" w:type="dxa"/>
            <w:tcBorders>
              <w:tl2br w:val="nil"/>
              <w:tr2bl w:val="nil"/>
            </w:tcBorders>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pPr>
              <w:pStyle w:val="2"/>
              <w:ind w:left="0" w:leftChars="0" w:firstLine="211" w:firstLineChars="100"/>
              <w:jc w:val="center"/>
              <w:rPr>
                <w:rFonts w:hint="default" w:ascii="Times New Roman" w:hAnsi="Times New Roman" w:eastAsia="宋体" w:cs="Times New Roman"/>
                <w:b/>
                <w:bCs w:val="0"/>
                <w:kern w:val="2"/>
                <w:sz w:val="21"/>
                <w:szCs w:val="21"/>
                <w:highlight w:val="none"/>
                <w:lang w:val="en-US" w:eastAsia="zh-CN" w:bidi="ar-SA"/>
              </w:rPr>
            </w:pPr>
          </w:p>
          <w:p>
            <w:pPr>
              <w:pStyle w:val="2"/>
              <w:snapToGrid w:val="0"/>
              <w:spacing w:line="240" w:lineRule="auto"/>
              <w:ind w:left="0" w:leftChars="0" w:firstLine="0" w:firstLineChars="0"/>
              <w:jc w:val="both"/>
              <mc:AlternateContent>
                <mc:Choice Requires="wpsCustomData">
                  <wpsCustomData:diagonalParaType/>
                </mc:Choice>
              </mc:AlternateContent>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eastAsia="宋体" w:cs="Times New Roman"/>
                <w:b/>
                <w:bCs w:val="0"/>
                <w:kern w:val="2"/>
                <w:sz w:val="21"/>
                <w:szCs w:val="21"/>
                <w:highlight w:val="none"/>
                <w:lang w:val="en-US" w:eastAsia="zh-CN" w:bidi="ar-SA"/>
              </w:rPr>
              <w:t>检测点位</w:t>
            </w:r>
          </w:p>
          <w:p>
            <w:pPr>
              <w:pStyle w:val="2"/>
              <w:ind w:left="0" w:leftChars="0"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kern w:val="2"/>
                <w:sz w:val="21"/>
                <w:szCs w:val="21"/>
                <w:highlight w:val="none"/>
                <w:lang w:val="en-US" w:eastAsia="zh-CN" w:bidi="ar-SA"/>
              </w:rPr>
              <w:t xml:space="preserve">   检测结果</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上风向1#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0.060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0.089</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0.061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0.061</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0.060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0.046</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0.075</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下风向2#</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0.230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0.331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0.247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0.176</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0.188</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0.231</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0.203</w:t>
            </w:r>
          </w:p>
        </w:tc>
        <w:tc>
          <w:tcPr>
            <w:tcW w:w="1002"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0.245</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0.203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0.276</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0.219</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0.230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0.231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0.289</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0.330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0.289</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0.247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0.320</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0.230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0.288</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0.246</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备注</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bCs/>
                <w:sz w:val="21"/>
                <w:szCs w:val="21"/>
                <w:lang w:val="en-US" w:eastAsia="zh-CN"/>
              </w:rPr>
              <w:t>检测点位见附图</w:t>
            </w:r>
          </w:p>
        </w:tc>
      </w:tr>
    </w:tbl>
    <w:p>
      <w:pPr>
        <w:pStyle w:val="2"/>
        <w:ind w:firstLine="480"/>
        <w:rPr>
          <w:rFonts w:hint="default" w:ascii="Times New Roman" w:hAnsi="Times New Roman" w:cs="Times New Roman"/>
          <w:highlight w:val="none"/>
        </w:rPr>
      </w:pPr>
      <w:r>
        <w:rPr>
          <w:rFonts w:hint="default" w:ascii="Times New Roman" w:hAnsi="Times New Roman" w:cs="Times New Roman"/>
          <w:bCs/>
          <w:sz w:val="24"/>
          <w:szCs w:val="24"/>
          <w:highlight w:val="none"/>
        </w:rPr>
        <w:t>验收监测期间，</w:t>
      </w:r>
      <w:r>
        <w:rPr>
          <w:rFonts w:hint="default" w:ascii="Times New Roman" w:hAnsi="Times New Roman" w:eastAsia="宋体" w:cs="Times New Roman"/>
          <w:bCs/>
          <w:kern w:val="2"/>
          <w:sz w:val="24"/>
          <w:szCs w:val="28"/>
          <w:highlight w:val="none"/>
          <w:lang w:val="en-US" w:eastAsia="zh-CN" w:bidi="ar-SA"/>
        </w:rPr>
        <w:t>厂界无组织</w:t>
      </w:r>
      <w:r>
        <w:rPr>
          <w:rFonts w:hint="default" w:ascii="Times New Roman" w:hAnsi="Times New Roman" w:eastAsia="宋体" w:cs="Times New Roman"/>
          <w:b w:val="0"/>
          <w:bCs/>
          <w:sz w:val="24"/>
          <w:szCs w:val="24"/>
          <w:lang w:val="en-US" w:eastAsia="zh-CN"/>
        </w:rPr>
        <w:t>硫酸雾</w:t>
      </w:r>
      <w:r>
        <w:rPr>
          <w:rFonts w:hint="eastAsia" w:cs="Times New Roman"/>
          <w:b w:val="0"/>
          <w:bCs/>
          <w:sz w:val="24"/>
          <w:szCs w:val="24"/>
          <w:lang w:val="en-US" w:eastAsia="zh-CN"/>
        </w:rPr>
        <w:t>、</w:t>
      </w:r>
      <w:r>
        <w:rPr>
          <w:rFonts w:hint="eastAsia" w:ascii="Times New Roman" w:hAnsi="Times New Roman" w:cs="Times New Roman"/>
          <w:b w:val="0"/>
          <w:bCs/>
          <w:sz w:val="24"/>
          <w:szCs w:val="24"/>
          <w:lang w:val="en-US" w:eastAsia="zh-CN"/>
        </w:rPr>
        <w:t>二氧化硫</w:t>
      </w:r>
      <w:r>
        <w:rPr>
          <w:rFonts w:hint="eastAsia" w:cs="Times New Roman"/>
          <w:bCs/>
          <w:kern w:val="2"/>
          <w:sz w:val="24"/>
          <w:szCs w:val="24"/>
          <w:highlight w:val="none"/>
          <w:lang w:val="en-US" w:eastAsia="zh-CN" w:bidi="ar-SA"/>
        </w:rPr>
        <w:t>两天测得</w:t>
      </w:r>
      <w:r>
        <w:rPr>
          <w:rFonts w:hint="default" w:ascii="Times New Roman" w:hAnsi="Times New Roman" w:eastAsia="宋体" w:cs="Times New Roman"/>
          <w:bCs/>
          <w:kern w:val="2"/>
          <w:sz w:val="24"/>
          <w:szCs w:val="28"/>
          <w:highlight w:val="none"/>
          <w:lang w:val="en-US" w:eastAsia="zh-CN" w:bidi="ar-SA"/>
        </w:rPr>
        <w:t>最大排放浓度</w:t>
      </w:r>
      <w:r>
        <w:rPr>
          <w:rFonts w:hint="eastAsia" w:cs="Times New Roman"/>
          <w:bCs/>
          <w:kern w:val="2"/>
          <w:sz w:val="24"/>
          <w:szCs w:val="28"/>
          <w:highlight w:val="none"/>
          <w:lang w:val="en-US" w:eastAsia="zh-CN" w:bidi="ar-SA"/>
        </w:rPr>
        <w:t>分别</w:t>
      </w:r>
      <w:r>
        <w:rPr>
          <w:rFonts w:hint="default" w:ascii="Times New Roman" w:hAnsi="Times New Roman" w:eastAsia="宋体" w:cs="Times New Roman"/>
          <w:bCs/>
          <w:kern w:val="2"/>
          <w:sz w:val="24"/>
          <w:szCs w:val="28"/>
          <w:highlight w:val="none"/>
          <w:lang w:val="en-US" w:eastAsia="zh-CN" w:bidi="ar-SA"/>
        </w:rPr>
        <w:t>为：</w:t>
      </w:r>
      <w:r>
        <w:rPr>
          <w:rFonts w:hint="eastAsia" w:cs="Times New Roman"/>
          <w:bCs/>
          <w:kern w:val="2"/>
          <w:sz w:val="24"/>
          <w:szCs w:val="28"/>
          <w:highlight w:val="none"/>
          <w:lang w:val="en-US" w:eastAsia="zh-CN" w:bidi="ar-SA"/>
        </w:rPr>
        <w:t>0.29</w:t>
      </w:r>
      <w:r>
        <w:rPr>
          <w:rFonts w:hint="default" w:ascii="Times New Roman" w:hAnsi="Times New Roman" w:eastAsia="宋体" w:cs="Times New Roman"/>
          <w:bCs/>
          <w:kern w:val="2"/>
          <w:sz w:val="24"/>
          <w:szCs w:val="28"/>
          <w:highlight w:val="none"/>
          <w:lang w:val="en-US" w:eastAsia="zh-CN" w:bidi="ar-SA"/>
        </w:rPr>
        <w:t>mg/m</w:t>
      </w:r>
      <w:r>
        <w:rPr>
          <w:rFonts w:hint="default" w:ascii="Times New Roman" w:hAnsi="Times New Roman" w:eastAsia="宋体" w:cs="Times New Roman"/>
          <w:bCs/>
          <w:kern w:val="2"/>
          <w:sz w:val="24"/>
          <w:szCs w:val="28"/>
          <w:highlight w:val="none"/>
          <w:vertAlign w:val="superscript"/>
          <w:lang w:val="en-US" w:eastAsia="zh-CN" w:bidi="ar-SA"/>
        </w:rPr>
        <w:t>3</w:t>
      </w:r>
      <w:r>
        <w:rPr>
          <w:rFonts w:hint="eastAsia" w:ascii="Times New Roman" w:hAnsi="Times New Roman" w:eastAsia="宋体" w:cs="Times New Roman"/>
          <w:bCs/>
          <w:kern w:val="2"/>
          <w:sz w:val="24"/>
          <w:szCs w:val="28"/>
          <w:highlight w:val="none"/>
          <w:lang w:val="en-US" w:eastAsia="zh-CN" w:bidi="ar-SA"/>
        </w:rPr>
        <w:t>，</w:t>
      </w:r>
      <w:r>
        <w:rPr>
          <w:rFonts w:hint="eastAsia" w:cs="Times New Roman"/>
          <w:color w:val="auto"/>
          <w:highlight w:val="none"/>
          <w:lang w:val="en-US" w:eastAsia="zh-CN"/>
        </w:rPr>
        <w:t>0.331</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eastAsia" w:ascii="Times New Roman" w:hAnsi="Times New Roman" w:cs="Times New Roman"/>
          <w:color w:val="auto"/>
          <w:highlight w:val="none"/>
          <w:lang w:eastAsia="zh-CN"/>
        </w:rPr>
        <w:t>，</w:t>
      </w:r>
      <w:r>
        <w:rPr>
          <w:rFonts w:hint="default" w:ascii="Times New Roman" w:hAnsi="Times New Roman" w:eastAsia="宋体" w:cs="Times New Roman"/>
          <w:bCs/>
          <w:kern w:val="2"/>
          <w:sz w:val="24"/>
          <w:szCs w:val="28"/>
          <w:highlight w:val="none"/>
          <w:lang w:val="en-US" w:eastAsia="zh-CN" w:bidi="ar-SA"/>
        </w:rPr>
        <w:t>满</w:t>
      </w:r>
      <w:r>
        <w:rPr>
          <w:rFonts w:hint="default" w:ascii="Times New Roman" w:hAnsi="Times New Roman" w:eastAsia="宋体" w:cs="Times New Roman"/>
          <w:bCs/>
          <w:kern w:val="2"/>
          <w:sz w:val="24"/>
          <w:szCs w:val="24"/>
          <w:highlight w:val="none"/>
          <w:lang w:val="en-US" w:eastAsia="zh-CN" w:bidi="ar-SA"/>
        </w:rPr>
        <w:t>足</w:t>
      </w:r>
      <w:r>
        <w:rPr>
          <w:rFonts w:hint="eastAsia" w:asciiTheme="minorEastAsia" w:hAnsiTheme="minorEastAsia" w:eastAsiaTheme="minorEastAsia"/>
        </w:rPr>
        <w:t>《大气污染物综合排放标准》（GB16297-1996）表2中标准</w:t>
      </w:r>
      <w:r>
        <w:rPr>
          <w:rFonts w:hint="eastAsia" w:asciiTheme="minorEastAsia" w:hAnsiTheme="minorEastAsia" w:eastAsiaTheme="minorEastAsia"/>
          <w:lang w:eastAsia="zh-CN"/>
        </w:rPr>
        <w:t>及</w:t>
      </w:r>
      <w:r>
        <w:rPr>
          <w:rFonts w:hint="eastAsia" w:ascii="Times New Roman" w:hAnsi="Times New Roman" w:eastAsia="宋体" w:cs="Times New Roman"/>
          <w:sz w:val="24"/>
          <w:szCs w:val="24"/>
          <w:lang w:eastAsia="zh-CN"/>
        </w:rPr>
        <w:t>《硫酸工业污染排放标准》（</w:t>
      </w:r>
      <w:r>
        <w:rPr>
          <w:rFonts w:hint="eastAsia" w:ascii="Times New Roman" w:hAnsi="Times New Roman" w:eastAsia="宋体" w:cs="Times New Roman"/>
          <w:sz w:val="24"/>
          <w:szCs w:val="24"/>
          <w:lang w:val="en-US" w:eastAsia="zh-CN"/>
        </w:rPr>
        <w:t>GB26132-2010</w:t>
      </w:r>
      <w:r>
        <w:rPr>
          <w:rFonts w:hint="eastAsia" w:ascii="Times New Roman" w:hAnsi="Times New Roman" w:eastAsia="宋体" w:cs="Times New Roman"/>
          <w:sz w:val="24"/>
          <w:szCs w:val="24"/>
          <w:lang w:eastAsia="zh-CN"/>
        </w:rPr>
        <w:t>）表</w:t>
      </w:r>
      <w:r>
        <w:rPr>
          <w:rFonts w:hint="eastAsia" w:ascii="Times New Roman" w:hAnsi="Times New Roman" w:eastAsia="宋体" w:cs="Times New Roman"/>
          <w:sz w:val="24"/>
          <w:szCs w:val="24"/>
          <w:lang w:val="en-US" w:eastAsia="zh-CN"/>
        </w:rPr>
        <w:t>8排放限值</w:t>
      </w:r>
      <w:r>
        <w:rPr>
          <w:rFonts w:hint="eastAsia" w:cs="Times New Roman"/>
          <w:sz w:val="24"/>
          <w:szCs w:val="24"/>
          <w:lang w:val="en-US" w:eastAsia="zh-CN"/>
        </w:rPr>
        <w:t>要求。</w:t>
      </w:r>
    </w:p>
    <w:p>
      <w:pPr>
        <w:jc w:val="center"/>
        <w:rPr>
          <w:rFonts w:hint="default" w:ascii="Times New Roman" w:hAnsi="Times New Roman" w:cs="Times New Roman"/>
          <w:highlight w:val="none"/>
        </w:rPr>
      </w:pPr>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8</w:t>
      </w:r>
      <w:r>
        <w:rPr>
          <w:rFonts w:hint="default" w:ascii="Times New Roman" w:hAnsi="Times New Roman" w:eastAsia="宋体" w:cs="Times New Roman"/>
          <w:bCs/>
          <w:sz w:val="24"/>
          <w:highlight w:val="none"/>
        </w:rPr>
        <w:t>厂界</w:t>
      </w:r>
      <w:r>
        <w:rPr>
          <w:rFonts w:hint="default" w:ascii="Times New Roman" w:hAnsi="Times New Roman" w:eastAsia="宋体" w:cs="Times New Roman"/>
          <w:bCs/>
          <w:sz w:val="24"/>
          <w:szCs w:val="24"/>
        </w:rPr>
        <w:t>无组织</w:t>
      </w:r>
      <w:r>
        <w:rPr>
          <w:rFonts w:hint="eastAsia" w:ascii="Times New Roman" w:hAnsi="Times New Roman" w:cs="Times New Roman"/>
          <w:b w:val="0"/>
          <w:bCs/>
          <w:sz w:val="24"/>
          <w:szCs w:val="24"/>
          <w:lang w:val="en-US" w:eastAsia="zh-CN"/>
        </w:rPr>
        <w:t>氮氧化物</w:t>
      </w:r>
      <w:r>
        <w:rPr>
          <w:rFonts w:hint="default" w:ascii="Times New Roman" w:hAnsi="Times New Roman" w:eastAsia="宋体" w:cs="Times New Roman"/>
          <w:bCs/>
          <w:sz w:val="24"/>
          <w:szCs w:val="24"/>
        </w:rPr>
        <w:t>排放监测结果 （单位：</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Cs/>
          <w:sz w:val="24"/>
          <w:szCs w:val="24"/>
        </w:rPr>
        <w:t>）</w:t>
      </w:r>
    </w:p>
    <w:tbl>
      <w:tblPr>
        <w:tblStyle w:val="28"/>
        <w:tblW w:w="10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1000"/>
        <w:gridCol w:w="1000"/>
        <w:gridCol w:w="1000"/>
        <w:gridCol w:w="1000"/>
        <w:gridCol w:w="1"/>
        <w:gridCol w:w="999"/>
        <w:gridCol w:w="1000"/>
        <w:gridCol w:w="1000"/>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检测项目</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氮氧化物</w:t>
            </w:r>
            <w:r>
              <w:rPr>
                <w:rFonts w:hint="default" w:ascii="Times New Roman" w:hAnsi="Times New Roman" w:eastAsia="宋体" w:cs="Times New Roman"/>
                <w:b w:val="0"/>
                <w:bCs/>
                <w:sz w:val="21"/>
                <w:szCs w:val="21"/>
                <w:lang w:eastAsia="zh-CN"/>
              </w:rPr>
              <w:t>（mg/m</w:t>
            </w:r>
            <w:r>
              <w:rPr>
                <w:rFonts w:hint="default" w:ascii="Times New Roman" w:hAnsi="Times New Roman" w:eastAsia="宋体" w:cs="Times New Roman"/>
                <w:b w:val="0"/>
                <w:bCs/>
                <w:sz w:val="21"/>
                <w:szCs w:val="21"/>
                <w:vertAlign w:val="superscript"/>
                <w:lang w:eastAsia="zh-CN"/>
              </w:rPr>
              <w:t>3</w:t>
            </w:r>
            <w:r>
              <w:rPr>
                <w:rFonts w:hint="default" w:ascii="Times New Roman" w:hAnsi="Times New Roman" w:eastAsia="宋体" w:cs="Times New Roman"/>
                <w:b w:val="0"/>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检测依据</w:t>
            </w:r>
          </w:p>
        </w:tc>
        <w:tc>
          <w:tcPr>
            <w:tcW w:w="8002" w:type="dxa"/>
            <w:gridSpan w:val="9"/>
            <w:tcBorders>
              <w:tl2br w:val="nil"/>
              <w:tr2bl w:val="nil"/>
            </w:tcBorders>
            <w:noWrap w:val="0"/>
            <w:vAlign w:val="center"/>
          </w:tcPr>
          <w:p>
            <w:pPr>
              <w:spacing w:beforeAutospacing="0"/>
              <w:jc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环境空气 氮氧化物（一氧化氮和二氧化氮）的测定 盐酸萘乙二胺分光光度法</w:t>
            </w:r>
            <w:r>
              <w:rPr>
                <w:rFonts w:hint="eastAsia" w:ascii="Times New Roman" w:hAnsi="Times New Roman" w:cs="Times New Roman"/>
                <w:i w:val="0"/>
                <w:color w:val="auto"/>
                <w:kern w:val="0"/>
                <w:sz w:val="21"/>
                <w:szCs w:val="21"/>
                <w:u w:val="none"/>
                <w:lang w:val="en-US" w:eastAsia="zh-CN" w:bidi="ar"/>
              </w:rPr>
              <w:t>》</w:t>
            </w:r>
          </w:p>
          <w:p>
            <w:pPr>
              <w:spacing w:beforeAutospacing="0"/>
              <w:jc w:val="center"/>
              <w:rPr>
                <w:rFonts w:hint="default" w:ascii="Times New Roman" w:hAnsi="Times New Roman" w:eastAsia="宋体" w:cs="Times New Roman"/>
                <w:b w:val="0"/>
                <w:bCs/>
                <w:sz w:val="21"/>
                <w:szCs w:val="21"/>
                <w:lang w:val="en-US" w:eastAsia="zh-CN"/>
              </w:rPr>
            </w:pPr>
            <w:r>
              <w:rPr>
                <w:rFonts w:hint="eastAsia" w:ascii="宋体" w:hAnsi="宋体" w:eastAsia="宋体" w:cs="宋体"/>
                <w:b w:val="0"/>
                <w:bCs/>
                <w:color w:val="auto"/>
                <w:sz w:val="21"/>
                <w:szCs w:val="21"/>
                <w:lang w:eastAsia="zh-CN"/>
              </w:rPr>
              <w:t>(</w:t>
            </w:r>
            <w:r>
              <w:rPr>
                <w:rFonts w:hint="default" w:ascii="Times New Roman" w:hAnsi="Times New Roman" w:eastAsia="宋体" w:cs="Times New Roman"/>
                <w:i w:val="0"/>
                <w:color w:val="auto"/>
                <w:kern w:val="0"/>
                <w:sz w:val="21"/>
                <w:szCs w:val="21"/>
                <w:u w:val="none"/>
                <w:lang w:val="en-US" w:eastAsia="zh-CN" w:bidi="ar"/>
              </w:rPr>
              <w:t>HJ 479-2009</w:t>
            </w:r>
            <w:r>
              <w:rPr>
                <w:rFonts w:hint="eastAsia" w:ascii="宋体" w:hAnsi="宋体" w:eastAsia="宋体" w:cs="宋体"/>
                <w:b w:val="0"/>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检测时间</w:t>
            </w:r>
          </w:p>
        </w:tc>
        <w:tc>
          <w:tcPr>
            <w:tcW w:w="4001" w:type="dxa"/>
            <w:gridSpan w:val="5"/>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2020.09.25</w:t>
            </w:r>
          </w:p>
        </w:tc>
        <w:tc>
          <w:tcPr>
            <w:tcW w:w="4001" w:type="dxa"/>
            <w:gridSpan w:val="4"/>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77" w:type="dxa"/>
            <w:tcBorders>
              <w:tl2br w:val="nil"/>
              <w:tr2bl w:val="nil"/>
            </w:tcBorders>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pPr>
              <w:pStyle w:val="2"/>
              <w:ind w:left="0" w:leftChars="0" w:firstLine="211" w:firstLineChars="100"/>
              <w:jc w:val="center"/>
              <w:rPr>
                <w:rFonts w:hint="default" w:ascii="Times New Roman" w:hAnsi="Times New Roman" w:eastAsia="宋体" w:cs="Times New Roman"/>
                <w:b/>
                <w:bCs w:val="0"/>
                <w:kern w:val="2"/>
                <w:sz w:val="21"/>
                <w:szCs w:val="21"/>
                <w:highlight w:val="none"/>
                <w:lang w:val="en-US" w:eastAsia="zh-CN" w:bidi="ar-SA"/>
              </w:rPr>
            </w:pPr>
          </w:p>
          <w:p>
            <w:pPr>
              <w:pStyle w:val="2"/>
              <w:snapToGrid w:val="0"/>
              <w:spacing w:line="240" w:lineRule="auto"/>
              <w:ind w:left="0" w:leftChars="0" w:firstLine="0" w:firstLineChars="0"/>
              <w:jc w:val="both"/>
              <mc:AlternateContent>
                <mc:Choice Requires="wpsCustomData">
                  <wpsCustomData:diagonalParaType/>
                </mc:Choice>
              </mc:AlternateContent>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eastAsia="宋体" w:cs="Times New Roman"/>
                <w:b/>
                <w:bCs w:val="0"/>
                <w:kern w:val="2"/>
                <w:sz w:val="21"/>
                <w:szCs w:val="21"/>
                <w:highlight w:val="none"/>
                <w:lang w:val="en-US" w:eastAsia="zh-CN" w:bidi="ar-SA"/>
              </w:rPr>
              <w:t>检测点位</w:t>
            </w:r>
          </w:p>
          <w:p>
            <w:pPr>
              <w:pStyle w:val="2"/>
              <w:ind w:left="0" w:leftChars="0"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kern w:val="2"/>
                <w:sz w:val="21"/>
                <w:szCs w:val="21"/>
                <w:highlight w:val="none"/>
                <w:lang w:val="en-US" w:eastAsia="zh-CN" w:bidi="ar-SA"/>
              </w:rPr>
              <w:t xml:space="preserve">   检测结果</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第一次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第二次</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第三次</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第</w:t>
            </w:r>
            <w:r>
              <w:rPr>
                <w:rFonts w:hint="eastAsia" w:ascii="Times New Roman" w:hAnsi="Times New Roman" w:cs="Times New Roman"/>
                <w:b w:val="0"/>
                <w:bCs/>
                <w:sz w:val="21"/>
                <w:szCs w:val="21"/>
                <w:lang w:val="en-US" w:eastAsia="zh-CN"/>
              </w:rPr>
              <w:t>四</w:t>
            </w:r>
            <w:r>
              <w:rPr>
                <w:rFonts w:hint="default" w:ascii="Times New Roman" w:hAnsi="Times New Roman" w:eastAsia="宋体" w:cs="Times New Roman"/>
                <w:b w:val="0"/>
                <w:bCs/>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上风向1#</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0.015</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0.022</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0.022</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0.024</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0.017</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下风向2#</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0.049</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0.051</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0.042</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0.043</w:t>
            </w:r>
          </w:p>
        </w:tc>
        <w:tc>
          <w:tcPr>
            <w:tcW w:w="1000"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0.042</w:t>
            </w:r>
          </w:p>
        </w:tc>
        <w:tc>
          <w:tcPr>
            <w:tcW w:w="1002" w:type="dxa"/>
            <w:tcBorders>
              <w:tl2br w:val="nil"/>
              <w:tr2bl w:val="nil"/>
            </w:tcBorders>
            <w:noWrap w:val="0"/>
            <w:vAlign w:val="center"/>
          </w:tcPr>
          <w:p>
            <w:pPr>
              <w:spacing w:beforeAutospacing="0"/>
              <w:jc w:val="center"/>
              <w:rPr>
                <w:rFonts w:hint="default" w:ascii="Times New Roman" w:hAnsi="Times New Roman" w:cs="Times New Roman"/>
                <w:lang w:val="en-US" w:eastAsia="zh-CN"/>
              </w:rPr>
            </w:pPr>
            <w:r>
              <w:rPr>
                <w:rFonts w:hint="eastAsia" w:ascii="Times New Roman" w:hAnsi="Times New Roman" w:cs="Times New Roman"/>
                <w:lang w:val="en-US" w:eastAsia="zh-CN"/>
              </w:rP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0.043</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0.039</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0.045</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0.030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0.038</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0.042</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下风向4#</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0.040</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0.047</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0.045</w:t>
            </w:r>
          </w:p>
        </w:tc>
        <w:tc>
          <w:tcPr>
            <w:tcW w:w="1000" w:type="dxa"/>
            <w:gridSpan w:val="2"/>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0.038</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0.046</w:t>
            </w:r>
          </w:p>
        </w:tc>
        <w:tc>
          <w:tcPr>
            <w:tcW w:w="1000"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0.042</w:t>
            </w:r>
          </w:p>
        </w:tc>
        <w:tc>
          <w:tcPr>
            <w:tcW w:w="1002" w:type="dxa"/>
            <w:tcBorders>
              <w:tl2br w:val="nil"/>
              <w:tr2bl w:val="nil"/>
            </w:tcBorders>
            <w:noWrap w:val="0"/>
            <w:vAlign w:val="center"/>
          </w:tcPr>
          <w:p>
            <w:pPr>
              <w:spacing w:beforeAutospacing="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77" w:type="dxa"/>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备注</w:t>
            </w:r>
          </w:p>
        </w:tc>
        <w:tc>
          <w:tcPr>
            <w:tcW w:w="8002" w:type="dxa"/>
            <w:gridSpan w:val="9"/>
            <w:tcBorders>
              <w:tl2br w:val="nil"/>
              <w:tr2bl w:val="nil"/>
            </w:tcBorders>
            <w:noWrap w:val="0"/>
            <w:vAlign w:val="center"/>
          </w:tcPr>
          <w:p>
            <w:pPr>
              <w:spacing w:beforeAutospacing="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bCs/>
                <w:sz w:val="21"/>
                <w:szCs w:val="21"/>
                <w:lang w:val="en-US" w:eastAsia="zh-CN"/>
              </w:rPr>
              <w:t>检测点位见附图</w:t>
            </w:r>
          </w:p>
        </w:tc>
      </w:tr>
    </w:tbl>
    <w:p>
      <w:pPr>
        <w:pStyle w:val="2"/>
        <w:rPr>
          <w:rFonts w:hint="eastAsia" w:eastAsia="宋体"/>
          <w:sz w:val="24"/>
          <w:szCs w:val="24"/>
          <w:lang w:eastAsia="zh-CN"/>
        </w:rPr>
      </w:pPr>
      <w:r>
        <w:rPr>
          <w:rFonts w:hint="default" w:ascii="Times New Roman" w:hAnsi="Times New Roman" w:cs="Times New Roman"/>
          <w:bCs/>
          <w:sz w:val="24"/>
          <w:szCs w:val="24"/>
          <w:highlight w:val="none"/>
        </w:rPr>
        <w:t>验收监测期间，厂界无组织</w:t>
      </w:r>
      <w:r>
        <w:rPr>
          <w:rFonts w:hint="eastAsia" w:cs="Times New Roman"/>
          <w:b w:val="0"/>
          <w:bCs/>
          <w:sz w:val="24"/>
          <w:szCs w:val="24"/>
          <w:lang w:val="en-US" w:eastAsia="zh-CN"/>
        </w:rPr>
        <w:t>氮氧化物</w:t>
      </w:r>
      <w:r>
        <w:rPr>
          <w:rFonts w:hint="eastAsia" w:cs="Times New Roman"/>
          <w:bCs/>
          <w:kern w:val="2"/>
          <w:sz w:val="24"/>
          <w:szCs w:val="24"/>
          <w:highlight w:val="none"/>
          <w:lang w:val="en-US" w:eastAsia="zh-CN" w:bidi="ar-SA"/>
        </w:rPr>
        <w:t>两天测得</w:t>
      </w:r>
      <w:r>
        <w:rPr>
          <w:rFonts w:hint="default" w:ascii="Times New Roman" w:hAnsi="Times New Roman" w:cs="Times New Roman"/>
          <w:sz w:val="24"/>
          <w:szCs w:val="24"/>
          <w:highlight w:val="none"/>
        </w:rPr>
        <w:t>最大排放浓度</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0.051</w:t>
      </w:r>
      <w:r>
        <w:rPr>
          <w:rFonts w:hint="default" w:ascii="Times New Roman" w:hAnsi="Times New Roman" w:eastAsia="宋体" w:cs="Times New Roman"/>
          <w:b w:val="0"/>
          <w:bCs/>
          <w:sz w:val="24"/>
          <w:szCs w:val="24"/>
          <w:lang w:eastAsia="zh-CN"/>
        </w:rPr>
        <w:t>mg/m</w:t>
      </w:r>
      <w:r>
        <w:rPr>
          <w:rFonts w:hint="default" w:ascii="Times New Roman" w:hAnsi="Times New Roman" w:eastAsia="宋体" w:cs="Times New Roman"/>
          <w:b w:val="0"/>
          <w:bCs/>
          <w:sz w:val="24"/>
          <w:szCs w:val="24"/>
          <w:vertAlign w:val="superscript"/>
          <w:lang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rPr>
        <w:t>满足</w:t>
      </w:r>
      <w:r>
        <w:rPr>
          <w:rFonts w:hint="default" w:ascii="Times New Roman" w:hAnsi="Times New Roman" w:eastAsia="宋体" w:cs="Times New Roman"/>
          <w:sz w:val="24"/>
          <w:szCs w:val="24"/>
        </w:rPr>
        <w:t>《大气污染物综合排放标准》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GB16297-1996</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w:t>
      </w:r>
      <w:r>
        <w:rPr>
          <w:rFonts w:hint="eastAsia" w:cs="Times New Roman"/>
          <w:sz w:val="24"/>
          <w:szCs w:val="24"/>
          <w:lang w:eastAsia="zh-CN"/>
        </w:rPr>
        <w:t>无组织</w:t>
      </w:r>
      <w:r>
        <w:rPr>
          <w:rFonts w:hint="default" w:ascii="Times New Roman" w:hAnsi="Times New Roman" w:eastAsia="宋体" w:cs="Times New Roman"/>
          <w:sz w:val="24"/>
          <w:szCs w:val="24"/>
        </w:rPr>
        <w:t>排放限值要求</w:t>
      </w:r>
      <w:r>
        <w:rPr>
          <w:rFonts w:hint="eastAsia" w:cs="Times New Roman"/>
          <w:sz w:val="24"/>
          <w:szCs w:val="24"/>
          <w:lang w:eastAsia="zh-CN"/>
        </w:rPr>
        <w:t>。</w:t>
      </w:r>
    </w:p>
    <w:p>
      <w:pPr>
        <w:pStyle w:val="2"/>
        <w:ind w:firstLine="480"/>
        <w:rPr>
          <w:rFonts w:hint="default" w:ascii="Times New Roman" w:hAnsi="Times New Roman" w:cs="Times New Roman"/>
          <w:highlight w:val="none"/>
        </w:rPr>
      </w:pPr>
      <w:r>
        <w:rPr>
          <w:rFonts w:hint="default" w:ascii="Times New Roman" w:hAnsi="Times New Roman" w:cs="Times New Roman"/>
          <w:highlight w:val="none"/>
        </w:rPr>
        <w:t>无组织</w:t>
      </w:r>
      <w:r>
        <w:rPr>
          <w:rFonts w:hint="eastAsia" w:cs="Times New Roman"/>
          <w:highlight w:val="none"/>
          <w:lang w:eastAsia="zh-CN"/>
        </w:rPr>
        <w:t>废气</w:t>
      </w:r>
      <w:r>
        <w:rPr>
          <w:rFonts w:hint="eastAsia" w:cs="Times New Roman"/>
          <w:highlight w:val="none"/>
          <w:lang w:val="en-US" w:eastAsia="zh-CN"/>
        </w:rPr>
        <w:t>及噪声</w:t>
      </w:r>
      <w:r>
        <w:rPr>
          <w:rFonts w:hint="default" w:ascii="Times New Roman" w:hAnsi="Times New Roman" w:cs="Times New Roman"/>
          <w:highlight w:val="none"/>
        </w:rPr>
        <w:t>布点见图5-</w:t>
      </w:r>
      <w:r>
        <w:rPr>
          <w:rFonts w:hint="eastAsia" w:cs="Times New Roman"/>
          <w:highlight w:val="none"/>
          <w:lang w:val="en-US" w:eastAsia="zh-CN"/>
        </w:rPr>
        <w:t>1</w:t>
      </w:r>
      <w:r>
        <w:rPr>
          <w:rFonts w:hint="default" w:ascii="Times New Roman" w:hAnsi="Times New Roman" w:cs="Times New Roman"/>
          <w:highlight w:val="none"/>
        </w:rPr>
        <w:t>。</w:t>
      </w:r>
    </w:p>
    <w:p>
      <w:pPr>
        <w:pStyle w:val="2"/>
        <w:rPr>
          <w:rFonts w:hint="eastAsia"/>
          <w:lang w:eastAsia="zh-CN"/>
        </w:rPr>
      </w:pPr>
      <w:r>
        <w:rPr>
          <w:sz w:val="28"/>
        </w:rPr>
        <mc:AlternateContent>
          <mc:Choice Requires="wps">
            <w:drawing>
              <wp:anchor distT="0" distB="0" distL="114300" distR="114300" simplePos="0" relativeHeight="4136208384" behindDoc="0" locked="0" layoutInCell="1" allowOverlap="1">
                <wp:simplePos x="0" y="0"/>
                <wp:positionH relativeFrom="column">
                  <wp:posOffset>979805</wp:posOffset>
                </wp:positionH>
                <wp:positionV relativeFrom="paragraph">
                  <wp:posOffset>74930</wp:posOffset>
                </wp:positionV>
                <wp:extent cx="5080" cy="636905"/>
                <wp:effectExtent l="49530" t="0" r="59690" b="10795"/>
                <wp:wrapNone/>
                <wp:docPr id="3" name="直接箭头连接符 3"/>
                <wp:cNvGraphicFramePr/>
                <a:graphic xmlns:a="http://schemas.openxmlformats.org/drawingml/2006/main">
                  <a:graphicData uri="http://schemas.microsoft.com/office/word/2010/wordprocessingShape">
                    <wps:wsp>
                      <wps:cNvCnPr/>
                      <wps:spPr>
                        <a:xfrm>
                          <a:off x="1238885" y="7605395"/>
                          <a:ext cx="5080" cy="6369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15pt;margin-top:5.9pt;height:50.15pt;width:0.4pt;z-index:-158758912;mso-width-relative:page;mso-height-relative:page;" filled="f" stroked="t" coordsize="21600,21600" o:gfxdata="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a2B+2AAAAAoBAAAPAAAAAAAAAAEAIAAAACIAAABkcnMvZG93bnJldi54bWxQSwECFAAUAAAACACH&#10;TuJAwmNsMusBAACIAwAADgAAAAAAAAABACAAAAAnAQAAZHJzL2Uyb0RvYy54bWxQSwUGAAAAAAYA&#10;BgBZAQAAhAUAAAAA&#10;">
                <v:fill on="f" focussize="0,0"/>
                <v:stroke weight="1.5pt" color="#000000 [3213]" joinstyle="round" endarrow="open"/>
                <v:imagedata o:title=""/>
                <o:lock v:ext="edit" aspectratio="f"/>
              </v:shape>
            </w:pict>
          </mc:Fallback>
        </mc:AlternateContent>
      </w:r>
      <w:r>
        <w:rPr>
          <w:sz w:val="28"/>
        </w:rPr>
        <mc:AlternateContent>
          <mc:Choice Requires="wps">
            <w:drawing>
              <wp:anchor distT="0" distB="0" distL="114300" distR="114300" simplePos="0" relativeHeight="4134529024" behindDoc="0" locked="0" layoutInCell="1" allowOverlap="1">
                <wp:simplePos x="0" y="0"/>
                <wp:positionH relativeFrom="column">
                  <wp:posOffset>989330</wp:posOffset>
                </wp:positionH>
                <wp:positionV relativeFrom="paragraph">
                  <wp:posOffset>95885</wp:posOffset>
                </wp:positionV>
                <wp:extent cx="859155" cy="476885"/>
                <wp:effectExtent l="0" t="0" r="0" b="0"/>
                <wp:wrapNone/>
                <wp:docPr id="78" name="文本框 78"/>
                <wp:cNvGraphicFramePr/>
                <a:graphic xmlns:a="http://schemas.openxmlformats.org/drawingml/2006/main">
                  <a:graphicData uri="http://schemas.microsoft.com/office/word/2010/wordprocessingShape">
                    <wps:wsp>
                      <wps:cNvSpPr txBox="1"/>
                      <wps:spPr>
                        <a:xfrm>
                          <a:off x="1347470" y="5763895"/>
                          <a:ext cx="859155" cy="476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eastAsia="zh-CN"/>
                              </w:rPr>
                              <w:t>检测时风向</w:t>
                            </w:r>
                            <w:r>
                              <w:rPr>
                                <w:rFonts w:hint="eastAsia"/>
                                <w:lang w:val="en-US" w:eastAsia="zh-CN"/>
                              </w:rPr>
                              <w:t>北风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7.55pt;height:37.55pt;width:67.65pt;z-index:-160438272;mso-width-relative:page;mso-height-relative:page;" filled="f" stroked="f" coordsize="21600,21600" o:gfxdata="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7JADi2AAAAAkBAAAPAAAAAAAAAAEAIAAAACIAAABkcnMvZG93bnJldi54bWxQSwEC&#10;FAAUAAAACACHTuJAUthEey0CAAAlBAAADgAAAAAAAAABACAAAAAnAQAAZHJzL2Uyb0RvYy54bWxQ&#10;SwUGAAAAAAYABgBZAQAAxgUAAAAA&#10;">
                <v:fill on="f" focussize="0,0"/>
                <v:stroke on="f" weight="0.5pt"/>
                <v:imagedata o:title=""/>
                <o:lock v:ext="edit" aspectratio="f"/>
                <v:textbox>
                  <w:txbxContent>
                    <w:p>
                      <w:pPr>
                        <w:rPr>
                          <w:rFonts w:hint="eastAsia" w:eastAsia="宋体"/>
                          <w:lang w:val="en-US" w:eastAsia="zh-CN"/>
                        </w:rPr>
                      </w:pPr>
                      <w:r>
                        <w:rPr>
                          <w:rFonts w:hint="eastAsia"/>
                          <w:lang w:eastAsia="zh-CN"/>
                        </w:rPr>
                        <w:t>检测时风向</w:t>
                      </w:r>
                      <w:r>
                        <w:rPr>
                          <w:rFonts w:hint="eastAsia"/>
                          <w:lang w:val="en-US" w:eastAsia="zh-CN"/>
                        </w:rPr>
                        <w:t>北风</w:t>
                      </w:r>
                    </w:p>
                  </w:txbxContent>
                </v:textbox>
              </v:shape>
            </w:pict>
          </mc:Fallback>
        </mc:AlternateContent>
      </w:r>
    </w:p>
    <w:p>
      <w:pPr>
        <w:pStyle w:val="2"/>
        <w:rPr>
          <w:rFonts w:hint="eastAsia"/>
          <w:lang w:eastAsia="zh-CN"/>
        </w:rPr>
      </w:pPr>
      <w:r>
        <w:rPr>
          <w:sz w:val="28"/>
        </w:rPr>
        <mc:AlternateContent>
          <mc:Choice Requires="wps">
            <w:drawing>
              <wp:anchor distT="0" distB="0" distL="114300" distR="114300" simplePos="0" relativeHeight="4134606848" behindDoc="0" locked="0" layoutInCell="1" allowOverlap="1">
                <wp:simplePos x="0" y="0"/>
                <wp:positionH relativeFrom="column">
                  <wp:posOffset>2120900</wp:posOffset>
                </wp:positionH>
                <wp:positionV relativeFrom="paragraph">
                  <wp:posOffset>100330</wp:posOffset>
                </wp:positionV>
                <wp:extent cx="2328545" cy="3371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328545" cy="337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eastAsia="宋体"/>
                                <w:lang w:val="en-US" w:eastAsia="zh-CN"/>
                              </w:rPr>
                            </w:pPr>
                            <w:r>
                              <w:rPr>
                                <w:rFonts w:hint="eastAsia"/>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7.9pt;height:26.55pt;width:183.35pt;z-index:-160360448;mso-width-relative:page;mso-height-relative:page;" filled="f" stroked="f" coordsize="21600,21600" o:gfxdata="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9K3h2wAAAAkBAAAPAAAAAAAAAAEAIAAAACIAAABkcnMvZG93bnJldi54bWxQSwECFAAUAAAACACH&#10;TuJAzCHPQyECAAAaBAAADgAAAAAAAAABACAAAAAqAQAAZHJzL2Uyb0RvYy54bWxQSwUGAAAAAAYA&#10;BgBZAQAAvQUAAAAA&#10;">
                <v:fill on="f" focussize="0,0"/>
                <v:stroke on="f" weight="0.5pt"/>
                <v:imagedata o:title=""/>
                <o:lock v:ext="edit" aspectratio="f"/>
                <v:textbox>
                  <w:txbxContent>
                    <w:p>
                      <w:pPr>
                        <w:jc w:val="distribute"/>
                        <w:rPr>
                          <w:rFonts w:hint="default" w:eastAsia="宋体"/>
                          <w:lang w:val="en-US" w:eastAsia="zh-CN"/>
                        </w:rPr>
                      </w:pPr>
                      <w:r>
                        <w:rPr>
                          <w:rFonts w:hint="eastAsia"/>
                          <w:lang w:val="en-US" w:eastAsia="zh-CN"/>
                        </w:rPr>
                        <w:t>道路</w:t>
                      </w:r>
                    </w:p>
                  </w:txbxContent>
                </v:textbox>
              </v:shape>
            </w:pict>
          </mc:Fallback>
        </mc:AlternateContent>
      </w:r>
      <w:r>
        <w:rPr>
          <w:sz w:val="28"/>
        </w:rPr>
        <mc:AlternateContent>
          <mc:Choice Requires="wps">
            <w:drawing>
              <wp:anchor distT="0" distB="0" distL="114300" distR="114300" simplePos="0" relativeHeight="2651211776" behindDoc="0" locked="0" layoutInCell="1" allowOverlap="1">
                <wp:simplePos x="0" y="0"/>
                <wp:positionH relativeFrom="column">
                  <wp:posOffset>1975485</wp:posOffset>
                </wp:positionH>
                <wp:positionV relativeFrom="paragraph">
                  <wp:posOffset>55245</wp:posOffset>
                </wp:positionV>
                <wp:extent cx="2600325" cy="0"/>
                <wp:effectExtent l="0" t="9525" r="9525" b="9525"/>
                <wp:wrapNone/>
                <wp:docPr id="87" name="直接连接符 87"/>
                <wp:cNvGraphicFramePr/>
                <a:graphic xmlns:a="http://schemas.openxmlformats.org/drawingml/2006/main">
                  <a:graphicData uri="http://schemas.microsoft.com/office/word/2010/wordprocessingShape">
                    <wps:wsp>
                      <wps:cNvCnPr/>
                      <wps:spPr>
                        <a:xfrm>
                          <a:off x="0" y="0"/>
                          <a:ext cx="2600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5.55pt;margin-top:4.35pt;height:0pt;width:204.75pt;z-index:-1643755520;mso-width-relative:page;mso-height-relative:page;" filled="f" stroked="t" coordsize="21600,21600" o:gfxdata="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RlvUPTAAAABwEAAA8AAAAAAAAAAQAgAAAAIgAAAGRycy9kb3ducmV2LnhtbFBLAQIU&#10;ABQAAAAIAIdO4kCY9gmmvwEAAE8DAAAOAAAAAAAAAAEAIAAAACIBAABkcnMvZTJvRG9jLnhtbFBL&#10;BQYAAAAABgAGAFkBAABT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4134525952" behindDoc="0" locked="0" layoutInCell="1" allowOverlap="1">
                <wp:simplePos x="0" y="0"/>
                <wp:positionH relativeFrom="column">
                  <wp:posOffset>5852795</wp:posOffset>
                </wp:positionH>
                <wp:positionV relativeFrom="paragraph">
                  <wp:posOffset>121920</wp:posOffset>
                </wp:positionV>
                <wp:extent cx="285750" cy="259715"/>
                <wp:effectExtent l="0" t="0" r="0" b="0"/>
                <wp:wrapNone/>
                <wp:docPr id="38" name="文本框 38"/>
                <wp:cNvGraphicFramePr/>
                <a:graphic xmlns:a="http://schemas.openxmlformats.org/drawingml/2006/main">
                  <a:graphicData uri="http://schemas.microsoft.com/office/word/2010/wordprocessingShape">
                    <wps:wsp>
                      <wps:cNvSpPr txBox="1"/>
                      <wps:spPr>
                        <a:xfrm>
                          <a:off x="6672580" y="3607435"/>
                          <a:ext cx="28575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0.85pt;margin-top:9.6pt;height:20.45pt;width:22.5pt;z-index:-160441344;mso-width-relative:page;mso-height-relative:page;" filled="f" stroked="f" coordsize="21600,21600" o:gfxdata="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6BvpdkAAAAJAQAADwAAAAAAAAABACAAAAAiAAAAZHJzL2Rvd25yZXYueG1sUEsBAhQA&#10;FAAAAAgAh07iQDRstrwqAgAAJQQAAA4AAAAAAAAAAQAgAAAAKAEAAGRycy9lMm9Eb2MueG1sUEsF&#10;BgAAAAAGAAYAWQEAAMQ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p/>
                  </w:txbxContent>
                </v:textbox>
              </v:shape>
            </w:pict>
          </mc:Fallback>
        </mc:AlternateContent>
      </w:r>
    </w:p>
    <w:p>
      <w:pPr>
        <w:pStyle w:val="2"/>
        <w:rPr>
          <w:rFonts w:ascii="Times New Roman" w:hAnsi="Times New Roman" w:eastAsia="仿宋"/>
          <w:sz w:val="28"/>
          <w:szCs w:val="28"/>
        </w:rPr>
      </w:pPr>
      <w:r>
        <w:rPr>
          <w:sz w:val="28"/>
        </w:rPr>
        <mc:AlternateContent>
          <mc:Choice Requires="wps">
            <w:drawing>
              <wp:anchor distT="0" distB="0" distL="114300" distR="114300" simplePos="0" relativeHeight="2651211776" behindDoc="0" locked="0" layoutInCell="1" allowOverlap="1">
                <wp:simplePos x="0" y="0"/>
                <wp:positionH relativeFrom="column">
                  <wp:posOffset>1985010</wp:posOffset>
                </wp:positionH>
                <wp:positionV relativeFrom="paragraph">
                  <wp:posOffset>142875</wp:posOffset>
                </wp:positionV>
                <wp:extent cx="2600325" cy="0"/>
                <wp:effectExtent l="0" t="9525" r="9525" b="9525"/>
                <wp:wrapNone/>
                <wp:docPr id="88" name="直接连接符 88"/>
                <wp:cNvGraphicFramePr/>
                <a:graphic xmlns:a="http://schemas.openxmlformats.org/drawingml/2006/main">
                  <a:graphicData uri="http://schemas.microsoft.com/office/word/2010/wordprocessingShape">
                    <wps:wsp>
                      <wps:cNvCnPr/>
                      <wps:spPr>
                        <a:xfrm>
                          <a:off x="0" y="0"/>
                          <a:ext cx="2600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6.3pt;margin-top:11.25pt;height:0pt;width:204.75pt;z-index:-1643755520;mso-width-relative:page;mso-height-relative:page;" filled="f" stroked="t" coordsize="21600,21600" o:gfxdata="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l7CtNYAAAAJAQAADwAAAAAAAAABACAAAAAiAAAAZHJzL2Rvd25yZXYueG1sUEsB&#10;AhQAFAAAAAgAh07iQKX7+PO+AQAATwMAAA4AAAAAAAAAAQAgAAAAJQEAAGRycy9lMm9Eb2MueG1s&#10;UEsFBgAAAAAGAAYAWQEAAFUFA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1839295488" behindDoc="0" locked="0" layoutInCell="1" allowOverlap="1">
                <wp:simplePos x="0" y="0"/>
                <wp:positionH relativeFrom="column">
                  <wp:posOffset>3754755</wp:posOffset>
                </wp:positionH>
                <wp:positionV relativeFrom="paragraph">
                  <wp:posOffset>398780</wp:posOffset>
                </wp:positionV>
                <wp:extent cx="372110" cy="26035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7211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65pt;margin-top:31.4pt;height:20.5pt;width:29.3pt;z-index:1839295488;mso-width-relative:page;mso-height-relative:page;" filled="f" stroked="f" coordsize="21600,21600" o:gfxdata="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R+I&#10;G9sAAAAKAQAADwAAAAAAAAABACAAAAAiAAAAZHJzL2Rvd25yZXYueG1sUEsBAhQAFAAAAAgAh07i&#10;QNl+/q4fAgAAGQQAAA4AAAAAAAAAAQAgAAAAKgEAAGRycy9lMm9Eb2MueG1sUEsFBgAAAAAGAAYA&#10;WQEAALs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5727104" behindDoc="0" locked="0" layoutInCell="1" allowOverlap="1">
                <wp:simplePos x="0" y="0"/>
                <wp:positionH relativeFrom="column">
                  <wp:posOffset>3625850</wp:posOffset>
                </wp:positionH>
                <wp:positionV relativeFrom="paragraph">
                  <wp:posOffset>469265</wp:posOffset>
                </wp:positionV>
                <wp:extent cx="180975" cy="171450"/>
                <wp:effectExtent l="12700" t="12700" r="15875" b="25400"/>
                <wp:wrapNone/>
                <wp:docPr id="52" name="椭圆 52"/>
                <wp:cNvGraphicFramePr/>
                <a:graphic xmlns:a="http://schemas.openxmlformats.org/drawingml/2006/main">
                  <a:graphicData uri="http://schemas.microsoft.com/office/word/2010/wordprocessingShape">
                    <wps:wsp>
                      <wps:cNvSpPr/>
                      <wps:spPr>
                        <a:xfrm>
                          <a:off x="0" y="0"/>
                          <a:ext cx="1809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5pt;margin-top:36.95pt;height:13.5pt;width:14.25pt;z-index:-159240192;v-text-anchor:middle;mso-width-relative:page;mso-height-relative:page;" filled="f" stroked="t" coordsize="21600,21600" o:gfxdata="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qTMji2gAAAAoBAAAPAAAA&#10;AAAAAAEAIAAAACIAAABkcnMvZG93bnJldi54bWxQSwECFAAUAAAACACHTuJA3Snw3kwCAAB1BAAA&#10;DgAAAAAAAAABACAAAAApAQAAZHJzL2Uyb0RvYy54bWxQSwUGAAAAAAYABgBZAQAA5wUAAAAA&#10;">
                <v:fill on="f" focussize="0,0"/>
                <v:stroke weight="2pt" color="#000000 [3213]" joinstyle="round"/>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4134368256" behindDoc="0" locked="0" layoutInCell="1" allowOverlap="1">
                <wp:simplePos x="0" y="0"/>
                <wp:positionH relativeFrom="column">
                  <wp:posOffset>3136900</wp:posOffset>
                </wp:positionH>
                <wp:positionV relativeFrom="paragraph">
                  <wp:posOffset>410210</wp:posOffset>
                </wp:positionV>
                <wp:extent cx="424815" cy="261620"/>
                <wp:effectExtent l="0" t="0" r="0" b="0"/>
                <wp:wrapNone/>
                <wp:docPr id="56" name="文本框 56"/>
                <wp:cNvGraphicFramePr/>
                <a:graphic xmlns:a="http://schemas.openxmlformats.org/drawingml/2006/main">
                  <a:graphicData uri="http://schemas.microsoft.com/office/word/2010/wordprocessingShape">
                    <wps:wsp>
                      <wps:cNvSpPr txBox="1"/>
                      <wps:spPr>
                        <a:xfrm>
                          <a:off x="4394835" y="2202180"/>
                          <a:ext cx="4248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pt;margin-top:32.3pt;height:20.6pt;width:33.45pt;z-index:-160599040;mso-width-relative:page;mso-height-relative:page;" filled="f" stroked="f" coordsize="21600,21600" o:gfxdata="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08mT2wAAAAoBAAAPAAAAAAAAAAEAIAAAACIAAABkcnMvZG93bnJldi54bWxQSwEC&#10;FAAUAAAACACHTuJAQG5MlioCAAAlBAAADgAAAAAAAAABACAAAAAqAQAAZHJzL2Uyb0RvYy54bWxQ&#10;SwUGAAAAAAYABgBZAQAAxgU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4524928" behindDoc="0" locked="0" layoutInCell="1" allowOverlap="1">
                <wp:simplePos x="0" y="0"/>
                <wp:positionH relativeFrom="column">
                  <wp:posOffset>5959475</wp:posOffset>
                </wp:positionH>
                <wp:positionV relativeFrom="paragraph">
                  <wp:posOffset>95250</wp:posOffset>
                </wp:positionV>
                <wp:extent cx="76200" cy="840105"/>
                <wp:effectExtent l="12700" t="12700" r="25400" b="23495"/>
                <wp:wrapNone/>
                <wp:docPr id="57" name="上箭头 57"/>
                <wp:cNvGraphicFramePr/>
                <a:graphic xmlns:a="http://schemas.openxmlformats.org/drawingml/2006/main">
                  <a:graphicData uri="http://schemas.microsoft.com/office/word/2010/wordprocessingShape">
                    <wps:wsp>
                      <wps:cNvSpPr/>
                      <wps:spPr>
                        <a:xfrm>
                          <a:off x="6553835" y="3364865"/>
                          <a:ext cx="76200" cy="840105"/>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69.25pt;margin-top:7.5pt;height:66.15pt;width:6pt;z-index:-160442368;v-text-anchor:middle;mso-width-relative:page;mso-height-relative:page;" fillcolor="#000000 [3200]" filled="t" stroked="t" coordsize="21600,21600" o:gfxdata="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Uuqu1wAAAAoBAAAPAAAAAAAAAAEAIAAAACIAAABkcnMvZG93bnJldi54&#10;bWxQSwECFAAUAAAACACHTuJAFlRFQW0CAADNBAAADgAAAAAAAAABACAAAAAmAQAAZHJzL2Uyb0Rv&#10;Yy54bWxQSwUGAAAAAAYABgBZAQAABQYAAAAA&#10;" adj="979,5400">
                <v:fill on="t" focussize="0,0"/>
                <v:stroke weight="2pt" color="#000000 [3200]" joinstyle="round"/>
                <v:imagedata o:title=""/>
                <o:lock v:ext="edit" aspectratio="f"/>
                <v:textbox>
                  <w:txbxContent>
                    <w:p>
                      <w:pPr>
                        <w:jc w:val="center"/>
                      </w:pPr>
                    </w:p>
                  </w:txbxContent>
                </v:textbox>
              </v:shape>
            </w:pict>
          </mc:Fallback>
        </mc:AlternateContent>
      </w:r>
    </w:p>
    <w:p>
      <w:pPr>
        <w:jc w:val="right"/>
      </w:pPr>
      <w:r>
        <w:rPr>
          <w:sz w:val="28"/>
        </w:rPr>
        <mc:AlternateContent>
          <mc:Choice Requires="wps">
            <w:drawing>
              <wp:anchor distT="0" distB="0" distL="114300" distR="114300" simplePos="0" relativeHeight="1893194752" behindDoc="0" locked="0" layoutInCell="1" allowOverlap="1">
                <wp:simplePos x="0" y="0"/>
                <wp:positionH relativeFrom="column">
                  <wp:posOffset>1232535</wp:posOffset>
                </wp:positionH>
                <wp:positionV relativeFrom="paragraph">
                  <wp:posOffset>196850</wp:posOffset>
                </wp:positionV>
                <wp:extent cx="4445" cy="1043940"/>
                <wp:effectExtent l="0" t="0" r="0" b="0"/>
                <wp:wrapNone/>
                <wp:docPr id="89" name="直接连接符 89"/>
                <wp:cNvGraphicFramePr/>
                <a:graphic xmlns:a="http://schemas.openxmlformats.org/drawingml/2006/main">
                  <a:graphicData uri="http://schemas.microsoft.com/office/word/2010/wordprocessingShape">
                    <wps:wsp>
                      <wps:cNvCnPr/>
                      <wps:spPr>
                        <a:xfrm flipH="1">
                          <a:off x="0" y="0"/>
                          <a:ext cx="4445" cy="10439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97.05pt;margin-top:15.5pt;height:82.2pt;width:0.35pt;z-index:1893194752;mso-width-relative:page;mso-height-relative:page;" filled="f" stroked="t" coordsize="21600,21600" o:gfxdata="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zhHmdYAAAAKAQAADwAAAAAAAAABACAAAAAiAAAAZHJzL2Rv&#10;d25yZXYueG1sUEsBAhQAFAAAAAgAh07iQP4gODTKAQAAXAMAAA4AAAAAAAAAAQAgAAAAJQEAAGRy&#10;cy9lMm9Eb2MueG1sUEsFBgAAAAAGAAYAWQEAAGEFA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4134381568" behindDoc="0" locked="0" layoutInCell="1" allowOverlap="1">
                <wp:simplePos x="0" y="0"/>
                <wp:positionH relativeFrom="column">
                  <wp:posOffset>3068955</wp:posOffset>
                </wp:positionH>
                <wp:positionV relativeFrom="paragraph">
                  <wp:posOffset>635</wp:posOffset>
                </wp:positionV>
                <wp:extent cx="129540" cy="155575"/>
                <wp:effectExtent l="12700" t="12700" r="29210" b="22225"/>
                <wp:wrapNone/>
                <wp:docPr id="61" name="等腰三角形 61"/>
                <wp:cNvGraphicFramePr/>
                <a:graphic xmlns:a="http://schemas.openxmlformats.org/drawingml/2006/main">
                  <a:graphicData uri="http://schemas.microsoft.com/office/word/2010/wordprocessingShape">
                    <wps:wsp>
                      <wps:cNvSpPr/>
                      <wps:spPr>
                        <a:xfrm>
                          <a:off x="3425825" y="3762375"/>
                          <a:ext cx="129540" cy="1555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1.65pt;margin-top:0.05pt;height:12.25pt;width:10.2pt;z-index:-160585728;v-text-anchor:middle;mso-width-relative:page;mso-height-relative:page;" fillcolor="#000000 [3200]" filled="t" stroked="t" coordsize="21600,21600" o:gfxdata="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4jLM9UAAAAHAQAADwAAAAAAAAABACAAAAAiAAAAZHJz&#10;L2Rvd25yZXYueG1sUEsBAhQAFAAAAAgAh07iQHHD3xp5AgAA1QQAAA4AAAAAAAAAAQAgAAAAJAEA&#10;AGRycy9lMm9Eb2MueG1sUEsFBgAAAAAGAAYAWQEAAA8GAAAAAA==&#10;" adj="10800">
                <v:fill on="t" focussize="0,0"/>
                <v:stroke weight="2pt" color="#000000 [3200]" joinstyle="round"/>
                <v:imagedata o:title=""/>
                <o:lock v:ext="edit" aspectratio="f"/>
                <v:textbox>
                  <w:txbxContent>
                    <w:p>
                      <w:pPr>
                        <w:jc w:val="center"/>
                      </w:pPr>
                    </w:p>
                  </w:txbxContent>
                </v:textbox>
              </v:shape>
            </w:pict>
          </mc:Fallback>
        </mc:AlternateContent>
      </w:r>
    </w:p>
    <w:p>
      <w:pPr>
        <w:tabs>
          <w:tab w:val="left" w:pos="6157"/>
        </w:tabs>
        <w:jc w:val="center"/>
        <w:rPr>
          <w:sz w:val="28"/>
        </w:rPr>
      </w:pPr>
      <w:r>
        <w:rPr>
          <w:sz w:val="28"/>
        </w:rPr>
        <mc:AlternateContent>
          <mc:Choice Requires="wps">
            <w:drawing>
              <wp:anchor distT="0" distB="0" distL="114300" distR="114300" simplePos="0" relativeHeight="3240416256" behindDoc="0" locked="0" layoutInCell="1" allowOverlap="1">
                <wp:simplePos x="0" y="0"/>
                <wp:positionH relativeFrom="column">
                  <wp:posOffset>5323840</wp:posOffset>
                </wp:positionH>
                <wp:positionV relativeFrom="paragraph">
                  <wp:posOffset>89535</wp:posOffset>
                </wp:positionV>
                <wp:extent cx="356235" cy="141732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356235" cy="1417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道</w:t>
                            </w: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2pt;margin-top:7.05pt;height:111.6pt;width:28.05pt;z-index:-1054551040;mso-width-relative:page;mso-height-relative:page;" filled="f" stroked="f" coordsize="21600,21600" o:gfxdata="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wJ&#10;vETaAAAACgEAAA8AAAAAAAAAAQAgAAAAIgAAAGRycy9kb3ducmV2LnhtbFBLAQIUABQAAAAIAIdO&#10;4kCwnuZzIQIAABoEAAAOAAAAAAAAAAEAIAAAACkBAABkcnMvZTJvRG9jLnhtbFBLBQYAAAAABgAG&#10;AFkBAAC8BQAAAAA=&#10;">
                <v:fill on="f" focussize="0,0"/>
                <v:stroke on="f" weight="0.5pt"/>
                <v:imagedata o:title=""/>
                <o:lock v:ext="edit" aspectratio="f"/>
                <v:textbox>
                  <w:txbxContent>
                    <w:p>
                      <w:pPr>
                        <w:rPr>
                          <w:rFonts w:hint="eastAsia"/>
                          <w:lang w:val="en-US" w:eastAsia="zh-CN"/>
                        </w:rPr>
                      </w:pPr>
                      <w:r>
                        <w:rPr>
                          <w:rFonts w:hint="eastAsia"/>
                          <w:lang w:val="en-US" w:eastAsia="zh-CN"/>
                        </w:rPr>
                        <w:t>道</w:t>
                      </w: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路</w:t>
                      </w:r>
                    </w:p>
                  </w:txbxContent>
                </v:textbox>
              </v:shape>
            </w:pict>
          </mc:Fallback>
        </mc:AlternateContent>
      </w:r>
      <w:r>
        <w:rPr>
          <w:sz w:val="28"/>
        </w:rPr>
        <mc:AlternateContent>
          <mc:Choice Requires="wps">
            <w:drawing>
              <wp:anchor distT="0" distB="0" distL="114300" distR="114300" simplePos="0" relativeHeight="650910720" behindDoc="0" locked="0" layoutInCell="1" allowOverlap="1">
                <wp:simplePos x="0" y="0"/>
                <wp:positionH relativeFrom="column">
                  <wp:posOffset>5652135</wp:posOffset>
                </wp:positionH>
                <wp:positionV relativeFrom="paragraph">
                  <wp:posOffset>8255</wp:posOffset>
                </wp:positionV>
                <wp:extent cx="4445" cy="1043940"/>
                <wp:effectExtent l="0" t="0" r="0" b="0"/>
                <wp:wrapNone/>
                <wp:docPr id="91" name="直接连接符 91"/>
                <wp:cNvGraphicFramePr/>
                <a:graphic xmlns:a="http://schemas.openxmlformats.org/drawingml/2006/main">
                  <a:graphicData uri="http://schemas.microsoft.com/office/word/2010/wordprocessingShape">
                    <wps:wsp>
                      <wps:cNvCnPr/>
                      <wps:spPr>
                        <a:xfrm flipH="1">
                          <a:off x="0" y="0"/>
                          <a:ext cx="4445" cy="10439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45.05pt;margin-top:0.65pt;height:82.2pt;width:0.35pt;z-index:650910720;mso-width-relative:page;mso-height-relative:page;" filled="f" stroked="t" coordsize="21600,21600" o:gfxdata="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HUuD1QAAAAkBAAAPAAAAAAAAAAEAIAAAACIAAABkcnMvZG93&#10;bnJldi54bWxQSwECFAAUAAAACACHTuJAbuOuGcoBAABcAwAADgAAAAAAAAABACAAAAAkAQAAZHJz&#10;L2Uyb0RvYy54bWxQSwUGAAAAAAYABgBZAQAAYAU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3419536384" behindDoc="0" locked="0" layoutInCell="1" allowOverlap="1">
                <wp:simplePos x="0" y="0"/>
                <wp:positionH relativeFrom="column">
                  <wp:posOffset>5280660</wp:posOffset>
                </wp:positionH>
                <wp:positionV relativeFrom="paragraph">
                  <wp:posOffset>8255</wp:posOffset>
                </wp:positionV>
                <wp:extent cx="4445" cy="1043940"/>
                <wp:effectExtent l="0" t="0" r="0" b="0"/>
                <wp:wrapNone/>
                <wp:docPr id="90" name="直接连接符 90"/>
                <wp:cNvGraphicFramePr/>
                <a:graphic xmlns:a="http://schemas.openxmlformats.org/drawingml/2006/main">
                  <a:graphicData uri="http://schemas.microsoft.com/office/word/2010/wordprocessingShape">
                    <wps:wsp>
                      <wps:cNvCnPr/>
                      <wps:spPr>
                        <a:xfrm flipH="1">
                          <a:off x="0" y="0"/>
                          <a:ext cx="4445" cy="10439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15.8pt;margin-top:0.65pt;height:82.2pt;width:0.35pt;z-index:-875430912;mso-width-relative:page;mso-height-relative:page;" filled="f" stroked="t" coordsize="21600,21600" o:gfxdata="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vHI1gAAAAkBAAAPAAAAAAAAAAEAIAAAACIAAABkcnMvZG93&#10;bnJldi54bWxQSwECFAAUAAAACACHTuJAk7wJn8kBAABcAwAADgAAAAAAAAABACAAAAAlAQAAZHJz&#10;L2Uyb0RvYy54bWxQSwUGAAAAAAYABgBZAQAAYAU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366853120" behindDoc="0" locked="0" layoutInCell="1" allowOverlap="1">
                <wp:simplePos x="0" y="0"/>
                <wp:positionH relativeFrom="column">
                  <wp:posOffset>870585</wp:posOffset>
                </wp:positionH>
                <wp:positionV relativeFrom="paragraph">
                  <wp:posOffset>8255</wp:posOffset>
                </wp:positionV>
                <wp:extent cx="4445" cy="1043940"/>
                <wp:effectExtent l="0" t="0" r="0" b="0"/>
                <wp:wrapNone/>
                <wp:docPr id="17" name="直接连接符 17"/>
                <wp:cNvGraphicFramePr/>
                <a:graphic xmlns:a="http://schemas.openxmlformats.org/drawingml/2006/main">
                  <a:graphicData uri="http://schemas.microsoft.com/office/word/2010/wordprocessingShape">
                    <wps:wsp>
                      <wps:cNvCnPr/>
                      <wps:spPr>
                        <a:xfrm flipH="1">
                          <a:off x="503555" y="4095115"/>
                          <a:ext cx="4445" cy="10439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8.55pt;margin-top:0.65pt;height:82.2pt;width:0.35pt;z-index:366853120;mso-width-relative:page;mso-height-relative:page;" filled="f" stroked="t" coordsize="21600,21600" o:gfxdata="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MLLfTAAAACQEAAA8AAAAAAAAAAQAgAAAA&#10;IgAAAGRycy9kb3ducmV2LnhtbFBLAQIUABQAAAAIAIdO4kCn8/3Q1wEAAGcDAAAOAAAAAAAAAAEA&#10;IAAAACIBAABkcnMvZTJvRG9jLnhtbFBLBQYAAAAABgAGAFkBAABr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1839130624" behindDoc="0" locked="0" layoutInCell="1" allowOverlap="1">
                <wp:simplePos x="0" y="0"/>
                <wp:positionH relativeFrom="column">
                  <wp:posOffset>2094230</wp:posOffset>
                </wp:positionH>
                <wp:positionV relativeFrom="paragraph">
                  <wp:posOffset>349885</wp:posOffset>
                </wp:positionV>
                <wp:extent cx="2342515" cy="28448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342515"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山东民基新材料科技有限公司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9pt;margin-top:27.55pt;height:22.4pt;width:184.45pt;z-index:1839130624;mso-width-relative:page;mso-height-relative:page;" filled="f" stroked="f" coordsize="21600,21600" o:gfxdata="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Q+kj2gAAAAkBAAAPAAAAAAAAAAEAIAAAACIAAABkcnMvZG93bnJldi54bWxQSwECFAAUAAAACACH&#10;TuJAwXIiuCICAAAaBAAADgAAAAAAAAABACAAAAApAQAAZHJzL2Uyb0RvYy54bWxQSwUGAAAAAAYA&#10;BgBZAQAAvQUAAAAA&#10;">
                <v:fill on="f" focussize="0,0"/>
                <v:stroke on="f" weight="0.5pt"/>
                <v:imagedata o:title=""/>
                <o:lock v:ext="edit" aspectratio="f"/>
                <v:textbox>
                  <w:txbxContent>
                    <w:p>
                      <w:pPr>
                        <w:jc w:val="center"/>
                        <w:rPr>
                          <w:rFonts w:hint="eastAsia"/>
                          <w:sz w:val="24"/>
                          <w:szCs w:val="24"/>
                          <w:lang w:val="en-US" w:eastAsia="zh-CN"/>
                        </w:rPr>
                      </w:pPr>
                      <w:r>
                        <w:rPr>
                          <w:rFonts w:hint="eastAsia"/>
                          <w:sz w:val="24"/>
                          <w:szCs w:val="24"/>
                          <w:lang w:val="en-US" w:eastAsia="zh-CN"/>
                        </w:rPr>
                        <w:t>山东民基新材料科技有限公司</w:t>
                      </w:r>
                    </w:p>
                  </w:txbxContent>
                </v:textbox>
              </v:shape>
            </w:pict>
          </mc:Fallback>
        </mc:AlternateContent>
      </w:r>
      <w:r>
        <w:rPr>
          <w:sz w:val="28"/>
        </w:rPr>
        <mc:AlternateContent>
          <mc:Choice Requires="wps">
            <w:drawing>
              <wp:anchor distT="0" distB="0" distL="114300" distR="114300" simplePos="0" relativeHeight="4135793664" behindDoc="0" locked="0" layoutInCell="1" allowOverlap="1">
                <wp:simplePos x="0" y="0"/>
                <wp:positionH relativeFrom="column">
                  <wp:posOffset>1443990</wp:posOffset>
                </wp:positionH>
                <wp:positionV relativeFrom="paragraph">
                  <wp:posOffset>287655</wp:posOffset>
                </wp:positionV>
                <wp:extent cx="389890" cy="28956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389890" cy="289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pt;margin-top:22.65pt;height:22.8pt;width:30.7pt;z-index:-159173632;mso-width-relative:page;mso-height-relative:page;" filled="f" stroked="f" coordsize="21600,21600" o:gfxdata="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i6&#10;Bw3bAAAACQEAAA8AAAAAAAAAAQAgAAAAIgAAAGRycy9kb3ducmV2LnhtbFBLAQIUABQAAAAIAIdO&#10;4kC9WOw1IAIAABkEAAAOAAAAAAAAAAEAIAAAACo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4522880" behindDoc="0" locked="0" layoutInCell="1" allowOverlap="1">
                <wp:simplePos x="0" y="0"/>
                <wp:positionH relativeFrom="column">
                  <wp:posOffset>1381760</wp:posOffset>
                </wp:positionH>
                <wp:positionV relativeFrom="paragraph">
                  <wp:posOffset>339725</wp:posOffset>
                </wp:positionV>
                <wp:extent cx="129540" cy="155575"/>
                <wp:effectExtent l="12700" t="12700" r="29210" b="22225"/>
                <wp:wrapNone/>
                <wp:docPr id="8" name="等腰三角形 8"/>
                <wp:cNvGraphicFramePr/>
                <a:graphic xmlns:a="http://schemas.openxmlformats.org/drawingml/2006/main">
                  <a:graphicData uri="http://schemas.microsoft.com/office/word/2010/wordprocessingShape">
                    <wps:wsp>
                      <wps:cNvSpPr/>
                      <wps:spPr>
                        <a:xfrm>
                          <a:off x="0" y="0"/>
                          <a:ext cx="129540" cy="1555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8.8pt;margin-top:26.75pt;height:12.25pt;width:10.2pt;z-index:-160444416;v-text-anchor:middle;mso-width-relative:page;mso-height-relative:page;" fillcolor="#000000 [3200]" filled="t" stroked="t" coordsize="21600,21600" o:gfxdata="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GgBd81wAAAAkBAAAPAAAAAAAAAAEAIAAAACIAAABkcnMvZG93bnJldi54bWxQ&#10;SwECFAAUAAAACACHTuJA7XqXf2oCAADHBAAADgAAAAAAAAABACAAAAAmAQAAZHJzL2Uyb0RvYy54&#10;bWxQSwUGAAAAAAYABgBZAQAAAgYAAAAA&#10;" adj="10800">
                <v:fill on="t" focussize="0,0"/>
                <v:stroke weight="2pt" color="#000000 [3200]" joinstyle="round"/>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2838679552" behindDoc="0" locked="0" layoutInCell="1" allowOverlap="1">
                <wp:simplePos x="0" y="0"/>
                <wp:positionH relativeFrom="column">
                  <wp:posOffset>756285</wp:posOffset>
                </wp:positionH>
                <wp:positionV relativeFrom="paragraph">
                  <wp:posOffset>24765</wp:posOffset>
                </wp:positionV>
                <wp:extent cx="598805" cy="147129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98805" cy="1471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lang w:val="en-US" w:eastAsia="zh-CN"/>
                              </w:rPr>
                            </w:pPr>
                            <w:r>
                              <w:rPr>
                                <w:rFonts w:hint="eastAsia"/>
                                <w:lang w:val="en-US" w:eastAsia="zh-CN"/>
                              </w:rPr>
                              <w:t>道</w:t>
                            </w:r>
                          </w:p>
                          <w:p>
                            <w:pPr>
                              <w:jc w:val="distribute"/>
                              <w:rPr>
                                <w:rFonts w:hint="eastAsia"/>
                                <w:lang w:val="en-US" w:eastAsia="zh-CN"/>
                              </w:rPr>
                            </w:pPr>
                          </w:p>
                          <w:p>
                            <w:pPr>
                              <w:jc w:val="distribute"/>
                              <w:rPr>
                                <w:rFonts w:hint="eastAsia"/>
                                <w:lang w:val="en-US" w:eastAsia="zh-CN"/>
                              </w:rPr>
                            </w:pPr>
                          </w:p>
                          <w:p>
                            <w:pPr>
                              <w:jc w:val="distribute"/>
                              <w:rPr>
                                <w:rFonts w:hint="default" w:eastAsia="宋体"/>
                                <w:lang w:val="en-US" w:eastAsia="zh-CN"/>
                              </w:rPr>
                            </w:pPr>
                            <w:r>
                              <w:rPr>
                                <w:rFonts w:hint="eastAsia"/>
                                <w:lang w:val="en-US"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5pt;margin-top:1.95pt;height:115.85pt;width:47.15pt;z-index:-1456287744;mso-width-relative:page;mso-height-relative:page;" filled="f" stroked="f" coordsize="21600,21600" o:gfxdata="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3Mj&#10;2toAAAAJAQAADwAAAAAAAAABACAAAAAiAAAAZHJzL2Rvd25yZXYueG1sUEsBAhQAFAAAAAgAh07i&#10;QJKUp40gAgAAGgQAAA4AAAAAAAAAAQAgAAAAKQEAAGRycy9lMm9Eb2MueG1sUEsFBgAAAAAGAAYA&#10;WQEAALsFAAAAAA==&#10;">
                <v:fill on="f" focussize="0,0"/>
                <v:stroke on="f" weight="0.5pt"/>
                <v:imagedata o:title=""/>
                <o:lock v:ext="edit" aspectratio="f"/>
                <v:textbox>
                  <w:txbxContent>
                    <w:p>
                      <w:pPr>
                        <w:jc w:val="distribute"/>
                        <w:rPr>
                          <w:rFonts w:hint="eastAsia"/>
                          <w:lang w:val="en-US" w:eastAsia="zh-CN"/>
                        </w:rPr>
                      </w:pPr>
                      <w:r>
                        <w:rPr>
                          <w:rFonts w:hint="eastAsia"/>
                          <w:lang w:val="en-US" w:eastAsia="zh-CN"/>
                        </w:rPr>
                        <w:t>道</w:t>
                      </w:r>
                    </w:p>
                    <w:p>
                      <w:pPr>
                        <w:jc w:val="distribute"/>
                        <w:rPr>
                          <w:rFonts w:hint="eastAsia"/>
                          <w:lang w:val="en-US" w:eastAsia="zh-CN"/>
                        </w:rPr>
                      </w:pPr>
                    </w:p>
                    <w:p>
                      <w:pPr>
                        <w:jc w:val="distribute"/>
                        <w:rPr>
                          <w:rFonts w:hint="eastAsia"/>
                          <w:lang w:val="en-US" w:eastAsia="zh-CN"/>
                        </w:rPr>
                      </w:pPr>
                    </w:p>
                    <w:p>
                      <w:pPr>
                        <w:jc w:val="distribute"/>
                        <w:rPr>
                          <w:rFonts w:hint="default" w:eastAsia="宋体"/>
                          <w:lang w:val="en-US" w:eastAsia="zh-CN"/>
                        </w:rPr>
                      </w:pPr>
                      <w:r>
                        <w:rPr>
                          <w:rFonts w:hint="eastAsia"/>
                          <w:lang w:val="en-US" w:eastAsia="zh-CN"/>
                        </w:rPr>
                        <w:t>路</w:t>
                      </w:r>
                    </w:p>
                  </w:txbxContent>
                </v:textbox>
              </v:shape>
            </w:pict>
          </mc:Fallback>
        </mc:AlternateContent>
      </w:r>
      <w:r>
        <w:rPr>
          <w:sz w:val="28"/>
        </w:rPr>
        <mc:AlternateContent>
          <mc:Choice Requires="wps">
            <w:drawing>
              <wp:anchor distT="0" distB="0" distL="114300" distR="114300" simplePos="0" relativeHeight="4135859200" behindDoc="0" locked="0" layoutInCell="1" allowOverlap="1">
                <wp:simplePos x="0" y="0"/>
                <wp:positionH relativeFrom="column">
                  <wp:posOffset>4934585</wp:posOffset>
                </wp:positionH>
                <wp:positionV relativeFrom="paragraph">
                  <wp:posOffset>306705</wp:posOffset>
                </wp:positionV>
                <wp:extent cx="336550" cy="32893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36550"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55pt;margin-top:24.15pt;height:25.9pt;width:26.5pt;z-index:-159108096;mso-width-relative:page;mso-height-relative:page;" filled="f" stroked="f" coordsize="21600,21600" o:gfxdata="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p44T9kA&#10;AAAKAQAADwAAAAAAAAABACAAAAAiAAAAZHJzL2Rvd25yZXYueG1sUEsBAhQAFAAAAAgAh07iQIuU&#10;AcweAgAAGQQAAA4AAAAAAAAAAQAgAAAAKAEAAGRycy9lMm9Eb2MueG1sUEsFBgAAAAAGAAYAWQEA&#10;ALg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4428672" behindDoc="0" locked="0" layoutInCell="1" allowOverlap="1">
                <wp:simplePos x="0" y="0"/>
                <wp:positionH relativeFrom="column">
                  <wp:posOffset>4860925</wp:posOffset>
                </wp:positionH>
                <wp:positionV relativeFrom="paragraph">
                  <wp:posOffset>354330</wp:posOffset>
                </wp:positionV>
                <wp:extent cx="129540" cy="155575"/>
                <wp:effectExtent l="12700" t="12700" r="29210" b="22225"/>
                <wp:wrapNone/>
                <wp:docPr id="65" name="等腰三角形 65"/>
                <wp:cNvGraphicFramePr/>
                <a:graphic xmlns:a="http://schemas.openxmlformats.org/drawingml/2006/main">
                  <a:graphicData uri="http://schemas.microsoft.com/office/word/2010/wordprocessingShape">
                    <wps:wsp>
                      <wps:cNvSpPr/>
                      <wps:spPr>
                        <a:xfrm>
                          <a:off x="0" y="0"/>
                          <a:ext cx="129540" cy="1555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82.75pt;margin-top:27.9pt;height:12.25pt;width:10.2pt;z-index:-160538624;v-text-anchor:middle;mso-width-relative:page;mso-height-relative:page;" fillcolor="#000000 [3200]" filled="t" stroked="t" coordsize="21600,21600" o:gfxdata="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C/1W2AAAAAkBAAAPAAAAAAAAAAEAIAAAACIAAABkcnMvZG93bnJldi54&#10;bWxQSwECFAAUAAAACACHTuJA25sHN2wCAADJBAAADgAAAAAAAAABACAAAAAnAQAAZHJzL2Uyb0Rv&#10;Yy54bWxQSwUGAAAAAAYABgBZAQAABQYAAAAA&#10;" adj="10800">
                <v:fill on="t" focussize="0,0"/>
                <v:stroke weight="2pt" color="#000000 [3200]" joinstyle="round"/>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4134369280" behindDoc="0" locked="0" layoutInCell="1" allowOverlap="1">
                <wp:simplePos x="0" y="0"/>
                <wp:positionH relativeFrom="column">
                  <wp:posOffset>1733550</wp:posOffset>
                </wp:positionH>
                <wp:positionV relativeFrom="paragraph">
                  <wp:posOffset>24765</wp:posOffset>
                </wp:positionV>
                <wp:extent cx="3063875" cy="982345"/>
                <wp:effectExtent l="12700" t="0" r="28575" b="14605"/>
                <wp:wrapNone/>
                <wp:docPr id="10" name="矩形 10"/>
                <wp:cNvGraphicFramePr/>
                <a:graphic xmlns:a="http://schemas.openxmlformats.org/drawingml/2006/main">
                  <a:graphicData uri="http://schemas.microsoft.com/office/word/2010/wordprocessingShape">
                    <wps:wsp>
                      <wps:cNvSpPr/>
                      <wps:spPr>
                        <a:xfrm>
                          <a:off x="2073910" y="4041140"/>
                          <a:ext cx="3063875" cy="982345"/>
                        </a:xfrm>
                        <a:prstGeom prst="rect">
                          <a:avLst/>
                        </a:prstGeom>
                        <a:noFill/>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1.95pt;height:77.35pt;width:241.25pt;z-index:-160598016;v-text-anchor:middle;mso-width-relative:page;mso-height-relative:page;" filled="f" stroked="t" coordsize="21600,21600" o:gfxdata="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mkCLrZAAAA&#10;CQEAAA8AAAAAAAAAAQAgAAAAIgAAAGRycy9kb3ducmV2LnhtbFBLAQIUABQAAAAIAIdO4kBAPSax&#10;VQIAAH8EAAAOAAAAAAAAAAEAIAAAACgBAABkcnMvZTJvRG9jLnhtbFBLBQYAAAAABgAGAFkBAADv&#10;BQAAAAA=&#10;">
                <v:fill on="f" focussize="0,0"/>
                <v:stroke weight="2pt" color="#000000 [3200]" joinstyle="round"/>
                <v:imagedata o:title=""/>
                <o:lock v:ext="edit" aspectratio="f"/>
                <v:textbox>
                  <w:txbxContent>
                    <w:p>
                      <w:pPr>
                        <w:jc w:val="center"/>
                      </w:pPr>
                    </w:p>
                  </w:txbxContent>
                </v:textbox>
              </v:rect>
            </w:pict>
          </mc:Fallback>
        </mc:AlternateContent>
      </w:r>
    </w:p>
    <w:p>
      <w:pPr>
        <w:tabs>
          <w:tab w:val="left" w:pos="6157"/>
        </w:tabs>
        <w:jc w:val="center"/>
        <w:rPr>
          <w:rFonts w:hint="eastAsia" w:eastAsia="宋体"/>
          <w:lang w:val="en-US" w:eastAsia="zh-CN"/>
        </w:rPr>
      </w:pPr>
    </w:p>
    <w:p>
      <w:pPr>
        <w:tabs>
          <w:tab w:val="left" w:pos="6157"/>
        </w:tabs>
        <w:jc w:val="center"/>
        <w:rPr>
          <w:rFonts w:ascii="Times New Roman" w:hAnsi="Times New Roman" w:eastAsia="仿宋"/>
          <w:sz w:val="28"/>
          <w:szCs w:val="28"/>
        </w:rPr>
      </w:pPr>
    </w:p>
    <w:p>
      <w:pPr>
        <w:tabs>
          <w:tab w:val="left" w:pos="6157"/>
        </w:tabs>
        <w:jc w:val="center"/>
        <w:rPr>
          <w:rFonts w:ascii="Times New Roman" w:hAnsi="Times New Roman" w:eastAsia="仿宋"/>
          <w:sz w:val="28"/>
          <w:szCs w:val="28"/>
        </w:rPr>
      </w:pPr>
      <w:r>
        <w:rPr>
          <w:sz w:val="28"/>
        </w:rPr>
        <mc:AlternateContent>
          <mc:Choice Requires="wps">
            <w:drawing>
              <wp:anchor distT="0" distB="0" distL="114300" distR="114300" simplePos="0" relativeHeight="4134526976" behindDoc="0" locked="0" layoutInCell="1" allowOverlap="1">
                <wp:simplePos x="0" y="0"/>
                <wp:positionH relativeFrom="column">
                  <wp:posOffset>4316095</wp:posOffset>
                </wp:positionH>
                <wp:positionV relativeFrom="paragraph">
                  <wp:posOffset>50800</wp:posOffset>
                </wp:positionV>
                <wp:extent cx="405765" cy="321945"/>
                <wp:effectExtent l="0" t="0" r="0" b="0"/>
                <wp:wrapNone/>
                <wp:docPr id="39" name="文本框 39"/>
                <wp:cNvGraphicFramePr/>
                <a:graphic xmlns:a="http://schemas.openxmlformats.org/drawingml/2006/main">
                  <a:graphicData uri="http://schemas.microsoft.com/office/word/2010/wordprocessingShape">
                    <wps:wsp>
                      <wps:cNvSpPr txBox="1"/>
                      <wps:spPr>
                        <a:xfrm>
                          <a:off x="5226685" y="4793615"/>
                          <a:ext cx="405765"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r>
                              <w:rPr>
                                <w:rFonts w:hint="default" w:ascii="Times New Roman" w:hAnsi="Times New Roman" w:cs="Times New Roma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85pt;margin-top:4pt;height:25.35pt;width:31.95pt;z-index:-160440320;mso-width-relative:page;mso-height-relative:page;" filled="f" stroked="f" coordsize="21600,21600" o:gfxdata="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PSRf2gAAAAgBAAAPAAAAAAAAAAEAIAAAACIAAABkcnMvZG93bnJldi54bWxQ&#10;SwECFAAUAAAACACHTuJANnc7DS4CAAAlBAAADgAAAAAAAAABACAAAAApAQAAZHJzL2Uyb0RvYy54&#10;bWxQSwUGAAAAAAYABgBZAQAAyQU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r>
                        <w:rPr>
                          <w:rFonts w:hint="default" w:ascii="Times New Roman" w:hAnsi="Times New Roman" w:cs="Times New Roman"/>
                        </w:rPr>
                        <w:t>#</w:t>
                      </w:r>
                    </w:p>
                    <w:p/>
                  </w:txbxContent>
                </v:textbox>
              </v:shape>
            </w:pict>
          </mc:Fallback>
        </mc:AlternateContent>
      </w:r>
      <w:r>
        <w:rPr>
          <w:sz w:val="28"/>
        </w:rPr>
        <mc:AlternateContent>
          <mc:Choice Requires="wps">
            <w:drawing>
              <wp:anchor distT="0" distB="0" distL="114300" distR="114300" simplePos="0" relativeHeight="4134682624" behindDoc="0" locked="0" layoutInCell="1" allowOverlap="1">
                <wp:simplePos x="0" y="0"/>
                <wp:positionH relativeFrom="column">
                  <wp:posOffset>4197350</wp:posOffset>
                </wp:positionH>
                <wp:positionV relativeFrom="paragraph">
                  <wp:posOffset>107950</wp:posOffset>
                </wp:positionV>
                <wp:extent cx="180975" cy="171450"/>
                <wp:effectExtent l="12700" t="12700" r="15875" b="25400"/>
                <wp:wrapNone/>
                <wp:docPr id="58" name="椭圆 58"/>
                <wp:cNvGraphicFramePr/>
                <a:graphic xmlns:a="http://schemas.openxmlformats.org/drawingml/2006/main">
                  <a:graphicData uri="http://schemas.microsoft.com/office/word/2010/wordprocessingShape">
                    <wps:wsp>
                      <wps:cNvSpPr/>
                      <wps:spPr>
                        <a:xfrm>
                          <a:off x="870585" y="4485005"/>
                          <a:ext cx="1809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5pt;margin-top:8.5pt;height:13.5pt;width:14.25pt;z-index:-160284672;v-text-anchor:middle;mso-width-relative:page;mso-height-relative:page;" filled="f" stroked="t" coordsize="21600,21600" o:gfxdata="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bb5UNkAAAAJAQAA&#10;DwAAAAAAAAABACAAAAAiAAAAZHJzL2Rvd25yZXYueG1sUEsBAhQAFAAAAAgAh07iQIKKdetRAgAA&#10;dQQAAA4AAAAAAAAAAQAgAAAAKAEAAGRycy9lMm9Eb2MueG1sUEsFBgAAAAAGAAYAWQEAAOsFAAAA&#10;AA==&#10;">
                <v:fill on="f" focussize="0,0"/>
                <v:stroke weight="2pt" color="#000000 [3213]" joinstyle="round"/>
                <v:imagedata o:title=""/>
                <o:lock v:ext="edit" aspectratio="f"/>
              </v:shape>
            </w:pict>
          </mc:Fallback>
        </mc:AlternateContent>
      </w:r>
      <w:r>
        <w:rPr>
          <w:sz w:val="28"/>
        </w:rPr>
        <mc:AlternateContent>
          <mc:Choice Requires="wps">
            <w:drawing>
              <wp:anchor distT="0" distB="0" distL="114300" distR="114300" simplePos="0" relativeHeight="4134367232" behindDoc="0" locked="0" layoutInCell="1" allowOverlap="1">
                <wp:simplePos x="0" y="0"/>
                <wp:positionH relativeFrom="column">
                  <wp:posOffset>2089785</wp:posOffset>
                </wp:positionH>
                <wp:positionV relativeFrom="paragraph">
                  <wp:posOffset>8890</wp:posOffset>
                </wp:positionV>
                <wp:extent cx="372110" cy="260350"/>
                <wp:effectExtent l="0" t="0" r="0" b="0"/>
                <wp:wrapNone/>
                <wp:docPr id="41" name="文本框 41"/>
                <wp:cNvGraphicFramePr/>
                <a:graphic xmlns:a="http://schemas.openxmlformats.org/drawingml/2006/main">
                  <a:graphicData uri="http://schemas.microsoft.com/office/word/2010/wordprocessingShape">
                    <wps:wsp>
                      <wps:cNvSpPr txBox="1"/>
                      <wps:spPr>
                        <a:xfrm>
                          <a:off x="3087370" y="2193290"/>
                          <a:ext cx="37211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55pt;margin-top:0.7pt;height:20.5pt;width:29.3pt;z-index:-160600064;mso-width-relative:page;mso-height-relative:page;" filled="f" stroked="f" coordsize="21600,21600" o:gfxdata="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gti2gAAAAgBAAAPAAAAAAAAAAEAIAAAACIAAABkcnMvZG93bnJldi54bWxQSwECFAAU&#10;AAAACACHTuJAs4l0iSgCAAAlBAAADgAAAAAAAAABACAAAAApAQAAZHJzL2Uyb0RvYy54bWxQSwUG&#10;AAAAAAYABgBZAQAAwwU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6208384" behindDoc="0" locked="0" layoutInCell="1" allowOverlap="1">
                <wp:simplePos x="0" y="0"/>
                <wp:positionH relativeFrom="column">
                  <wp:posOffset>1981835</wp:posOffset>
                </wp:positionH>
                <wp:positionV relativeFrom="paragraph">
                  <wp:posOffset>62865</wp:posOffset>
                </wp:positionV>
                <wp:extent cx="172720" cy="182880"/>
                <wp:effectExtent l="12700" t="12700" r="24130" b="13970"/>
                <wp:wrapNone/>
                <wp:docPr id="53" name="椭圆 53"/>
                <wp:cNvGraphicFramePr/>
                <a:graphic xmlns:a="http://schemas.openxmlformats.org/drawingml/2006/main">
                  <a:graphicData uri="http://schemas.microsoft.com/office/word/2010/wordprocessingShape">
                    <wps:wsp>
                      <wps:cNvSpPr/>
                      <wps:spPr>
                        <a:xfrm>
                          <a:off x="5551170" y="3958590"/>
                          <a:ext cx="172720" cy="1828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6.05pt;margin-top:4.95pt;height:14.4pt;width:13.6pt;z-index:-158758912;v-text-anchor:middle;mso-width-relative:page;mso-height-relative:page;" filled="f" stroked="t" coordsize="21600,21600" o:gfxdata="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qpUa/YAAAACAEAAA8A&#10;AAAAAAAAAQAgAAAAIgAAAGRycy9kb3ducmV2LnhtbFBLAQIUABQAAAAIAIdO4kAb1QgnUAIAAHYE&#10;AAAOAAAAAAAAAAEAIAAAACcBAABkcnMvZTJvRG9jLnhtbFBLBQYAAAAABgAGAFkBAADpBQAAAAA=&#10;">
                <v:fill on="f" focussize="0,0"/>
                <v:stroke weight="2pt" color="#000000 [3213]" joinstyle="round"/>
                <v:imagedata o:title=""/>
                <o:lock v:ext="edit" aspectratio="f"/>
              </v:shape>
            </w:pict>
          </mc:Fallback>
        </mc:AlternateContent>
      </w:r>
      <w:r>
        <w:rPr>
          <w:sz w:val="28"/>
        </w:rPr>
        <mc:AlternateContent>
          <mc:Choice Requires="wps">
            <w:drawing>
              <wp:anchor distT="0" distB="0" distL="114300" distR="114300" simplePos="0" relativeHeight="4135760896" behindDoc="0" locked="0" layoutInCell="1" allowOverlap="1">
                <wp:simplePos x="0" y="0"/>
                <wp:positionH relativeFrom="column">
                  <wp:posOffset>3756025</wp:posOffset>
                </wp:positionH>
                <wp:positionV relativeFrom="paragraph">
                  <wp:posOffset>46355</wp:posOffset>
                </wp:positionV>
                <wp:extent cx="424815" cy="26162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4248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75pt;margin-top:3.65pt;height:20.6pt;width:33.45pt;z-index:-159206400;mso-width-relative:page;mso-height-relative:page;" filled="f" stroked="f" coordsize="21600,21600" o:gfxdata="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XM&#10;DVLaAAAACAEAAA8AAAAAAAAAAQAgAAAAIgAAAGRycy9kb3ducmV2LnhtbFBLAQIUABQAAAAIAIdO&#10;4kAQxycCIQIAABkEAAAOAAAAAAAAAAEAIAAAACk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5378944" behindDoc="0" locked="0" layoutInCell="1" allowOverlap="1">
                <wp:simplePos x="0" y="0"/>
                <wp:positionH relativeFrom="column">
                  <wp:posOffset>3644265</wp:posOffset>
                </wp:positionH>
                <wp:positionV relativeFrom="paragraph">
                  <wp:posOffset>107315</wp:posOffset>
                </wp:positionV>
                <wp:extent cx="180975" cy="171450"/>
                <wp:effectExtent l="12700" t="12700" r="15875" b="25400"/>
                <wp:wrapNone/>
                <wp:docPr id="71" name="椭圆 71"/>
                <wp:cNvGraphicFramePr/>
                <a:graphic xmlns:a="http://schemas.openxmlformats.org/drawingml/2006/main">
                  <a:graphicData uri="http://schemas.microsoft.com/office/word/2010/wordprocessingShape">
                    <wps:wsp>
                      <wps:cNvSpPr/>
                      <wps:spPr>
                        <a:xfrm>
                          <a:off x="0" y="0"/>
                          <a:ext cx="1809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6.95pt;margin-top:8.45pt;height:13.5pt;width:14.25pt;z-index:-159588352;v-text-anchor:middle;mso-width-relative:page;mso-height-relative:page;" filled="f" stroked="t" coordsize="21600,21600" o:gfxdata="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Xj+D3YAAAACQEAAA8AAAAAAAAAAQAgAAAA&#10;IgAAAGRycy9kb3ducmV2LnhtbFBLAQIUABQAAAAIAIdO4kConkoXRAIAAGoEAAAOAAAAAAAAAAEA&#10;IAAAACcBAABkcnMvZTJvRG9jLnhtbFBLBQYAAAAABgAGAFkBAADdBQAAAAA=&#10;">
                <v:fill on="f" focussize="0,0"/>
                <v:stroke weight="2pt" color="#000000 [3213]" joinstyle="round"/>
                <v:imagedata o:title=""/>
                <o:lock v:ext="edit" aspectratio="f"/>
              </v:shape>
            </w:pict>
          </mc:Fallback>
        </mc:AlternateContent>
      </w:r>
      <w:r>
        <w:rPr>
          <w:sz w:val="28"/>
        </w:rPr>
        <mc:AlternateContent>
          <mc:Choice Requires="wps">
            <w:drawing>
              <wp:anchor distT="0" distB="0" distL="114300" distR="114300" simplePos="0" relativeHeight="4134523904" behindDoc="0" locked="0" layoutInCell="1" allowOverlap="1">
                <wp:simplePos x="0" y="0"/>
                <wp:positionH relativeFrom="column">
                  <wp:posOffset>3332480</wp:posOffset>
                </wp:positionH>
                <wp:positionV relativeFrom="paragraph">
                  <wp:posOffset>29845</wp:posOffset>
                </wp:positionV>
                <wp:extent cx="424180" cy="253365"/>
                <wp:effectExtent l="0" t="0" r="0" b="0"/>
                <wp:wrapNone/>
                <wp:docPr id="75" name="文本框 75"/>
                <wp:cNvGraphicFramePr/>
                <a:graphic xmlns:a="http://schemas.openxmlformats.org/drawingml/2006/main">
                  <a:graphicData uri="http://schemas.microsoft.com/office/word/2010/wordprocessingShape">
                    <wps:wsp>
                      <wps:cNvSpPr txBox="1"/>
                      <wps:spPr>
                        <a:xfrm>
                          <a:off x="3650615" y="5364480"/>
                          <a:ext cx="424180"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pt;margin-top:2.35pt;height:19.95pt;width:33.4pt;z-index:-160443392;mso-width-relative:page;mso-height-relative:page;" filled="f" stroked="f" coordsize="21600,21600" o:gfxdata="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dHJWNkAAAAIAQAADwAAAAAAAAABACAAAAAiAAAAZHJzL2Rvd25yZXYueG1sUEsBAhQA&#10;FAAAAAgAh07iQLoGAukqAgAAJQQAAA4AAAAAAAAAAQAgAAAAKAEAAGRycy9lMm9Eb2MueG1sUEsF&#10;BgAAAAAGAAYAWQEAAMQF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rPr>
                        <w:t>#</w:t>
                      </w:r>
                    </w:p>
                  </w:txbxContent>
                </v:textbox>
              </v:shape>
            </w:pict>
          </mc:Fallback>
        </mc:AlternateContent>
      </w:r>
      <w:r>
        <w:rPr>
          <w:sz w:val="28"/>
        </w:rPr>
        <mc:AlternateContent>
          <mc:Choice Requires="wps">
            <w:drawing>
              <wp:anchor distT="0" distB="0" distL="114300" distR="114300" simplePos="0" relativeHeight="4134475776" behindDoc="0" locked="0" layoutInCell="1" allowOverlap="1">
                <wp:simplePos x="0" y="0"/>
                <wp:positionH relativeFrom="column">
                  <wp:posOffset>3222625</wp:posOffset>
                </wp:positionH>
                <wp:positionV relativeFrom="paragraph">
                  <wp:posOffset>115570</wp:posOffset>
                </wp:positionV>
                <wp:extent cx="129540" cy="155575"/>
                <wp:effectExtent l="12700" t="12700" r="29210" b="22225"/>
                <wp:wrapNone/>
                <wp:docPr id="76" name="等腰三角形 76"/>
                <wp:cNvGraphicFramePr/>
                <a:graphic xmlns:a="http://schemas.openxmlformats.org/drawingml/2006/main">
                  <a:graphicData uri="http://schemas.microsoft.com/office/word/2010/wordprocessingShape">
                    <wps:wsp>
                      <wps:cNvSpPr/>
                      <wps:spPr>
                        <a:xfrm>
                          <a:off x="0" y="0"/>
                          <a:ext cx="129540" cy="15557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53.75pt;margin-top:9.1pt;height:12.25pt;width:10.2pt;z-index:-160491520;v-text-anchor:middle;mso-width-relative:page;mso-height-relative:page;" fillcolor="#000000 [3200]" filled="t" stroked="t" coordsize="21600,21600" o:gfxdata="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8mxyzXAAAACQEAAA8AAAAAAAAAAQAgAAAAIgAAAGRycy9kb3ducmV2Lnht&#10;bFBLAQIUABQAAAAIAIdO4kBW2OlIbAIAAMkEAAAOAAAAAAAAAAEAIAAAACYBAABkcnMvZTJvRG9j&#10;LnhtbFBLBQYAAAAABgAGAFkBAAAEBgAAAAA=&#10;" adj="10800">
                <v:fill on="t" focussize="0,0"/>
                <v:stroke weight="2pt" color="#000000 [3200]" joinstyle="round"/>
                <v:imagedata o:title=""/>
                <o:lock v:ext="edit" aspectratio="f"/>
                <v:textbox>
                  <w:txbxContent>
                    <w:p>
                      <w:pPr>
                        <w:jc w:val="center"/>
                      </w:pPr>
                    </w:p>
                  </w:txbxContent>
                </v:textbox>
              </v:shape>
            </w:pict>
          </mc:Fallback>
        </mc:AlternateContent>
      </w:r>
    </w:p>
    <w:p>
      <w:pPr>
        <w:tabs>
          <w:tab w:val="left" w:pos="6157"/>
        </w:tabs>
        <w:jc w:val="center"/>
        <w:rPr>
          <w:rFonts w:ascii="Times New Roman" w:hAnsi="Times New Roman" w:eastAsia="仿宋"/>
          <w:sz w:val="28"/>
          <w:szCs w:val="28"/>
        </w:rPr>
      </w:pPr>
      <w:r>
        <w:rPr>
          <w:sz w:val="28"/>
        </w:rPr>
        <mc:AlternateContent>
          <mc:Choice Requires="wps">
            <w:drawing>
              <wp:anchor distT="0" distB="0" distL="114300" distR="114300" simplePos="0" relativeHeight="3836504064" behindDoc="0" locked="0" layoutInCell="1" allowOverlap="1">
                <wp:simplePos x="0" y="0"/>
                <wp:positionH relativeFrom="column">
                  <wp:posOffset>2082800</wp:posOffset>
                </wp:positionH>
                <wp:positionV relativeFrom="paragraph">
                  <wp:posOffset>94615</wp:posOffset>
                </wp:positionV>
                <wp:extent cx="2468880" cy="29845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46888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lang w:val="en-US" w:eastAsia="zh-CN"/>
                              </w:rPr>
                            </w:pPr>
                            <w:r>
                              <w:rPr>
                                <w:rFonts w:hint="eastAsia"/>
                                <w:lang w:val="en-US"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7.45pt;height:23.5pt;width:194.4pt;z-index:-458463232;mso-width-relative:page;mso-height-relative:page;" filled="f" stroked="f" coordsize="21600,21600" o:gfxdata="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Z&#10;+toAAAAJAQAADwAAAAAAAAABACAAAAAiAAAAZHJzL2Rvd25yZXYueG1sUEsBAhQAFAAAAAgAh07i&#10;QJ48bocgAgAAGgQAAA4AAAAAAAAAAQAgAAAAKQEAAGRycy9lMm9Eb2MueG1sUEsFBgAAAAAGAAYA&#10;WQEAALsFAAAAAA==&#10;">
                <v:fill on="f" focussize="0,0"/>
                <v:stroke on="f" weight="0.5pt"/>
                <v:imagedata o:title=""/>
                <o:lock v:ext="edit" aspectratio="f"/>
                <v:textbox>
                  <w:txbxContent>
                    <w:p>
                      <w:pPr>
                        <w:jc w:val="distribute"/>
                        <w:rPr>
                          <w:rFonts w:hint="default"/>
                          <w:lang w:val="en-US" w:eastAsia="zh-CN"/>
                        </w:rPr>
                      </w:pPr>
                      <w:r>
                        <w:rPr>
                          <w:rFonts w:hint="eastAsia"/>
                          <w:lang w:val="en-US" w:eastAsia="zh-CN"/>
                        </w:rPr>
                        <w:t>道路</w:t>
                      </w:r>
                    </w:p>
                  </w:txbxContent>
                </v:textbox>
              </v:shape>
            </w:pict>
          </mc:Fallback>
        </mc:AlternateContent>
      </w:r>
      <w:r>
        <w:rPr>
          <w:sz w:val="28"/>
        </w:rPr>
        <mc:AlternateContent>
          <mc:Choice Requires="wps">
            <w:drawing>
              <wp:anchor distT="0" distB="0" distL="114300" distR="114300" simplePos="0" relativeHeight="1124870144" behindDoc="0" locked="0" layoutInCell="1" allowOverlap="1">
                <wp:simplePos x="0" y="0"/>
                <wp:positionH relativeFrom="column">
                  <wp:posOffset>2061210</wp:posOffset>
                </wp:positionH>
                <wp:positionV relativeFrom="paragraph">
                  <wp:posOffset>47625</wp:posOffset>
                </wp:positionV>
                <wp:extent cx="2600325" cy="0"/>
                <wp:effectExtent l="0" t="9525" r="9525" b="9525"/>
                <wp:wrapNone/>
                <wp:docPr id="18" name="直接连接符 18"/>
                <wp:cNvGraphicFramePr/>
                <a:graphic xmlns:a="http://schemas.openxmlformats.org/drawingml/2006/main">
                  <a:graphicData uri="http://schemas.microsoft.com/office/word/2010/wordprocessingShape">
                    <wps:wsp>
                      <wps:cNvCnPr/>
                      <wps:spPr>
                        <a:xfrm>
                          <a:off x="0" y="0"/>
                          <a:ext cx="2600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2.3pt;margin-top:3.75pt;height:0pt;width:204.75pt;z-index:1124870144;mso-width-relative:page;mso-height-relative:page;" filled="f" stroked="t" coordsize="21600,21600" o:gfxdata="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tOe01QAAAAcBAAAPAAAAAAAAAAEAIAAAACIAAABkcnMvZG93bnJldi54bWxQSwEC&#10;FAAUAAAACACHTuJAy13oVb4BAABPAwAADgAAAAAAAAABACAAAAAkAQAAZHJzL2Uyb0RvYy54bWxQ&#10;SwUGAAAAAAYABgBZAQAAVAUAAAAA&#10;">
                <v:fill on="f" focussize="0,0"/>
                <v:stroke weight="1.5pt" color="#000000 [3213]" joinstyle="round"/>
                <v:imagedata o:title=""/>
                <o:lock v:ext="edit" aspectratio="f"/>
              </v:line>
            </w:pict>
          </mc:Fallback>
        </mc:AlternateContent>
      </w:r>
    </w:p>
    <w:p>
      <w:pPr>
        <w:tabs>
          <w:tab w:val="left" w:pos="6157"/>
        </w:tabs>
        <w:jc w:val="center"/>
        <w:rPr>
          <w:sz w:val="28"/>
        </w:rPr>
      </w:pPr>
      <w:r>
        <w:rPr>
          <w:sz w:val="28"/>
        </w:rPr>
        <mc:AlternateContent>
          <mc:Choice Requires="wps">
            <w:drawing>
              <wp:anchor distT="0" distB="0" distL="114300" distR="114300" simplePos="0" relativeHeight="4134531072" behindDoc="0" locked="0" layoutInCell="1" allowOverlap="1">
                <wp:simplePos x="0" y="0"/>
                <wp:positionH relativeFrom="column">
                  <wp:posOffset>2330450</wp:posOffset>
                </wp:positionH>
                <wp:positionV relativeFrom="paragraph">
                  <wp:posOffset>100330</wp:posOffset>
                </wp:positionV>
                <wp:extent cx="2200910" cy="413385"/>
                <wp:effectExtent l="0" t="0" r="0" b="0"/>
                <wp:wrapNone/>
                <wp:docPr id="79" name="文本框 79"/>
                <wp:cNvGraphicFramePr/>
                <a:graphic xmlns:a="http://schemas.openxmlformats.org/drawingml/2006/main">
                  <a:graphicData uri="http://schemas.microsoft.com/office/word/2010/wordprocessingShape">
                    <wps:wsp>
                      <wps:cNvSpPr txBox="1"/>
                      <wps:spPr>
                        <a:xfrm>
                          <a:off x="2733040" y="6736715"/>
                          <a:ext cx="220091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val="0"/>
                                <w:bCs w:val="0"/>
                                <w:highlight w:val="none"/>
                                <w:lang w:val="en-US" w:eastAsia="zh-CN"/>
                              </w:rPr>
                            </w:pPr>
                            <w:r>
                              <w:rPr>
                                <w:rFonts w:hint="eastAsia" w:ascii="Times New Roman" w:hAnsi="Times New Roman" w:cs="Times New Roman"/>
                                <w:b w:val="0"/>
                                <w:bCs w:val="0"/>
                                <w:highlight w:val="none"/>
                                <w:lang w:val="en-US" w:eastAsia="zh-CN"/>
                              </w:rPr>
                              <w:t>2020.09.25、2020.09.26</w:t>
                            </w:r>
                            <w:r>
                              <w:rPr>
                                <w:rFonts w:hint="default" w:ascii="Times New Roman" w:hAnsi="Times New Roman" w:cs="Times New Roman"/>
                                <w:b w:val="0"/>
                                <w:bCs w:val="0"/>
                                <w:highlight w:val="none"/>
                                <w:lang w:eastAsia="zh-CN"/>
                              </w:rPr>
                              <w:t>检测点位图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5pt;margin-top:7.9pt;height:32.55pt;width:173.3pt;z-index:-160436224;mso-width-relative:page;mso-height-relative:page;" filled="f" stroked="f" coordsize="21600,21600" o:gfxdata="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rnE2gAAAAkBAAAPAAAAAAAAAAEAIAAAACIAAABkcnMvZG93bnJldi54bWxQSwEC&#10;FAAUAAAACACHTuJASxOinCsCAAAmBAAADgAAAAAAAAABACAAAAApAQAAZHJzL2Uyb0RvYy54bWxQ&#10;SwUGAAAAAAYABgBZAQAAxgUAAAAA&#10;">
                <v:fill on="f" focussize="0,0"/>
                <v:stroke on="f" weight="0.5pt"/>
                <v:imagedata o:title=""/>
                <o:lock v:ext="edit" aspectratio="f"/>
                <v:textbox>
                  <w:txbxContent>
                    <w:p>
                      <w:pPr>
                        <w:jc w:val="center"/>
                        <w:rPr>
                          <w:rFonts w:hint="default" w:eastAsia="宋体"/>
                          <w:b w:val="0"/>
                          <w:bCs w:val="0"/>
                          <w:highlight w:val="none"/>
                          <w:lang w:val="en-US" w:eastAsia="zh-CN"/>
                        </w:rPr>
                      </w:pPr>
                      <w:r>
                        <w:rPr>
                          <w:rFonts w:hint="eastAsia" w:ascii="Times New Roman" w:hAnsi="Times New Roman" w:cs="Times New Roman"/>
                          <w:b w:val="0"/>
                          <w:bCs w:val="0"/>
                          <w:highlight w:val="none"/>
                          <w:lang w:val="en-US" w:eastAsia="zh-CN"/>
                        </w:rPr>
                        <w:t>2020.09.25、2020.09.26</w:t>
                      </w:r>
                      <w:r>
                        <w:rPr>
                          <w:rFonts w:hint="default" w:ascii="Times New Roman" w:hAnsi="Times New Roman" w:cs="Times New Roman"/>
                          <w:b w:val="0"/>
                          <w:bCs w:val="0"/>
                          <w:highlight w:val="none"/>
                          <w:lang w:eastAsia="zh-CN"/>
                        </w:rPr>
                        <w:t>检测点位图</w:t>
                      </w:r>
                    </w:p>
                  </w:txbxContent>
                </v:textbox>
              </v:shape>
            </w:pict>
          </mc:Fallback>
        </mc:AlternateContent>
      </w:r>
      <w:r>
        <w:rPr>
          <w:sz w:val="28"/>
        </w:rPr>
        <mc:AlternateContent>
          <mc:Choice Requires="wps">
            <w:drawing>
              <wp:anchor distT="0" distB="0" distL="114300" distR="114300" simplePos="0" relativeHeight="3125171200" behindDoc="0" locked="0" layoutInCell="1" allowOverlap="1">
                <wp:simplePos x="0" y="0"/>
                <wp:positionH relativeFrom="column">
                  <wp:posOffset>2061210</wp:posOffset>
                </wp:positionH>
                <wp:positionV relativeFrom="paragraph">
                  <wp:posOffset>22860</wp:posOffset>
                </wp:positionV>
                <wp:extent cx="2600325" cy="0"/>
                <wp:effectExtent l="0" t="9525" r="9525" b="9525"/>
                <wp:wrapNone/>
                <wp:docPr id="14" name="直接连接符 14"/>
                <wp:cNvGraphicFramePr/>
                <a:graphic xmlns:a="http://schemas.openxmlformats.org/drawingml/2006/main">
                  <a:graphicData uri="http://schemas.microsoft.com/office/word/2010/wordprocessingShape">
                    <wps:wsp>
                      <wps:cNvCnPr/>
                      <wps:spPr>
                        <a:xfrm>
                          <a:off x="0" y="0"/>
                          <a:ext cx="2600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2.3pt;margin-top:1.8pt;height:0pt;width:204.75pt;z-index:-1169796096;mso-width-relative:page;mso-height-relative:page;" filled="f" stroked="t" coordsize="21600,21600" o:gfxdata="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q/3+rUAAAABwEAAA8AAAAAAAAAAQAgAAAAIgAAAGRycy9kb3ducmV2LnhtbFBLAQIU&#10;ABQAAAAIAIdO4kC6Upl8vgEAAE8DAAAOAAAAAAAAAAEAIAAAACMBAABkcnMvZTJvRG9jLnhtbFBL&#10;BQYAAAAABgAGAFkBAABTBQAAAAA=&#10;">
                <v:fill on="f" focussize="0,0"/>
                <v:stroke weight="1.5pt" color="#000000 [3213]" joinstyle="round"/>
                <v:imagedata o:title=""/>
                <o:lock v:ext="edit" aspectratio="f"/>
              </v:line>
            </w:pict>
          </mc:Fallback>
        </mc:AlternateContent>
      </w:r>
      <w:r>
        <w:rPr>
          <w:sz w:val="28"/>
        </w:rPr>
        <mc:AlternateContent>
          <mc:Choice Requires="wps">
            <w:drawing>
              <wp:anchor distT="0" distB="0" distL="114300" distR="114300" simplePos="0" relativeHeight="4136452096" behindDoc="0" locked="0" layoutInCell="1" allowOverlap="1">
                <wp:simplePos x="0" y="0"/>
                <wp:positionH relativeFrom="column">
                  <wp:posOffset>737235</wp:posOffset>
                </wp:positionH>
                <wp:positionV relativeFrom="paragraph">
                  <wp:posOffset>89535</wp:posOffset>
                </wp:positionV>
                <wp:extent cx="1239520" cy="3638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2395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lang w:val="en-US" w:eastAsia="zh-CN"/>
                              </w:rPr>
                            </w:pPr>
                            <w:r>
                              <w:rPr>
                                <w:rFonts w:hint="eastAsia"/>
                                <w:lang w:val="en-US" w:eastAsia="zh-CN"/>
                              </w:rPr>
                              <w:t>噪声检测点位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05pt;margin-top:7.05pt;height:28.65pt;width:97.6pt;z-index:-158515200;mso-width-relative:page;mso-height-relative:page;" filled="f" stroked="f" coordsize="21600,21600" o:gfxdata="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vSkvdkA&#10;AAAJAQAADwAAAAAAAAABACAAAAAiAAAAZHJzL2Rvd25yZXYueG1sUEsBAhQAFAAAAAgAh07iQNTk&#10;UvAeAgAAGgQAAA4AAAAAAAAAAQAgAAAAKAEAAGRycy9lMm9Eb2MueG1sUEsFBgAAAAAGAAYAWQEA&#10;ALgFAAAAAA==&#10;">
                <v:fill on="f" focussize="0,0"/>
                <v:stroke on="f" weight="0.5pt"/>
                <v:imagedata o:title=""/>
                <o:lock v:ext="edit" aspectratio="f"/>
                <v:textbox>
                  <w:txbxContent>
                    <w:p>
                      <w:pPr>
                        <w:jc w:val="both"/>
                        <w:rPr>
                          <w:rFonts w:hint="eastAsia" w:eastAsia="宋体"/>
                          <w:lang w:val="en-US" w:eastAsia="zh-CN"/>
                        </w:rPr>
                      </w:pPr>
                      <w:r>
                        <w:rPr>
                          <w:rFonts w:hint="eastAsia"/>
                          <w:lang w:val="en-US" w:eastAsia="zh-CN"/>
                        </w:rPr>
                        <w:t>噪声检测点位</w:t>
                      </w:r>
                    </w:p>
                  </w:txbxContent>
                </v:textbox>
              </v:shape>
            </w:pict>
          </mc:Fallback>
        </mc:AlternateContent>
      </w:r>
      <w:r>
        <w:rPr>
          <w:sz w:val="28"/>
        </w:rPr>
        <mc:AlternateContent>
          <mc:Choice Requires="wps">
            <w:drawing>
              <wp:anchor distT="0" distB="0" distL="114300" distR="114300" simplePos="0" relativeHeight="4136254464" behindDoc="0" locked="0" layoutInCell="1" allowOverlap="1">
                <wp:simplePos x="0" y="0"/>
                <wp:positionH relativeFrom="column">
                  <wp:posOffset>659765</wp:posOffset>
                </wp:positionH>
                <wp:positionV relativeFrom="paragraph">
                  <wp:posOffset>127635</wp:posOffset>
                </wp:positionV>
                <wp:extent cx="129540" cy="155575"/>
                <wp:effectExtent l="12700" t="12700" r="29210" b="22225"/>
                <wp:wrapNone/>
                <wp:docPr id="80" name="等腰三角形 80"/>
                <wp:cNvGraphicFramePr/>
                <a:graphic xmlns:a="http://schemas.openxmlformats.org/drawingml/2006/main">
                  <a:graphicData uri="http://schemas.microsoft.com/office/word/2010/wordprocessingShape">
                    <wps:wsp>
                      <wps:cNvSpPr/>
                      <wps:spPr>
                        <a:xfrm>
                          <a:off x="0" y="0"/>
                          <a:ext cx="129540" cy="1555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1.95pt;margin-top:10.05pt;height:12.25pt;width:10.2pt;z-index:-158712832;v-text-anchor:middle;mso-width-relative:page;mso-height-relative:page;" fillcolor="#000000 [3200]" filled="t" stroked="t" coordsize="21600,21600" o:gfxdata="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SKh2dYAAAAJAQAADwAAAAAAAAABACAAAAAiAAAAZHJzL2Rvd25yZXYueG1sUEsBAhQAFAAA&#10;AAgAh07iQBeF+DdjAgAAvgQAAA4AAAAAAAAAAQAgAAAAJQEAAGRycy9lMm9Eb2MueG1sUEsFBgAA&#10;AAAGAAYAWQEAAPoFAAAAAA==&#10;" adj="10800">
                <v:fill on="t" focussize="0,0"/>
                <v:stroke weight="2pt" color="#000000 [3200]" joinstyle="round"/>
                <v:imagedata o:title=""/>
                <o:lock v:ext="edit" aspectratio="f"/>
              </v:shape>
            </w:pict>
          </mc:Fallback>
        </mc:AlternateContent>
      </w:r>
      <w:r>
        <w:rPr>
          <w:sz w:val="28"/>
        </w:rPr>
        <mc:AlternateContent>
          <mc:Choice Requires="wps">
            <w:drawing>
              <wp:anchor distT="0" distB="0" distL="114300" distR="114300" simplePos="0" relativeHeight="4136649728" behindDoc="0" locked="0" layoutInCell="1" allowOverlap="1">
                <wp:simplePos x="0" y="0"/>
                <wp:positionH relativeFrom="column">
                  <wp:posOffset>5151120</wp:posOffset>
                </wp:positionH>
                <wp:positionV relativeFrom="paragraph">
                  <wp:posOffset>93980</wp:posOffset>
                </wp:positionV>
                <wp:extent cx="1426845" cy="3638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426845"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lang w:val="en-US"/>
                              </w:rPr>
                            </w:pPr>
                            <w:r>
                              <w:rPr>
                                <w:rFonts w:hint="eastAsia"/>
                                <w:lang w:val="en-US" w:eastAsia="zh-CN"/>
                              </w:rPr>
                              <w:t>无组织废气检测点位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6pt;margin-top:7.4pt;height:28.65pt;width:112.35pt;z-index:-158317568;mso-width-relative:page;mso-height-relative:page;" filled="f" stroked="f" coordsize="21600,21600" o:gfxdata="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6TC&#10;NdoAAAAKAQAADwAAAAAAAAABACAAAAAiAAAAZHJzL2Rvd25yZXYueG1sUEsBAhQAFAAAAAgAh07i&#10;QEZwc08gAgAAGgQAAA4AAAAAAAAAAQAgAAAAKQEAAGRycy9lMm9Eb2MueG1sUEsFBgAAAAAGAAYA&#10;WQEAALsFAAAAAA==&#10;">
                <v:fill on="f" focussize="0,0"/>
                <v:stroke on="f" weight="0.5pt"/>
                <v:imagedata o:title=""/>
                <o:lock v:ext="edit" aspectratio="f"/>
                <v:textbox>
                  <w:txbxContent>
                    <w:p>
                      <w:pPr>
                        <w:jc w:val="both"/>
                        <w:rPr>
                          <w:lang w:val="en-US"/>
                        </w:rPr>
                      </w:pPr>
                      <w:r>
                        <w:rPr>
                          <w:rFonts w:hint="eastAsia"/>
                          <w:lang w:val="en-US" w:eastAsia="zh-CN"/>
                        </w:rPr>
                        <w:t>无组织废气检测点位</w:t>
                      </w:r>
                    </w:p>
                  </w:txbxContent>
                </v:textbox>
              </v:shape>
            </w:pict>
          </mc:Fallback>
        </mc:AlternateContent>
      </w:r>
      <w:r>
        <w:rPr>
          <w:sz w:val="28"/>
        </w:rPr>
        <mc:AlternateContent>
          <mc:Choice Requires="wps">
            <w:drawing>
              <wp:anchor distT="0" distB="0" distL="114300" distR="114300" simplePos="0" relativeHeight="4136207360" behindDoc="0" locked="0" layoutInCell="1" allowOverlap="1">
                <wp:simplePos x="0" y="0"/>
                <wp:positionH relativeFrom="column">
                  <wp:posOffset>5015230</wp:posOffset>
                </wp:positionH>
                <wp:positionV relativeFrom="paragraph">
                  <wp:posOffset>156845</wp:posOffset>
                </wp:positionV>
                <wp:extent cx="180975" cy="171450"/>
                <wp:effectExtent l="12700" t="12700" r="15875" b="25400"/>
                <wp:wrapNone/>
                <wp:docPr id="83" name="椭圆 83"/>
                <wp:cNvGraphicFramePr/>
                <a:graphic xmlns:a="http://schemas.openxmlformats.org/drawingml/2006/main">
                  <a:graphicData uri="http://schemas.microsoft.com/office/word/2010/wordprocessingShape">
                    <wps:wsp>
                      <wps:cNvSpPr/>
                      <wps:spPr>
                        <a:xfrm>
                          <a:off x="0" y="0"/>
                          <a:ext cx="1809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4.9pt;margin-top:12.35pt;height:13.5pt;width:14.25pt;z-index:-158759936;v-text-anchor:middle;mso-width-relative:page;mso-height-relative:page;" filled="f" stroked="t" coordsize="21600,21600" o:gfxdata="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poSNkAAAAJAQAADwAAAAAAAAABACAA&#10;AAAiAAAAZHJzL2Rvd25yZXYueG1sUEsBAhQAFAAAAAgAh07iQBe6FhxFAgAAagQAAA4AAAAAAAAA&#10;AQAgAAAAKAEAAGRycy9lMm9Eb2MueG1sUEsFBgAAAAAGAAYAWQEAAN8FAAAAAA==&#10;">
                <v:fill on="f" focussize="0,0"/>
                <v:stroke weight="2pt" color="#000000 [3213]" joinstyle="round"/>
                <v:imagedata o:title=""/>
                <o:lock v:ext="edit" aspectratio="f"/>
              </v:shape>
            </w:pict>
          </mc:Fallback>
        </mc:AlternateContent>
      </w:r>
    </w:p>
    <w:p>
      <w:pPr>
        <w:snapToGrid w:val="0"/>
        <w:jc w:val="center"/>
        <w:rPr>
          <w:rFonts w:ascii="Times New Roman" w:hAnsi="Times New Roman" w:eastAsia="仿宋"/>
          <w:sz w:val="28"/>
          <w:szCs w:val="28"/>
        </w:rPr>
      </w:pPr>
    </w:p>
    <w:p>
      <w:pPr>
        <w:tabs>
          <w:tab w:val="left" w:pos="3594"/>
        </w:tabs>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 xml:space="preserve"> </w:t>
      </w:r>
      <w:r>
        <w:rPr>
          <w:rFonts w:hint="eastAsia"/>
          <w:sz w:val="24"/>
          <w:szCs w:val="24"/>
          <w:highlight w:val="none"/>
          <w:lang w:eastAsia="zh-CN"/>
        </w:rPr>
        <w:t>图</w:t>
      </w:r>
      <w:r>
        <w:rPr>
          <w:rFonts w:hint="eastAsia"/>
          <w:sz w:val="24"/>
          <w:szCs w:val="24"/>
          <w:highlight w:val="none"/>
          <w:lang w:val="en-US" w:eastAsia="zh-CN"/>
        </w:rPr>
        <w:t xml:space="preserve">5-1   </w:t>
      </w:r>
      <w:r>
        <w:rPr>
          <w:rFonts w:hint="default" w:ascii="Times New Roman" w:hAnsi="Times New Roman" w:eastAsia="宋体" w:cs="Times New Roman"/>
          <w:sz w:val="24"/>
          <w:szCs w:val="24"/>
          <w:highlight w:val="none"/>
          <w:lang w:val="en-US" w:eastAsia="zh-CN"/>
        </w:rPr>
        <w:t>无组织废气排放及噪声监测点位图</w:t>
      </w:r>
    </w:p>
    <w:p>
      <w:pPr>
        <w:spacing w:before="62" w:beforeLines="20" w:line="360" w:lineRule="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5.1.5.</w:t>
      </w:r>
      <w:r>
        <w:rPr>
          <w:rFonts w:hint="eastAsia" w:cs="Times New Roman"/>
          <w:b/>
          <w:bCs/>
          <w:sz w:val="28"/>
          <w:szCs w:val="28"/>
          <w:lang w:val="en-US" w:eastAsia="zh-CN"/>
        </w:rPr>
        <w:t>2</w:t>
      </w:r>
      <w:r>
        <w:rPr>
          <w:rFonts w:hint="default"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lang w:eastAsia="zh-CN"/>
        </w:rPr>
        <w:t>有</w:t>
      </w:r>
      <w:r>
        <w:rPr>
          <w:rFonts w:hint="default" w:ascii="Times New Roman" w:hAnsi="Times New Roman" w:eastAsia="宋体" w:cs="Times New Roman"/>
          <w:b/>
          <w:bCs/>
          <w:sz w:val="28"/>
          <w:szCs w:val="28"/>
        </w:rPr>
        <w:t>组织废气监测结果</w:t>
      </w:r>
    </w:p>
    <w:p>
      <w:pPr>
        <w:spacing w:line="360" w:lineRule="auto"/>
        <w:jc w:val="center"/>
        <w:rPr>
          <w:rFonts w:hint="default" w:ascii="Times New Roman" w:hAnsi="Times New Roman" w:eastAsia="宋体" w:cs="Times New Roman"/>
          <w:bCs/>
          <w:szCs w:val="21"/>
        </w:rPr>
      </w:pPr>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9</w:t>
      </w:r>
      <w:r>
        <w:rPr>
          <w:rFonts w:hint="eastAsia" w:cs="Times New Roman"/>
          <w:bCs/>
          <w:sz w:val="24"/>
          <w:highlight w:val="none"/>
          <w:lang w:eastAsia="zh-CN"/>
        </w:rPr>
        <w:t>有</w:t>
      </w:r>
      <w:r>
        <w:rPr>
          <w:rFonts w:hint="default" w:ascii="Times New Roman" w:hAnsi="Times New Roman" w:eastAsia="宋体" w:cs="Times New Roman"/>
          <w:bCs/>
          <w:sz w:val="24"/>
        </w:rPr>
        <w:t>组织</w:t>
      </w:r>
      <w:r>
        <w:rPr>
          <w:rFonts w:hint="default" w:ascii="Times New Roman" w:hAnsi="Times New Roman" w:cs="Times New Roman"/>
          <w:sz w:val="24"/>
          <w:szCs w:val="24"/>
          <w:highlight w:val="none"/>
          <w:lang w:val="en-US" w:eastAsia="zh-CN"/>
        </w:rPr>
        <w:t>二氧化硫、氮氧化物</w:t>
      </w:r>
      <w:r>
        <w:rPr>
          <w:rFonts w:hint="default" w:ascii="Times New Roman" w:hAnsi="Times New Roman" w:eastAsia="宋体" w:cs="Times New Roman"/>
          <w:bCs/>
          <w:sz w:val="24"/>
          <w:szCs w:val="24"/>
        </w:rPr>
        <w:t>排</w:t>
      </w:r>
      <w:r>
        <w:rPr>
          <w:rFonts w:hint="default" w:ascii="Times New Roman" w:hAnsi="Times New Roman" w:eastAsia="宋体" w:cs="Times New Roman"/>
          <w:bCs/>
          <w:sz w:val="24"/>
        </w:rPr>
        <w:t xml:space="preserve">放监测结果 </w:t>
      </w:r>
      <w:r>
        <w:rPr>
          <w:rFonts w:hint="default" w:ascii="Times New Roman" w:hAnsi="Times New Roman" w:eastAsia="宋体" w:cs="Times New Roman"/>
          <w:bCs/>
          <w:szCs w:val="21"/>
        </w:rPr>
        <w:t>（单位：mg/m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bl>
      <w:tblPr>
        <w:tblStyle w:val="28"/>
        <w:tblW w:w="103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871"/>
        <w:gridCol w:w="1151"/>
        <w:gridCol w:w="1151"/>
        <w:gridCol w:w="1151"/>
        <w:gridCol w:w="2"/>
        <w:gridCol w:w="1149"/>
        <w:gridCol w:w="1151"/>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spacing w:beforeAutospacing="0"/>
              <w:jc w:val="center"/>
              <w:rPr>
                <w:rFonts w:hint="default" w:ascii="Times New Roman" w:hAnsi="Times New Roman" w:eastAsia="宋体" w:cs="Times New Roman"/>
                <w:b/>
                <w:sz w:val="21"/>
                <w:szCs w:val="21"/>
                <w:highlight w:val="yellow"/>
              </w:rPr>
            </w:pPr>
            <w:r>
              <w:rPr>
                <w:rFonts w:hint="default" w:ascii="Times New Roman" w:hAnsi="Times New Roman" w:eastAsia="宋体" w:cs="Times New Roman"/>
                <w:b/>
                <w:sz w:val="21"/>
                <w:szCs w:val="21"/>
                <w:lang w:eastAsia="zh-CN"/>
              </w:rPr>
              <w:t>检</w:t>
            </w:r>
            <w:r>
              <w:rPr>
                <w:rFonts w:hint="default" w:ascii="Times New Roman" w:hAnsi="Times New Roman" w:eastAsia="宋体" w:cs="Times New Roman"/>
                <w:b/>
                <w:sz w:val="21"/>
                <w:szCs w:val="21"/>
              </w:rPr>
              <w:t>测项目</w:t>
            </w:r>
          </w:p>
        </w:tc>
        <w:tc>
          <w:tcPr>
            <w:tcW w:w="6910" w:type="dxa"/>
            <w:gridSpan w:val="7"/>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w:t>
            </w:r>
            <w:r>
              <w:rPr>
                <w:rFonts w:hint="default" w:ascii="Times New Roman" w:hAnsi="Times New Roman" w:eastAsia="宋体" w:cs="Times New Roman"/>
                <w:b/>
                <w:sz w:val="21"/>
                <w:szCs w:val="21"/>
              </w:rPr>
              <w:t>测依据</w:t>
            </w:r>
          </w:p>
        </w:tc>
        <w:tc>
          <w:tcPr>
            <w:tcW w:w="6910" w:type="dxa"/>
            <w:gridSpan w:val="7"/>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《固定污染源废气 二氧化硫的测定 定电位电解法》（HJ 57-2017）</w:t>
            </w:r>
          </w:p>
          <w:p>
            <w:pPr>
              <w:pStyle w:val="96"/>
              <w:widowControl w:val="0"/>
              <w:pBdr>
                <w:bottom w:val="none" w:color="auto" w:sz="0" w:space="0"/>
                <w:right w:val="none" w:color="auto" w:sz="0" w:space="0"/>
              </w:pBdr>
              <w:spacing w:before="0" w:beforeAutospacing="0" w:after="0" w:afterAutospacing="0" w:line="240" w:lineRule="auto"/>
              <w:jc w:val="center"/>
              <w:textAlignment w:val="auto"/>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《固定污染源废气 氮氧化物的测定 定电位电解法》</w:t>
            </w:r>
            <w:r>
              <w:rPr>
                <w:rFonts w:hint="default" w:ascii="Times New Roman" w:hAnsi="Times New Roman" w:cs="Times New Roman"/>
                <w:b w:val="0"/>
                <w:bCs/>
                <w:kern w:val="0"/>
                <w:sz w:val="21"/>
                <w:szCs w:val="21"/>
                <w:lang w:val="en-US" w:eastAsia="zh-CN"/>
              </w:rPr>
              <w:t>（HJ 693-2014）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w:t>
            </w:r>
            <w:r>
              <w:rPr>
                <w:rFonts w:hint="default" w:ascii="Times New Roman" w:hAnsi="Times New Roman" w:eastAsia="宋体" w:cs="Times New Roman"/>
                <w:b/>
                <w:bCs/>
                <w:sz w:val="21"/>
                <w:szCs w:val="21"/>
              </w:rPr>
              <w:t>测点位</w:t>
            </w:r>
          </w:p>
        </w:tc>
        <w:tc>
          <w:tcPr>
            <w:tcW w:w="6910" w:type="dxa"/>
            <w:gridSpan w:val="7"/>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宋体" w:hAnsi="宋体" w:cs="宋体"/>
                <w:sz w:val="21"/>
                <w:szCs w:val="21"/>
                <w:lang w:val="en-US" w:eastAsia="zh-CN"/>
              </w:rPr>
              <w:t>脱硫塔排气筒进口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排气筒截面积（m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w:t>
            </w:r>
          </w:p>
        </w:tc>
        <w:tc>
          <w:tcPr>
            <w:tcW w:w="6910" w:type="dxa"/>
            <w:gridSpan w:val="7"/>
            <w:tcBorders>
              <w:tl2br w:val="nil"/>
              <w:tr2bl w:val="nil"/>
            </w:tcBorders>
            <w:vAlign w:val="center"/>
          </w:tcPr>
          <w:p>
            <w:pPr>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1.5393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采样日期</w:t>
            </w:r>
          </w:p>
        </w:tc>
        <w:tc>
          <w:tcPr>
            <w:tcW w:w="3455" w:type="dxa"/>
            <w:gridSpan w:val="4"/>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w:t>
            </w:r>
          </w:p>
        </w:tc>
        <w:tc>
          <w:tcPr>
            <w:tcW w:w="3455" w:type="dxa"/>
            <w:gridSpan w:val="3"/>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检测频次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51"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5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lang w:val="en-US" w:eastAsia="zh-CN"/>
              </w:rPr>
              <w:t>废气温度</w:t>
            </w:r>
            <w:r>
              <w:rPr>
                <w:rFonts w:hint="default" w:ascii="Times New Roman" w:hAnsi="Times New Roman" w:eastAsia="宋体" w:cs="Times New Roman"/>
                <w:b/>
                <w:sz w:val="21"/>
                <w:szCs w:val="21"/>
              </w:rPr>
              <w:t>（℃）</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52</w:t>
            </w:r>
          </w:p>
        </w:tc>
        <w:tc>
          <w:tcPr>
            <w:tcW w:w="115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52</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53</w:t>
            </w:r>
          </w:p>
        </w:tc>
        <w:tc>
          <w:tcPr>
            <w:tcW w:w="1151" w:type="dxa"/>
            <w:gridSpan w:val="2"/>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55</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54</w:t>
            </w:r>
          </w:p>
        </w:tc>
        <w:tc>
          <w:tcPr>
            <w:tcW w:w="115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lang w:val="en-US" w:eastAsia="zh-CN"/>
              </w:rPr>
              <w:t>废气流速</w:t>
            </w:r>
            <w:r>
              <w:rPr>
                <w:rFonts w:hint="default" w:ascii="Times New Roman" w:hAnsi="Times New Roman" w:eastAsia="宋体" w:cs="Times New Roman"/>
                <w:b/>
                <w:sz w:val="21"/>
                <w:szCs w:val="21"/>
              </w:rPr>
              <w:t>（m/s）</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12.8</w:t>
            </w:r>
          </w:p>
        </w:tc>
        <w:tc>
          <w:tcPr>
            <w:tcW w:w="115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12.7</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12.7</w:t>
            </w:r>
          </w:p>
        </w:tc>
        <w:tc>
          <w:tcPr>
            <w:tcW w:w="1151" w:type="dxa"/>
            <w:gridSpan w:val="2"/>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12.8</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13.2</w:t>
            </w:r>
          </w:p>
        </w:tc>
        <w:tc>
          <w:tcPr>
            <w:tcW w:w="115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标干废气量（m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58266</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57817</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57554</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lang w:val="en-US" w:eastAsia="zh-CN"/>
              </w:rPr>
              <w:t>57756</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60031</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lang w:val="en-US" w:eastAsia="zh-CN"/>
              </w:rPr>
              <w:t>58952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restart"/>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cs="Times New Roman"/>
                <w:b/>
                <w:sz w:val="21"/>
                <w:szCs w:val="21"/>
                <w:highlight w:val="none"/>
                <w:lang w:eastAsia="zh-CN"/>
              </w:rPr>
              <w:t>二氧化硫</w:t>
            </w: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623</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543</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614</w:t>
            </w:r>
          </w:p>
        </w:tc>
        <w:tc>
          <w:tcPr>
            <w:tcW w:w="1151"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493</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474</w:t>
            </w:r>
          </w:p>
        </w:tc>
        <w:tc>
          <w:tcPr>
            <w:tcW w:w="1155"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continue"/>
            <w:tcBorders>
              <w:tl2br w:val="nil"/>
              <w:tr2bl w:val="nil"/>
            </w:tcBorders>
            <w:vAlign w:val="center"/>
          </w:tcPr>
          <w:p>
            <w:pPr>
              <w:jc w:val="center"/>
              <w:rPr>
                <w:rFonts w:hint="default" w:ascii="Times New Roman" w:hAnsi="Times New Roman" w:eastAsia="宋体" w:cs="Times New Roman"/>
                <w:b/>
                <w:sz w:val="21"/>
                <w:szCs w:val="21"/>
              </w:rPr>
            </w:pP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排放速率（kg/h）</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36.3</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31.4</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35.3</w:t>
            </w:r>
          </w:p>
        </w:tc>
        <w:tc>
          <w:tcPr>
            <w:tcW w:w="1151"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28.5</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28.5</w:t>
            </w:r>
          </w:p>
        </w:tc>
        <w:tc>
          <w:tcPr>
            <w:tcW w:w="1155"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restart"/>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cs="Times New Roman"/>
                <w:b/>
                <w:bCs/>
                <w:sz w:val="21"/>
                <w:szCs w:val="21"/>
                <w:highlight w:val="none"/>
                <w:lang w:val="en-US" w:eastAsia="zh-CN"/>
              </w:rPr>
              <w:t>氮氧化物</w:t>
            </w: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continue"/>
            <w:tcBorders>
              <w:tl2br w:val="nil"/>
              <w:tr2bl w:val="nil"/>
            </w:tcBorders>
            <w:vAlign w:val="center"/>
          </w:tcPr>
          <w:p>
            <w:pPr>
              <w:jc w:val="center"/>
              <w:rPr>
                <w:rFonts w:hint="default" w:ascii="Times New Roman" w:hAnsi="Times New Roman" w:eastAsia="宋体" w:cs="Times New Roman"/>
                <w:b/>
                <w:sz w:val="21"/>
                <w:szCs w:val="21"/>
              </w:rPr>
            </w:pP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排放速率（kg/h）</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0.699</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0.578</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0.748</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0.751</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0.720</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spacing w:beforeAutospacing="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c>
          <w:tcPr>
            <w:tcW w:w="6910" w:type="dxa"/>
            <w:gridSpan w:val="7"/>
            <w:tcBorders>
              <w:tl2br w:val="nil"/>
              <w:tr2bl w:val="nil"/>
            </w:tcBorders>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w:t>
            </w:r>
          </w:p>
        </w:tc>
      </w:tr>
    </w:tbl>
    <w:p>
      <w:pPr>
        <w:spacing w:line="360" w:lineRule="auto"/>
        <w:jc w:val="center"/>
        <w:rPr>
          <w:rFonts w:hint="default" w:ascii="Times New Roman" w:hAnsi="Times New Roman" w:eastAsia="宋体" w:cs="Times New Roman"/>
          <w:bCs/>
          <w:szCs w:val="21"/>
        </w:rPr>
      </w:pPr>
    </w:p>
    <w:tbl>
      <w:tblPr>
        <w:tblStyle w:val="28"/>
        <w:tblW w:w="103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871"/>
        <w:gridCol w:w="1151"/>
        <w:gridCol w:w="1151"/>
        <w:gridCol w:w="1151"/>
        <w:gridCol w:w="2"/>
        <w:gridCol w:w="1149"/>
        <w:gridCol w:w="1151"/>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spacing w:beforeAutospacing="0"/>
              <w:jc w:val="center"/>
              <w:rPr>
                <w:rFonts w:hint="default" w:ascii="Times New Roman" w:hAnsi="Times New Roman" w:eastAsia="宋体" w:cs="Times New Roman"/>
                <w:b/>
                <w:sz w:val="21"/>
                <w:szCs w:val="21"/>
                <w:highlight w:val="yellow"/>
              </w:rPr>
            </w:pPr>
            <w:r>
              <w:rPr>
                <w:rFonts w:hint="default" w:ascii="Times New Roman" w:hAnsi="Times New Roman" w:eastAsia="宋体" w:cs="Times New Roman"/>
                <w:b/>
                <w:sz w:val="21"/>
                <w:szCs w:val="21"/>
                <w:lang w:eastAsia="zh-CN"/>
              </w:rPr>
              <w:t>检</w:t>
            </w:r>
            <w:r>
              <w:rPr>
                <w:rFonts w:hint="default" w:ascii="Times New Roman" w:hAnsi="Times New Roman" w:eastAsia="宋体" w:cs="Times New Roman"/>
                <w:b/>
                <w:sz w:val="21"/>
                <w:szCs w:val="21"/>
              </w:rPr>
              <w:t>测项目</w:t>
            </w:r>
          </w:p>
        </w:tc>
        <w:tc>
          <w:tcPr>
            <w:tcW w:w="6910" w:type="dxa"/>
            <w:gridSpan w:val="7"/>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二氧化硫、氮氧化物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w:t>
            </w:r>
            <w:r>
              <w:rPr>
                <w:rFonts w:hint="default" w:ascii="Times New Roman" w:hAnsi="Times New Roman" w:eastAsia="宋体" w:cs="Times New Roman"/>
                <w:b/>
                <w:sz w:val="21"/>
                <w:szCs w:val="21"/>
              </w:rPr>
              <w:t>测依据</w:t>
            </w:r>
          </w:p>
        </w:tc>
        <w:tc>
          <w:tcPr>
            <w:tcW w:w="6910" w:type="dxa"/>
            <w:gridSpan w:val="7"/>
            <w:tcBorders>
              <w:tl2br w:val="nil"/>
              <w:tr2bl w:val="nil"/>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《固定污染源废气 二氧化硫的测定 定电位电解法》（HJ 57-2017）</w:t>
            </w:r>
          </w:p>
          <w:p>
            <w:pPr>
              <w:pStyle w:val="96"/>
              <w:widowControl w:val="0"/>
              <w:pBdr>
                <w:bottom w:val="none" w:color="auto" w:sz="0" w:space="0"/>
                <w:right w:val="none" w:color="auto" w:sz="0" w:space="0"/>
              </w:pBdr>
              <w:spacing w:before="0" w:beforeAutospacing="0" w:after="0" w:afterAutospacing="0" w:line="240" w:lineRule="auto"/>
              <w:jc w:val="center"/>
              <w:textAlignment w:val="auto"/>
              <w:rPr>
                <w:rFonts w:hint="default" w:ascii="Times New Roman" w:hAnsi="Times New Roman"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《固定污染源废气 氮氧化物的测定 定电位电解法》</w:t>
            </w:r>
            <w:r>
              <w:rPr>
                <w:rFonts w:hint="default" w:ascii="Times New Roman" w:hAnsi="Times New Roman" w:cs="Times New Roman"/>
                <w:b w:val="0"/>
                <w:bCs/>
                <w:kern w:val="0"/>
                <w:sz w:val="21"/>
                <w:szCs w:val="21"/>
                <w:lang w:val="en-US" w:eastAsia="zh-CN"/>
              </w:rPr>
              <w:t>（HJ 693-2014）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w:t>
            </w:r>
            <w:r>
              <w:rPr>
                <w:rFonts w:hint="default" w:ascii="Times New Roman" w:hAnsi="Times New Roman" w:eastAsia="宋体" w:cs="Times New Roman"/>
                <w:b/>
                <w:bCs/>
                <w:sz w:val="21"/>
                <w:szCs w:val="21"/>
              </w:rPr>
              <w:t>测点位</w:t>
            </w:r>
          </w:p>
        </w:tc>
        <w:tc>
          <w:tcPr>
            <w:tcW w:w="6910" w:type="dxa"/>
            <w:gridSpan w:val="7"/>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宋体" w:hAnsi="宋体" w:cs="宋体"/>
                <w:sz w:val="21"/>
                <w:szCs w:val="21"/>
                <w:lang w:val="en-US" w:eastAsia="zh-CN"/>
              </w:rPr>
              <w:t>脱硫塔排气筒出口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排气筒高度（m）</w:t>
            </w:r>
          </w:p>
        </w:tc>
        <w:tc>
          <w:tcPr>
            <w:tcW w:w="6910" w:type="dxa"/>
            <w:gridSpan w:val="7"/>
            <w:tcBorders>
              <w:tl2br w:val="nil"/>
              <w:tr2bl w:val="nil"/>
            </w:tcBorders>
            <w:vAlign w:val="center"/>
          </w:tcPr>
          <w:p>
            <w:pPr>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排气筒截面积（m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w:t>
            </w:r>
          </w:p>
        </w:tc>
        <w:tc>
          <w:tcPr>
            <w:tcW w:w="6910" w:type="dxa"/>
            <w:gridSpan w:val="7"/>
            <w:tcBorders>
              <w:tl2br w:val="nil"/>
              <w:tr2bl w:val="nil"/>
            </w:tcBorders>
            <w:vAlign w:val="center"/>
          </w:tcPr>
          <w:p>
            <w:pPr>
              <w:jc w:val="center"/>
              <w:rPr>
                <w:rFonts w:hint="default"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1.7671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采样日期</w:t>
            </w:r>
          </w:p>
        </w:tc>
        <w:tc>
          <w:tcPr>
            <w:tcW w:w="3455" w:type="dxa"/>
            <w:gridSpan w:val="4"/>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w:t>
            </w:r>
          </w:p>
        </w:tc>
        <w:tc>
          <w:tcPr>
            <w:tcW w:w="3455" w:type="dxa"/>
            <w:gridSpan w:val="3"/>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检测频次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51"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5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lang w:val="en-US" w:eastAsia="zh-CN"/>
              </w:rPr>
              <w:t>废气温度</w:t>
            </w:r>
            <w:r>
              <w:rPr>
                <w:rFonts w:hint="default" w:ascii="Times New Roman" w:hAnsi="Times New Roman" w:eastAsia="宋体" w:cs="Times New Roman"/>
                <w:b/>
                <w:sz w:val="21"/>
                <w:szCs w:val="21"/>
              </w:rPr>
              <w:t>（℃）</w:t>
            </w:r>
          </w:p>
        </w:tc>
        <w:tc>
          <w:tcPr>
            <w:tcW w:w="11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24</w:t>
            </w:r>
          </w:p>
        </w:tc>
        <w:tc>
          <w:tcPr>
            <w:tcW w:w="115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25</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24</w:t>
            </w:r>
          </w:p>
        </w:tc>
        <w:tc>
          <w:tcPr>
            <w:tcW w:w="1151" w:type="dxa"/>
            <w:gridSpan w:val="2"/>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28</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27</w:t>
            </w:r>
          </w:p>
        </w:tc>
        <w:tc>
          <w:tcPr>
            <w:tcW w:w="115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lang w:val="en-US" w:eastAsia="zh-CN"/>
              </w:rPr>
              <w:t>废气流速</w:t>
            </w:r>
            <w:r>
              <w:rPr>
                <w:rFonts w:hint="default" w:ascii="Times New Roman" w:hAnsi="Times New Roman" w:eastAsia="宋体" w:cs="Times New Roman"/>
                <w:b/>
                <w:sz w:val="21"/>
                <w:szCs w:val="21"/>
              </w:rPr>
              <w:t>（m/s）</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8.1</w:t>
            </w:r>
          </w:p>
        </w:tc>
        <w:tc>
          <w:tcPr>
            <w:tcW w:w="1151"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8.1</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8.1</w:t>
            </w:r>
          </w:p>
        </w:tc>
        <w:tc>
          <w:tcPr>
            <w:tcW w:w="1151" w:type="dxa"/>
            <w:gridSpan w:val="2"/>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7.9</w:t>
            </w:r>
          </w:p>
        </w:tc>
        <w:tc>
          <w:tcPr>
            <w:tcW w:w="115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7.6</w:t>
            </w:r>
          </w:p>
        </w:tc>
        <w:tc>
          <w:tcPr>
            <w:tcW w:w="1155"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标干废气量（m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45770</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lang w:val="en-US" w:eastAsia="zh-CN"/>
              </w:rPr>
              <w:t>45694</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45770</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43837</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42649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lang w:val="en-US" w:eastAsia="zh-CN"/>
              </w:rPr>
              <w:t>46328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restart"/>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cs="Times New Roman"/>
                <w:b/>
                <w:sz w:val="21"/>
                <w:szCs w:val="21"/>
                <w:highlight w:val="none"/>
                <w:lang w:eastAsia="zh-CN"/>
              </w:rPr>
              <w:t>二氧化硫</w:t>
            </w: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151"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155"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continue"/>
            <w:tcBorders>
              <w:tl2br w:val="nil"/>
              <w:tr2bl w:val="nil"/>
            </w:tcBorders>
            <w:vAlign w:val="center"/>
          </w:tcPr>
          <w:p>
            <w:pPr>
              <w:jc w:val="center"/>
              <w:rPr>
                <w:rFonts w:hint="default" w:ascii="Times New Roman" w:hAnsi="Times New Roman" w:eastAsia="宋体" w:cs="Times New Roman"/>
                <w:b/>
                <w:sz w:val="21"/>
                <w:szCs w:val="21"/>
              </w:rPr>
            </w:pP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排放速率（kg/h）</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1.14</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0.868</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1.19</w:t>
            </w:r>
          </w:p>
        </w:tc>
        <w:tc>
          <w:tcPr>
            <w:tcW w:w="1151" w:type="dxa"/>
            <w:gridSpan w:val="2"/>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1.05</w:t>
            </w:r>
          </w:p>
        </w:tc>
        <w:tc>
          <w:tcPr>
            <w:tcW w:w="1151"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1.11</w:t>
            </w:r>
          </w:p>
        </w:tc>
        <w:tc>
          <w:tcPr>
            <w:tcW w:w="1155"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restart"/>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cs="Times New Roman"/>
                <w:b/>
                <w:bCs/>
                <w:sz w:val="21"/>
                <w:szCs w:val="21"/>
                <w:highlight w:val="none"/>
                <w:lang w:val="en-US" w:eastAsia="zh-CN"/>
              </w:rPr>
              <w:t>氮氧化物</w:t>
            </w: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6" w:type="dxa"/>
            <w:vMerge w:val="continue"/>
            <w:tcBorders>
              <w:tl2br w:val="nil"/>
              <w:tr2bl w:val="nil"/>
            </w:tcBorders>
            <w:vAlign w:val="center"/>
          </w:tcPr>
          <w:p>
            <w:pPr>
              <w:jc w:val="center"/>
              <w:rPr>
                <w:rFonts w:hint="default" w:ascii="Times New Roman" w:hAnsi="Times New Roman" w:eastAsia="宋体" w:cs="Times New Roman"/>
                <w:b/>
                <w:sz w:val="21"/>
                <w:szCs w:val="21"/>
              </w:rPr>
            </w:pPr>
          </w:p>
        </w:tc>
        <w:tc>
          <w:tcPr>
            <w:tcW w:w="1871" w:type="dxa"/>
            <w:tcBorders>
              <w:tl2br w:val="nil"/>
              <w:tr2bl w:val="nil"/>
            </w:tcBorders>
            <w:vAlign w:val="center"/>
          </w:tcPr>
          <w:p>
            <w:pPr>
              <w:jc w:val="both"/>
              <w:rPr>
                <w:rFonts w:hint="default" w:ascii="Times New Roman" w:hAnsi="Times New Roman" w:eastAsia="宋体" w:cs="Times New Roman"/>
                <w:b/>
                <w:sz w:val="21"/>
                <w:szCs w:val="21"/>
              </w:rPr>
            </w:pPr>
            <w:r>
              <w:rPr>
                <w:rFonts w:hint="default" w:ascii="Times New Roman" w:hAnsi="Times New Roman" w:eastAsia="宋体" w:cs="Times New Roman"/>
                <w:b/>
                <w:sz w:val="21"/>
                <w:szCs w:val="21"/>
                <w:highlight w:val="none"/>
              </w:rPr>
              <w:t>排放速率（kg/h）</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0.549</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0.457</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0.549</w:t>
            </w:r>
          </w:p>
        </w:tc>
        <w:tc>
          <w:tcPr>
            <w:tcW w:w="1151"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0.482</w:t>
            </w:r>
          </w:p>
        </w:tc>
        <w:tc>
          <w:tcPr>
            <w:tcW w:w="11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0.469</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77" w:type="dxa"/>
            <w:gridSpan w:val="2"/>
            <w:tcBorders>
              <w:tl2br w:val="nil"/>
              <w:tr2bl w:val="nil"/>
            </w:tcBorders>
            <w:vAlign w:val="center"/>
          </w:tcPr>
          <w:p>
            <w:pPr>
              <w:spacing w:beforeAutospacing="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c>
          <w:tcPr>
            <w:tcW w:w="6910" w:type="dxa"/>
            <w:gridSpan w:val="7"/>
            <w:tcBorders>
              <w:tl2br w:val="nil"/>
              <w:tr2bl w:val="nil"/>
            </w:tcBorders>
            <w:vAlign w:val="center"/>
          </w:tcPr>
          <w:p>
            <w:pPr>
              <w:jc w:val="left"/>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Q</w:t>
            </w:r>
            <w:r>
              <w:rPr>
                <w:rFonts w:hint="eastAsia" w:ascii="Times New Roman" w:hAnsi="Times New Roman" w:cs="Times New Roman"/>
                <w:kern w:val="2"/>
                <w:sz w:val="21"/>
                <w:szCs w:val="21"/>
                <w:vertAlign w:val="subscript"/>
                <w:lang w:val="en-US" w:eastAsia="zh-CN" w:bidi="ar-SA"/>
              </w:rPr>
              <w:t>总</w:t>
            </w:r>
            <w:r>
              <w:rPr>
                <w:rFonts w:hint="eastAsia" w:ascii="Times New Roman" w:hAnsi="Times New Roman" w:cs="Times New Roman"/>
                <w:kern w:val="2"/>
                <w:sz w:val="21"/>
                <w:szCs w:val="21"/>
                <w:vertAlign w:val="baseline"/>
                <w:lang w:val="en-US" w:eastAsia="zh-CN" w:bidi="ar-SA"/>
              </w:rPr>
              <w:t>=45745</w:t>
            </w:r>
            <w:r>
              <w:rPr>
                <w:rFonts w:hint="default" w:ascii="Times New Roman" w:hAnsi="Times New Roman" w:eastAsia="宋体" w:cs="Times New Roman"/>
                <w:b w:val="0"/>
                <w:bCs/>
                <w:sz w:val="21"/>
                <w:szCs w:val="21"/>
                <w:highlight w:val="none"/>
              </w:rPr>
              <w:t>m</w:t>
            </w:r>
            <w:r>
              <w:rPr>
                <w:rFonts w:hint="default" w:ascii="Times New Roman" w:hAnsi="Times New Roman" w:eastAsia="宋体" w:cs="Times New Roman"/>
                <w:b w:val="0"/>
                <w:bCs/>
                <w:sz w:val="21"/>
                <w:szCs w:val="21"/>
                <w:highlight w:val="none"/>
                <w:vertAlign w:val="superscript"/>
              </w:rPr>
              <w:t>3</w:t>
            </w:r>
            <w:r>
              <w:rPr>
                <w:rFonts w:hint="eastAsia" w:ascii="Times New Roman" w:hAnsi="Times New Roman" w:cs="Times New Roman"/>
                <w:b w:val="0"/>
                <w:bCs/>
                <w:sz w:val="21"/>
                <w:szCs w:val="21"/>
                <w:highlight w:val="none"/>
                <w:vertAlign w:val="baseline"/>
                <w:lang w:val="en-US" w:eastAsia="zh-CN"/>
              </w:rPr>
              <w:t>/t</w:t>
            </w:r>
            <w:r>
              <w:rPr>
                <w:rFonts w:hint="eastAsia" w:ascii="Times New Roman" w:hAnsi="Times New Roman" w:cs="Times New Roman"/>
                <w:kern w:val="2"/>
                <w:sz w:val="21"/>
                <w:szCs w:val="21"/>
                <w:vertAlign w:val="baseline"/>
                <w:lang w:val="en-US" w:eastAsia="zh-CN" w:bidi="ar-SA"/>
              </w:rPr>
              <w:t>（三次排气量平均值）*24h=1097880</w:t>
            </w:r>
            <w:r>
              <w:rPr>
                <w:rFonts w:hint="default" w:ascii="Times New Roman" w:hAnsi="Times New Roman" w:eastAsia="宋体" w:cs="Times New Roman"/>
                <w:b w:val="0"/>
                <w:bCs/>
                <w:sz w:val="21"/>
                <w:szCs w:val="21"/>
                <w:highlight w:val="none"/>
              </w:rPr>
              <w:t>m</w:t>
            </w:r>
            <w:r>
              <w:rPr>
                <w:rFonts w:hint="default" w:ascii="Times New Roman" w:hAnsi="Times New Roman" w:eastAsia="宋体" w:cs="Times New Roman"/>
                <w:b w:val="0"/>
                <w:bCs/>
                <w:sz w:val="21"/>
                <w:szCs w:val="21"/>
                <w:highlight w:val="none"/>
                <w:vertAlign w:val="superscript"/>
              </w:rPr>
              <w:t>3</w:t>
            </w:r>
            <w:r>
              <w:rPr>
                <w:rFonts w:hint="eastAsia" w:ascii="Times New Roman" w:hAnsi="Times New Roman" w:cs="Times New Roman"/>
                <w:b w:val="0"/>
                <w:bCs/>
                <w:sz w:val="21"/>
                <w:szCs w:val="21"/>
                <w:highlight w:val="none"/>
                <w:lang w:eastAsia="zh-CN"/>
              </w:rPr>
              <w:t>，</w:t>
            </w:r>
            <w:r>
              <w:rPr>
                <w:rFonts w:hint="eastAsia" w:ascii="Times New Roman" w:hAnsi="Times New Roman" w:cs="Times New Roman"/>
                <w:b w:val="0"/>
                <w:bCs/>
                <w:sz w:val="21"/>
                <w:szCs w:val="21"/>
                <w:highlight w:val="none"/>
                <w:lang w:val="en-US" w:eastAsia="zh-CN"/>
              </w:rPr>
              <w:t>Y</w:t>
            </w:r>
            <w:r>
              <w:rPr>
                <w:rFonts w:hint="eastAsia" w:ascii="Times New Roman" w:hAnsi="Times New Roman" w:cs="Times New Roman"/>
                <w:b w:val="0"/>
                <w:bCs/>
                <w:sz w:val="21"/>
                <w:szCs w:val="21"/>
                <w:highlight w:val="none"/>
                <w:vertAlign w:val="subscript"/>
                <w:lang w:val="en-US" w:eastAsia="zh-CN"/>
              </w:rPr>
              <w:t>i</w:t>
            </w:r>
            <w:r>
              <w:rPr>
                <w:rFonts w:hint="eastAsia" w:ascii="Times New Roman" w:hAnsi="Times New Roman" w:cs="Times New Roman"/>
                <w:b w:val="0"/>
                <w:bCs/>
                <w:sz w:val="21"/>
                <w:szCs w:val="21"/>
                <w:highlight w:val="none"/>
                <w:lang w:val="en-US" w:eastAsia="zh-CN"/>
              </w:rPr>
              <w:t>=765t（根据项目年产量30万吨、年工作时间8000h、日工作时间24h和生产负荷85%计算得出），Q</w:t>
            </w:r>
            <w:r>
              <w:rPr>
                <w:rFonts w:hint="eastAsia" w:ascii="Times New Roman" w:hAnsi="Times New Roman" w:cs="Times New Roman"/>
                <w:b w:val="0"/>
                <w:bCs/>
                <w:sz w:val="21"/>
                <w:szCs w:val="21"/>
                <w:highlight w:val="none"/>
                <w:vertAlign w:val="subscript"/>
                <w:lang w:val="en-US" w:eastAsia="zh-CN"/>
              </w:rPr>
              <w:t>i基</w:t>
            </w:r>
            <w:r>
              <w:rPr>
                <w:rFonts w:hint="eastAsia" w:ascii="Times New Roman" w:hAnsi="Times New Roman" w:cs="Times New Roman"/>
                <w:b w:val="0"/>
                <w:bCs/>
                <w:sz w:val="21"/>
                <w:szCs w:val="21"/>
                <w:highlight w:val="none"/>
                <w:vertAlign w:val="baseline"/>
                <w:lang w:val="en-US" w:eastAsia="zh-CN"/>
              </w:rPr>
              <w:t>=2300m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/t，经计算ρ</w:t>
            </w:r>
            <w:r>
              <w:rPr>
                <w:rFonts w:hint="eastAsia" w:ascii="Times New Roman" w:hAnsi="Times New Roman" w:cs="Times New Roman"/>
                <w:b w:val="0"/>
                <w:bCs/>
                <w:sz w:val="21"/>
                <w:szCs w:val="21"/>
                <w:highlight w:val="none"/>
                <w:vertAlign w:val="subscript"/>
                <w:lang w:val="en-US" w:eastAsia="zh-CN"/>
              </w:rPr>
              <w:t>基</w:t>
            </w:r>
            <w:r>
              <w:rPr>
                <w:rFonts w:hint="eastAsia" w:ascii="Times New Roman" w:hAnsi="Times New Roman" w:cs="Times New Roman"/>
                <w:b w:val="0"/>
                <w:bCs/>
                <w:sz w:val="21"/>
                <w:szCs w:val="21"/>
                <w:highlight w:val="none"/>
                <w:vertAlign w:val="baseline"/>
                <w:lang w:val="en-US" w:eastAsia="zh-CN"/>
              </w:rPr>
              <w:t>=0.62</w:t>
            </w:r>
            <w:r>
              <w:rPr>
                <w:rFonts w:hint="default" w:ascii="Times New Roman" w:hAnsi="Times New Roman" w:cs="Times New Roman"/>
                <w:b w:val="0"/>
                <w:bCs/>
                <w:sz w:val="21"/>
                <w:szCs w:val="21"/>
                <w:highlight w:val="none"/>
                <w:vertAlign w:val="baseline"/>
                <w:lang w:val="en-US" w:eastAsia="zh-CN"/>
              </w:rPr>
              <w:t>&lt;</w:t>
            </w:r>
            <w:r>
              <w:rPr>
                <w:rFonts w:hint="eastAsia" w:ascii="Times New Roman" w:hAnsi="Times New Roman" w:cs="Times New Roman"/>
                <w:b w:val="0"/>
                <w:bCs/>
                <w:sz w:val="21"/>
                <w:szCs w:val="21"/>
                <w:highlight w:val="none"/>
                <w:vertAlign w:val="baseline"/>
                <w:lang w:val="en-US" w:eastAsia="zh-CN"/>
              </w:rPr>
              <w:t>1，所以以污染物实际浓度作为排放是否达标的依据。</w:t>
            </w:r>
          </w:p>
        </w:tc>
      </w:tr>
    </w:tbl>
    <w:p>
      <w:pPr>
        <w:spacing w:line="360" w:lineRule="auto"/>
        <w:jc w:val="center"/>
        <w:rPr>
          <w:rFonts w:hint="default" w:ascii="Times New Roman" w:hAnsi="Times New Roman" w:eastAsia="宋体" w:cs="Times New Roman"/>
          <w:bCs/>
          <w:sz w:val="24"/>
          <w:highlight w:val="none"/>
        </w:rPr>
      </w:pPr>
    </w:p>
    <w:p>
      <w:pPr>
        <w:spacing w:line="360" w:lineRule="auto"/>
        <w:jc w:val="center"/>
        <w:rPr>
          <w:rFonts w:hint="default" w:ascii="Times New Roman" w:hAnsi="Times New Roman" w:eastAsia="宋体" w:cs="Times New Roman"/>
          <w:bCs/>
          <w:szCs w:val="21"/>
        </w:rPr>
      </w:pPr>
      <w:r>
        <w:rPr>
          <w:rFonts w:hint="default" w:ascii="Times New Roman" w:hAnsi="Times New Roman" w:eastAsia="宋体" w:cs="Times New Roman"/>
          <w:bCs/>
          <w:sz w:val="24"/>
          <w:highlight w:val="none"/>
        </w:rPr>
        <w:t>表5-</w:t>
      </w:r>
      <w:r>
        <w:rPr>
          <w:rFonts w:hint="eastAsia" w:cs="Times New Roman"/>
          <w:bCs/>
          <w:sz w:val="24"/>
          <w:highlight w:val="none"/>
          <w:lang w:val="en-US" w:eastAsia="zh-CN"/>
        </w:rPr>
        <w:t>10</w:t>
      </w:r>
      <w:r>
        <w:rPr>
          <w:rFonts w:hint="eastAsia" w:cs="Times New Roman"/>
          <w:bCs/>
          <w:sz w:val="24"/>
          <w:highlight w:val="none"/>
          <w:lang w:eastAsia="zh-CN"/>
        </w:rPr>
        <w:t>有</w:t>
      </w:r>
      <w:r>
        <w:rPr>
          <w:rFonts w:hint="default" w:ascii="Times New Roman" w:hAnsi="Times New Roman" w:eastAsia="宋体" w:cs="Times New Roman"/>
          <w:bCs/>
          <w:sz w:val="24"/>
        </w:rPr>
        <w:t>组织</w:t>
      </w:r>
      <w:r>
        <w:rPr>
          <w:rFonts w:hint="default" w:ascii="Times New Roman" w:hAnsi="Times New Roman" w:eastAsia="宋体" w:cs="Times New Roman"/>
          <w:sz w:val="24"/>
          <w:szCs w:val="24"/>
          <w:highlight w:val="none"/>
          <w:lang w:val="en-US" w:eastAsia="zh-CN"/>
        </w:rPr>
        <w:t>硫酸雾</w:t>
      </w:r>
      <w:r>
        <w:rPr>
          <w:rFonts w:hint="default" w:ascii="Times New Roman" w:hAnsi="Times New Roman" w:eastAsia="宋体" w:cs="Times New Roman"/>
          <w:bCs/>
          <w:sz w:val="24"/>
        </w:rPr>
        <w:t xml:space="preserve">排放监测结果 </w:t>
      </w:r>
      <w:r>
        <w:rPr>
          <w:rFonts w:hint="default" w:ascii="Times New Roman" w:hAnsi="Times New Roman" w:eastAsia="宋体" w:cs="Times New Roman"/>
          <w:bCs/>
          <w:szCs w:val="21"/>
        </w:rPr>
        <w:t>（单位：mg/m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w:t>
      </w:r>
    </w:p>
    <w:tbl>
      <w:tblPr>
        <w:tblStyle w:val="28"/>
        <w:tblW w:w="104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875"/>
        <w:gridCol w:w="1222"/>
        <w:gridCol w:w="1222"/>
        <w:gridCol w:w="1222"/>
        <w:gridCol w:w="2"/>
        <w:gridCol w:w="1220"/>
        <w:gridCol w:w="1222"/>
        <w:gridCol w:w="13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eastAsia="zh-CN"/>
              </w:rPr>
              <w:t>检</w:t>
            </w:r>
            <w:r>
              <w:rPr>
                <w:rFonts w:hint="default" w:ascii="Times New Roman" w:hAnsi="Times New Roman" w:eastAsia="宋体" w:cs="Times New Roman"/>
                <w:b/>
                <w:sz w:val="21"/>
                <w:szCs w:val="21"/>
                <w:highlight w:val="none"/>
              </w:rPr>
              <w:t>测项目</w:t>
            </w:r>
          </w:p>
        </w:tc>
        <w:tc>
          <w:tcPr>
            <w:tcW w:w="7472"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sz w:val="21"/>
                <w:szCs w:val="21"/>
                <w:highlight w:val="none"/>
                <w:lang w:val="en-US" w:eastAsia="zh-CN"/>
              </w:rPr>
              <w:t>硫酸雾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rPr>
              <w:t>依据</w:t>
            </w:r>
          </w:p>
        </w:tc>
        <w:tc>
          <w:tcPr>
            <w:tcW w:w="7472"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《空气和废气监测分析方法》第五篇 第 四章 四（一）铬酸钡分光光度</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法</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国家环保总局 2003 年第四版（增补版）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rPr>
              <w:t>检测点位</w:t>
            </w:r>
          </w:p>
        </w:tc>
        <w:tc>
          <w:tcPr>
            <w:tcW w:w="7472" w:type="dxa"/>
            <w:gridSpan w:val="7"/>
            <w:vAlign w:val="center"/>
          </w:tcPr>
          <w:p>
            <w:pPr>
              <w:jc w:val="center"/>
              <w:rPr>
                <w:rFonts w:hint="default" w:ascii="Times New Roman" w:hAnsi="Times New Roman" w:eastAsia="宋体" w:cs="Times New Roman"/>
                <w:color w:val="000000"/>
                <w:kern w:val="0"/>
                <w:sz w:val="21"/>
                <w:szCs w:val="21"/>
                <w:highlight w:val="none"/>
                <w:lang w:val="en-US" w:eastAsia="zh-CN"/>
              </w:rPr>
            </w:pPr>
            <w:r>
              <w:rPr>
                <w:rFonts w:hint="eastAsia" w:ascii="宋体" w:hAnsi="宋体" w:cs="宋体"/>
                <w:sz w:val="21"/>
                <w:szCs w:val="21"/>
                <w:lang w:val="en-US" w:eastAsia="zh-CN"/>
              </w:rPr>
              <w:t>脱硫塔排气筒进口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排气筒截面积（m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w:t>
            </w:r>
          </w:p>
        </w:tc>
        <w:tc>
          <w:tcPr>
            <w:tcW w:w="7472" w:type="dxa"/>
            <w:gridSpan w:val="7"/>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1.5393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lang w:val="en-US" w:eastAsia="zh-CN"/>
              </w:rPr>
              <w:t>检测日期</w:t>
            </w:r>
          </w:p>
        </w:tc>
        <w:tc>
          <w:tcPr>
            <w:tcW w:w="3668" w:type="dxa"/>
            <w:gridSpan w:val="4"/>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w:t>
            </w:r>
          </w:p>
        </w:tc>
        <w:tc>
          <w:tcPr>
            <w:tcW w:w="3804" w:type="dxa"/>
            <w:gridSpan w:val="3"/>
            <w:vAlign w:val="center"/>
          </w:tcPr>
          <w:p>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检</w:t>
            </w:r>
            <w:r>
              <w:rPr>
                <w:rFonts w:hint="default" w:ascii="Times New Roman" w:hAnsi="Times New Roman" w:eastAsia="宋体" w:cs="Times New Roman"/>
                <w:b/>
                <w:sz w:val="21"/>
                <w:szCs w:val="21"/>
                <w:highlight w:val="none"/>
                <w:lang w:val="en-US" w:eastAsia="zh-CN"/>
              </w:rPr>
              <w:t>测频次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第一次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第二次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第三次</w:t>
            </w:r>
          </w:p>
        </w:tc>
        <w:tc>
          <w:tcPr>
            <w:tcW w:w="122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第一次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第二次</w:t>
            </w:r>
          </w:p>
        </w:tc>
        <w:tc>
          <w:tcPr>
            <w:tcW w:w="136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第三次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标干</w:t>
            </w:r>
            <w:r>
              <w:rPr>
                <w:rFonts w:hint="default" w:ascii="Times New Roman" w:hAnsi="Times New Roman" w:eastAsia="宋体" w:cs="Times New Roman"/>
                <w:b/>
                <w:sz w:val="21"/>
                <w:szCs w:val="21"/>
                <w:highlight w:val="none"/>
                <w:lang w:val="en-US" w:eastAsia="zh-CN"/>
              </w:rPr>
              <w:t>废</w:t>
            </w:r>
            <w:r>
              <w:rPr>
                <w:rFonts w:hint="default" w:ascii="Times New Roman" w:hAnsi="Times New Roman" w:eastAsia="宋体" w:cs="Times New Roman"/>
                <w:b/>
                <w:sz w:val="21"/>
                <w:szCs w:val="21"/>
                <w:highlight w:val="none"/>
              </w:rPr>
              <w:t>气量（m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57554</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56921</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57820</w:t>
            </w:r>
          </w:p>
        </w:tc>
        <w:tc>
          <w:tcPr>
            <w:tcW w:w="1222" w:type="dxa"/>
            <w:gridSpan w:val="2"/>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59384</w:t>
            </w:r>
          </w:p>
        </w:tc>
        <w:tc>
          <w:tcPr>
            <w:tcW w:w="1222"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59288</w:t>
            </w:r>
          </w:p>
        </w:tc>
        <w:tc>
          <w:tcPr>
            <w:tcW w:w="1362"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63" w:type="dxa"/>
            <w:vMerge w:val="restart"/>
            <w:tcBorders>
              <w:right w:val="single" w:color="auto" w:sz="4" w:space="0"/>
            </w:tcBorders>
            <w:vAlign w:val="center"/>
          </w:tcPr>
          <w:p>
            <w:pPr>
              <w:jc w:val="center"/>
              <w:rPr>
                <w:rFonts w:hint="default" w:ascii="Times New Roman" w:hAnsi="Times New Roman" w:eastAsia="宋体" w:cs="Times New Roman"/>
                <w:b/>
                <w:sz w:val="21"/>
                <w:szCs w:val="21"/>
                <w:highlight w:val="none"/>
                <w:lang w:val="en-US" w:eastAsia="zh-CN"/>
              </w:rPr>
            </w:pP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eastAsia="zh-CN"/>
              </w:rPr>
              <w:t>硫酸雾</w:t>
            </w:r>
          </w:p>
        </w:tc>
        <w:tc>
          <w:tcPr>
            <w:tcW w:w="1875" w:type="dxa"/>
            <w:tcBorders>
              <w:left w:val="single" w:color="auto" w:sz="4" w:space="0"/>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lang w:val="en-US" w:eastAsia="zh-CN"/>
              </w:rPr>
              <w:t>排放</w:t>
            </w: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8.24</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8.58</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9.36</w:t>
            </w:r>
          </w:p>
        </w:tc>
        <w:tc>
          <w:tcPr>
            <w:tcW w:w="1222" w:type="dxa"/>
            <w:gridSpan w:val="2"/>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9.80</w:t>
            </w:r>
          </w:p>
        </w:tc>
        <w:tc>
          <w:tcPr>
            <w:tcW w:w="1222" w:type="dxa"/>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9.20</w:t>
            </w:r>
          </w:p>
        </w:tc>
        <w:tc>
          <w:tcPr>
            <w:tcW w:w="1362" w:type="dxa"/>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63" w:type="dxa"/>
            <w:vMerge w:val="continue"/>
            <w:tcBorders>
              <w:right w:val="single" w:color="auto" w:sz="4" w:space="0"/>
            </w:tcBorders>
            <w:vAlign w:val="center"/>
          </w:tcPr>
          <w:p>
            <w:pPr>
              <w:jc w:val="center"/>
              <w:rPr>
                <w:rFonts w:hint="default" w:ascii="Times New Roman" w:hAnsi="Times New Roman" w:eastAsia="宋体" w:cs="Times New Roman"/>
                <w:b/>
                <w:sz w:val="21"/>
                <w:szCs w:val="21"/>
                <w:highlight w:val="none"/>
              </w:rPr>
            </w:pPr>
          </w:p>
        </w:tc>
        <w:tc>
          <w:tcPr>
            <w:tcW w:w="1875" w:type="dxa"/>
            <w:tcBorders>
              <w:left w:val="single" w:color="auto" w:sz="4" w:space="0"/>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排放速率（kg/h）</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0.474</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0.488</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0.541</w:t>
            </w:r>
          </w:p>
        </w:tc>
        <w:tc>
          <w:tcPr>
            <w:tcW w:w="1222" w:type="dxa"/>
            <w:gridSpan w:val="2"/>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0.582</w:t>
            </w:r>
          </w:p>
        </w:tc>
        <w:tc>
          <w:tcPr>
            <w:tcW w:w="1222" w:type="dxa"/>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0.545</w:t>
            </w:r>
          </w:p>
        </w:tc>
        <w:tc>
          <w:tcPr>
            <w:tcW w:w="1362" w:type="dxa"/>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38" w:type="dxa"/>
            <w:gridSpan w:val="2"/>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rPr>
              <w:t>备注</w:t>
            </w:r>
          </w:p>
        </w:tc>
        <w:tc>
          <w:tcPr>
            <w:tcW w:w="7472" w:type="dxa"/>
            <w:gridSpan w:val="7"/>
            <w:vAlign w:val="center"/>
          </w:tcPr>
          <w:p>
            <w:pPr>
              <w:keepNext w:val="0"/>
              <w:keepLines w:val="0"/>
              <w:widowControl/>
              <w:suppressLineNumbers w:val="0"/>
              <w:jc w:val="left"/>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*硫酸雾项目为分包项目，分包公司为中弘生态环保（山东）有限责任公司，报告编号为</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color w:val="000000"/>
                <w:kern w:val="0"/>
                <w:sz w:val="21"/>
                <w:szCs w:val="21"/>
                <w:lang w:val="en-US" w:eastAsia="zh-CN" w:bidi="ar"/>
              </w:rPr>
              <w:t>ZH2009072</w:t>
            </w:r>
          </w:p>
        </w:tc>
      </w:tr>
    </w:tbl>
    <w:p>
      <w:pPr>
        <w:pStyle w:val="2"/>
        <w:rPr>
          <w:rFonts w:hint="default"/>
        </w:rPr>
      </w:pPr>
    </w:p>
    <w:tbl>
      <w:tblPr>
        <w:tblStyle w:val="28"/>
        <w:tblW w:w="104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8"/>
        <w:gridCol w:w="1875"/>
        <w:gridCol w:w="1222"/>
        <w:gridCol w:w="1222"/>
        <w:gridCol w:w="1222"/>
        <w:gridCol w:w="2"/>
        <w:gridCol w:w="1220"/>
        <w:gridCol w:w="1222"/>
        <w:gridCol w:w="13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eastAsia="zh-CN"/>
              </w:rPr>
              <w:t>检</w:t>
            </w:r>
            <w:r>
              <w:rPr>
                <w:rFonts w:hint="default" w:ascii="Times New Roman" w:hAnsi="Times New Roman" w:eastAsia="宋体" w:cs="Times New Roman"/>
                <w:b/>
                <w:sz w:val="21"/>
                <w:szCs w:val="21"/>
                <w:highlight w:val="none"/>
              </w:rPr>
              <w:t>测项目</w:t>
            </w:r>
          </w:p>
        </w:tc>
        <w:tc>
          <w:tcPr>
            <w:tcW w:w="7487"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sz w:val="21"/>
                <w:szCs w:val="21"/>
                <w:highlight w:val="none"/>
                <w:lang w:val="en-US" w:eastAsia="zh-CN"/>
              </w:rPr>
              <w:t>硫酸雾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bCs/>
                <w:sz w:val="21"/>
                <w:szCs w:val="21"/>
                <w:highlight w:val="none"/>
                <w:lang w:val="en-US" w:eastAsia="zh-CN"/>
              </w:rPr>
              <w:t>检测</w:t>
            </w:r>
            <w:r>
              <w:rPr>
                <w:rFonts w:hint="default" w:ascii="Times New Roman" w:hAnsi="Times New Roman" w:eastAsia="宋体" w:cs="Times New Roman"/>
                <w:b/>
                <w:bCs/>
                <w:sz w:val="21"/>
                <w:szCs w:val="21"/>
                <w:highlight w:val="none"/>
              </w:rPr>
              <w:t>依据</w:t>
            </w:r>
          </w:p>
        </w:tc>
        <w:tc>
          <w:tcPr>
            <w:tcW w:w="7487"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z w:val="21"/>
                <w:szCs w:val="21"/>
                <w:lang w:eastAsia="zh-CN"/>
              </w:rPr>
              <w:t>《</w:t>
            </w:r>
            <w:r>
              <w:rPr>
                <w:rFonts w:hint="eastAsia" w:cs="Times New Roman"/>
                <w:b w:val="0"/>
                <w:bCs/>
                <w:sz w:val="21"/>
                <w:szCs w:val="21"/>
                <w:lang w:eastAsia="zh-CN"/>
              </w:rPr>
              <w:t>空</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气和废气监测分析方法》第五篇 第 四章 四（一）铬酸钡分光光度</w:t>
            </w:r>
            <w:r>
              <w:rPr>
                <w:rFonts w:hint="eastAsia" w:cs="Times New Roman"/>
                <w:b w:val="0"/>
                <w:bCs w:val="0"/>
                <w:color w:val="000000" w:themeColor="text1"/>
                <w:kern w:val="0"/>
                <w:sz w:val="21"/>
                <w:szCs w:val="21"/>
                <w:lang w:val="en-US" w:eastAsia="zh-CN" w:bidi="ar-SA"/>
                <w14:textFill>
                  <w14:solidFill>
                    <w14:schemeClr w14:val="tx1"/>
                  </w14:solidFill>
                </w14:textFill>
              </w:rPr>
              <w:t>法</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国家环保总局 2003 年第四版（增补版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rPr>
              <w:t>检测点位</w:t>
            </w:r>
          </w:p>
        </w:tc>
        <w:tc>
          <w:tcPr>
            <w:tcW w:w="7487" w:type="dxa"/>
            <w:gridSpan w:val="7"/>
            <w:vAlign w:val="center"/>
          </w:tcPr>
          <w:p>
            <w:pPr>
              <w:jc w:val="center"/>
              <w:rPr>
                <w:rFonts w:hint="default" w:ascii="Times New Roman" w:hAnsi="Times New Roman" w:eastAsia="宋体" w:cs="Times New Roman"/>
                <w:color w:val="000000"/>
                <w:kern w:val="0"/>
                <w:sz w:val="21"/>
                <w:szCs w:val="21"/>
                <w:highlight w:val="none"/>
                <w:lang w:val="en-US" w:eastAsia="zh-CN"/>
              </w:rPr>
            </w:pPr>
            <w:r>
              <w:rPr>
                <w:rFonts w:hint="eastAsia" w:ascii="宋体" w:hAnsi="宋体" w:cs="宋体"/>
                <w:sz w:val="21"/>
                <w:szCs w:val="21"/>
                <w:lang w:val="en-US" w:eastAsia="zh-CN"/>
              </w:rPr>
              <w:t>脱硫塔排气筒出口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排气筒高度（m）</w:t>
            </w:r>
          </w:p>
        </w:tc>
        <w:tc>
          <w:tcPr>
            <w:tcW w:w="7487" w:type="dxa"/>
            <w:gridSpan w:val="7"/>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排气筒截面积（m</w:t>
            </w:r>
            <w:r>
              <w:rPr>
                <w:rFonts w:hint="default" w:ascii="Times New Roman" w:hAnsi="Times New Roman" w:eastAsia="宋体" w:cs="Times New Roman"/>
                <w:b/>
                <w:bCs/>
                <w:sz w:val="21"/>
                <w:szCs w:val="21"/>
                <w:vertAlign w:val="superscript"/>
              </w:rPr>
              <w:t>2</w:t>
            </w:r>
            <w:r>
              <w:rPr>
                <w:rFonts w:hint="default" w:ascii="Times New Roman" w:hAnsi="Times New Roman" w:eastAsia="宋体" w:cs="Times New Roman"/>
                <w:b/>
                <w:bCs/>
                <w:sz w:val="21"/>
                <w:szCs w:val="21"/>
              </w:rPr>
              <w:t>）</w:t>
            </w:r>
          </w:p>
        </w:tc>
        <w:tc>
          <w:tcPr>
            <w:tcW w:w="7487" w:type="dxa"/>
            <w:gridSpan w:val="7"/>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1.7671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lang w:val="en-US" w:eastAsia="zh-CN"/>
              </w:rPr>
              <w:t>检测日期</w:t>
            </w:r>
          </w:p>
        </w:tc>
        <w:tc>
          <w:tcPr>
            <w:tcW w:w="3668" w:type="dxa"/>
            <w:gridSpan w:val="4"/>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2020.09.25</w:t>
            </w:r>
          </w:p>
        </w:tc>
        <w:tc>
          <w:tcPr>
            <w:tcW w:w="3819" w:type="dxa"/>
            <w:gridSpan w:val="3"/>
            <w:vAlign w:val="center"/>
          </w:tcPr>
          <w:p>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2020.09.26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检</w:t>
            </w:r>
            <w:r>
              <w:rPr>
                <w:rFonts w:hint="default" w:ascii="Times New Roman" w:hAnsi="Times New Roman" w:eastAsia="宋体" w:cs="Times New Roman"/>
                <w:b/>
                <w:sz w:val="21"/>
                <w:szCs w:val="21"/>
                <w:highlight w:val="none"/>
                <w:lang w:val="en-US" w:eastAsia="zh-CN"/>
              </w:rPr>
              <w:t>测频次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第一次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第二次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第三次</w:t>
            </w:r>
          </w:p>
        </w:tc>
        <w:tc>
          <w:tcPr>
            <w:tcW w:w="122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第一次</w:t>
            </w:r>
          </w:p>
        </w:tc>
        <w:tc>
          <w:tcPr>
            <w:tcW w:w="122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第二次</w:t>
            </w:r>
          </w:p>
        </w:tc>
        <w:tc>
          <w:tcPr>
            <w:tcW w:w="1377"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第三次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标干</w:t>
            </w:r>
            <w:r>
              <w:rPr>
                <w:rFonts w:hint="default" w:ascii="Times New Roman" w:hAnsi="Times New Roman" w:eastAsia="宋体" w:cs="Times New Roman"/>
                <w:b/>
                <w:sz w:val="21"/>
                <w:szCs w:val="21"/>
                <w:highlight w:val="none"/>
                <w:lang w:val="en-US" w:eastAsia="zh-CN"/>
              </w:rPr>
              <w:t>废</w:t>
            </w:r>
            <w:r>
              <w:rPr>
                <w:rFonts w:hint="default" w:ascii="Times New Roman" w:hAnsi="Times New Roman" w:eastAsia="宋体" w:cs="Times New Roman"/>
                <w:b/>
                <w:sz w:val="21"/>
                <w:szCs w:val="21"/>
                <w:highlight w:val="none"/>
              </w:rPr>
              <w:t>气量（m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45655</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46566</w:t>
            </w:r>
          </w:p>
        </w:tc>
        <w:tc>
          <w:tcPr>
            <w:tcW w:w="122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47656</w:t>
            </w:r>
          </w:p>
        </w:tc>
        <w:tc>
          <w:tcPr>
            <w:tcW w:w="1222" w:type="dxa"/>
            <w:gridSpan w:val="2"/>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42578</w:t>
            </w:r>
          </w:p>
        </w:tc>
        <w:tc>
          <w:tcPr>
            <w:tcW w:w="1222"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46328</w:t>
            </w:r>
          </w:p>
        </w:tc>
        <w:tc>
          <w:tcPr>
            <w:tcW w:w="1377"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46328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48" w:type="dxa"/>
            <w:vMerge w:val="restart"/>
            <w:tcBorders>
              <w:right w:val="single" w:color="auto" w:sz="4" w:space="0"/>
            </w:tcBorders>
            <w:vAlign w:val="center"/>
          </w:tcPr>
          <w:p>
            <w:pPr>
              <w:jc w:val="center"/>
              <w:rPr>
                <w:rFonts w:hint="default" w:ascii="Times New Roman" w:hAnsi="Times New Roman" w:eastAsia="宋体" w:cs="Times New Roman"/>
                <w:b/>
                <w:sz w:val="21"/>
                <w:szCs w:val="21"/>
                <w:highlight w:val="none"/>
                <w:lang w:val="en-US" w:eastAsia="zh-CN"/>
              </w:rPr>
            </w:pP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eastAsia="zh-CN"/>
              </w:rPr>
              <w:t>硫酸雾</w:t>
            </w:r>
          </w:p>
        </w:tc>
        <w:tc>
          <w:tcPr>
            <w:tcW w:w="1875" w:type="dxa"/>
            <w:tcBorders>
              <w:left w:val="single" w:color="auto" w:sz="4" w:space="0"/>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lang w:val="en-US" w:eastAsia="zh-CN"/>
              </w:rPr>
              <w:t>排放</w:t>
            </w: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2.65</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3.28</w:t>
            </w:r>
          </w:p>
        </w:tc>
        <w:tc>
          <w:tcPr>
            <w:tcW w:w="1222" w:type="dxa"/>
            <w:vAlign w:val="center"/>
          </w:tcPr>
          <w:p>
            <w:pPr>
              <w:keepNext w:val="0"/>
              <w:keepLines w:val="0"/>
              <w:widowControl/>
              <w:suppressLineNumbers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4.82</w:t>
            </w:r>
          </w:p>
        </w:tc>
        <w:tc>
          <w:tcPr>
            <w:tcW w:w="1222" w:type="dxa"/>
            <w:gridSpan w:val="2"/>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3.03</w:t>
            </w:r>
          </w:p>
        </w:tc>
        <w:tc>
          <w:tcPr>
            <w:tcW w:w="1222" w:type="dxa"/>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2.76</w:t>
            </w:r>
          </w:p>
        </w:tc>
        <w:tc>
          <w:tcPr>
            <w:tcW w:w="1377" w:type="dxa"/>
            <w:vAlign w:val="center"/>
          </w:tcPr>
          <w:p>
            <w:pPr>
              <w:keepNext w:val="0"/>
              <w:keepLines w:val="0"/>
              <w:widowControl/>
              <w:suppressLineNumbers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48" w:type="dxa"/>
            <w:vMerge w:val="continue"/>
            <w:tcBorders>
              <w:right w:val="single" w:color="auto" w:sz="4" w:space="0"/>
            </w:tcBorders>
            <w:vAlign w:val="center"/>
          </w:tcPr>
          <w:p>
            <w:pPr>
              <w:jc w:val="center"/>
              <w:rPr>
                <w:rFonts w:hint="default" w:ascii="Times New Roman" w:hAnsi="Times New Roman" w:eastAsia="宋体" w:cs="Times New Roman"/>
                <w:b/>
                <w:sz w:val="21"/>
                <w:szCs w:val="21"/>
                <w:highlight w:val="none"/>
              </w:rPr>
            </w:pPr>
          </w:p>
        </w:tc>
        <w:tc>
          <w:tcPr>
            <w:tcW w:w="1875" w:type="dxa"/>
            <w:tcBorders>
              <w:left w:val="single" w:color="auto" w:sz="4" w:space="0"/>
            </w:tcBorders>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排放速率（kg/h）</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0.121</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0.153</w:t>
            </w:r>
          </w:p>
        </w:tc>
        <w:tc>
          <w:tcPr>
            <w:tcW w:w="1222" w:type="dxa"/>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0.230</w:t>
            </w:r>
          </w:p>
        </w:tc>
        <w:tc>
          <w:tcPr>
            <w:tcW w:w="1222" w:type="dxa"/>
            <w:gridSpan w:val="2"/>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0.129</w:t>
            </w:r>
          </w:p>
        </w:tc>
        <w:tc>
          <w:tcPr>
            <w:tcW w:w="1222" w:type="dxa"/>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0.128</w:t>
            </w:r>
          </w:p>
        </w:tc>
        <w:tc>
          <w:tcPr>
            <w:tcW w:w="1377" w:type="dxa"/>
            <w:vAlign w:val="center"/>
          </w:tcPr>
          <w:p>
            <w:pPr>
              <w:jc w:val="center"/>
              <w:rPr>
                <w:rFonts w:hint="default" w:ascii="Times New Roman" w:hAnsi="Times New Roman" w:cs="Times New Roman"/>
                <w:sz w:val="21"/>
                <w:szCs w:val="21"/>
                <w:highlight w:val="none"/>
                <w:shd w:val="clear"/>
                <w:lang w:val="en-US" w:eastAsia="zh-CN"/>
              </w:rPr>
            </w:pPr>
            <w:r>
              <w:rPr>
                <w:rFonts w:hint="eastAsia" w:ascii="Times New Roman" w:hAnsi="Times New Roman" w:cs="Times New Roman"/>
                <w:sz w:val="21"/>
                <w:szCs w:val="21"/>
                <w:highlight w:val="none"/>
                <w:shd w:val="clear"/>
                <w:lang w:val="en-US" w:eastAsia="zh-CN"/>
              </w:rPr>
              <w:t>0.156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2923" w:type="dxa"/>
            <w:gridSpan w:val="2"/>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rPr>
              <w:t>备注</w:t>
            </w:r>
          </w:p>
        </w:tc>
        <w:tc>
          <w:tcPr>
            <w:tcW w:w="7487" w:type="dxa"/>
            <w:gridSpan w:val="7"/>
            <w:vAlign w:val="center"/>
          </w:tcPr>
          <w:p>
            <w:pPr>
              <w:jc w:val="left"/>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*硫酸雾项目为分包项目，分包公司为中弘生态环保（山东）有限责任公司，报告编号为：</w:t>
            </w:r>
            <w:r>
              <w:rPr>
                <w:rFonts w:hint="default" w:ascii="Times New Roman" w:hAnsi="Times New Roman" w:eastAsia="宋体" w:cs="Times New Roman"/>
                <w:color w:val="000000"/>
                <w:kern w:val="0"/>
                <w:sz w:val="21"/>
                <w:szCs w:val="21"/>
                <w:lang w:val="en-US" w:eastAsia="zh-CN" w:bidi="ar"/>
              </w:rPr>
              <w:t>ZH2009072</w:t>
            </w:r>
            <w:r>
              <w:rPr>
                <w:rFonts w:hint="eastAsia" w:ascii="Times New Roman" w:hAnsi="Times New Roman" w:cs="Times New Roman"/>
                <w:color w:val="000000"/>
                <w:kern w:val="0"/>
                <w:sz w:val="21"/>
                <w:szCs w:val="21"/>
                <w:lang w:val="en-US" w:eastAsia="zh-CN" w:bidi="ar"/>
              </w:rPr>
              <w:t>。</w:t>
            </w:r>
            <w:r>
              <w:rPr>
                <w:rFonts w:hint="eastAsia" w:ascii="Times New Roman" w:hAnsi="Times New Roman" w:cs="Times New Roman"/>
                <w:kern w:val="2"/>
                <w:sz w:val="21"/>
                <w:szCs w:val="21"/>
                <w:lang w:val="en-US" w:eastAsia="zh-CN" w:bidi="ar-SA"/>
              </w:rPr>
              <w:t>Q</w:t>
            </w:r>
            <w:r>
              <w:rPr>
                <w:rFonts w:hint="eastAsia" w:ascii="Times New Roman" w:hAnsi="Times New Roman" w:cs="Times New Roman"/>
                <w:kern w:val="2"/>
                <w:sz w:val="21"/>
                <w:szCs w:val="21"/>
                <w:vertAlign w:val="subscript"/>
                <w:lang w:val="en-US" w:eastAsia="zh-CN" w:bidi="ar-SA"/>
              </w:rPr>
              <w:t>总</w:t>
            </w:r>
            <w:r>
              <w:rPr>
                <w:rFonts w:hint="eastAsia" w:ascii="Times New Roman" w:hAnsi="Times New Roman" w:cs="Times New Roman"/>
                <w:kern w:val="2"/>
                <w:sz w:val="21"/>
                <w:szCs w:val="21"/>
                <w:vertAlign w:val="baseline"/>
                <w:lang w:val="en-US" w:eastAsia="zh-CN" w:bidi="ar-SA"/>
              </w:rPr>
              <w:t>=46626</w:t>
            </w:r>
            <w:r>
              <w:rPr>
                <w:rFonts w:hint="default" w:ascii="Times New Roman" w:hAnsi="Times New Roman" w:eastAsia="宋体" w:cs="Times New Roman"/>
                <w:b w:val="0"/>
                <w:bCs/>
                <w:sz w:val="21"/>
                <w:szCs w:val="21"/>
                <w:highlight w:val="none"/>
              </w:rPr>
              <w:t>m</w:t>
            </w:r>
            <w:r>
              <w:rPr>
                <w:rFonts w:hint="default" w:ascii="Times New Roman" w:hAnsi="Times New Roman" w:eastAsia="宋体" w:cs="Times New Roman"/>
                <w:b w:val="0"/>
                <w:bCs/>
                <w:sz w:val="21"/>
                <w:szCs w:val="21"/>
                <w:highlight w:val="none"/>
                <w:vertAlign w:val="superscript"/>
              </w:rPr>
              <w:t>3</w:t>
            </w:r>
            <w:r>
              <w:rPr>
                <w:rFonts w:hint="eastAsia" w:ascii="Times New Roman" w:hAnsi="Times New Roman" w:cs="Times New Roman"/>
                <w:b w:val="0"/>
                <w:bCs/>
                <w:sz w:val="21"/>
                <w:szCs w:val="21"/>
                <w:highlight w:val="none"/>
                <w:vertAlign w:val="baseline"/>
                <w:lang w:val="en-US" w:eastAsia="zh-CN"/>
              </w:rPr>
              <w:t>/t</w:t>
            </w:r>
            <w:r>
              <w:rPr>
                <w:rFonts w:hint="eastAsia" w:ascii="Times New Roman" w:hAnsi="Times New Roman" w:cs="Times New Roman"/>
                <w:kern w:val="2"/>
                <w:sz w:val="21"/>
                <w:szCs w:val="21"/>
                <w:vertAlign w:val="baseline"/>
                <w:lang w:val="en-US" w:eastAsia="zh-CN" w:bidi="ar-SA"/>
              </w:rPr>
              <w:t>（三次排气量平均值）*24h=1119024</w:t>
            </w:r>
            <w:r>
              <w:rPr>
                <w:rFonts w:hint="default" w:ascii="Times New Roman" w:hAnsi="Times New Roman" w:eastAsia="宋体" w:cs="Times New Roman"/>
                <w:b w:val="0"/>
                <w:bCs/>
                <w:sz w:val="21"/>
                <w:szCs w:val="21"/>
                <w:highlight w:val="none"/>
              </w:rPr>
              <w:t>m</w:t>
            </w:r>
            <w:r>
              <w:rPr>
                <w:rFonts w:hint="default" w:ascii="Times New Roman" w:hAnsi="Times New Roman" w:eastAsia="宋体" w:cs="Times New Roman"/>
                <w:b w:val="0"/>
                <w:bCs/>
                <w:sz w:val="21"/>
                <w:szCs w:val="21"/>
                <w:highlight w:val="none"/>
                <w:vertAlign w:val="superscript"/>
              </w:rPr>
              <w:t>3</w:t>
            </w:r>
            <w:r>
              <w:rPr>
                <w:rFonts w:hint="eastAsia" w:ascii="Times New Roman" w:hAnsi="Times New Roman" w:cs="Times New Roman"/>
                <w:b w:val="0"/>
                <w:bCs/>
                <w:sz w:val="21"/>
                <w:szCs w:val="21"/>
                <w:highlight w:val="none"/>
                <w:lang w:eastAsia="zh-CN"/>
              </w:rPr>
              <w:t>，</w:t>
            </w:r>
            <w:r>
              <w:rPr>
                <w:rFonts w:hint="eastAsia" w:ascii="Times New Roman" w:hAnsi="Times New Roman" w:cs="Times New Roman"/>
                <w:b w:val="0"/>
                <w:bCs/>
                <w:sz w:val="21"/>
                <w:szCs w:val="21"/>
                <w:highlight w:val="none"/>
                <w:lang w:val="en-US" w:eastAsia="zh-CN"/>
              </w:rPr>
              <w:t>Y</w:t>
            </w:r>
            <w:r>
              <w:rPr>
                <w:rFonts w:hint="eastAsia" w:ascii="Times New Roman" w:hAnsi="Times New Roman" w:cs="Times New Roman"/>
                <w:b w:val="0"/>
                <w:bCs/>
                <w:sz w:val="21"/>
                <w:szCs w:val="21"/>
                <w:highlight w:val="none"/>
                <w:vertAlign w:val="subscript"/>
                <w:lang w:val="en-US" w:eastAsia="zh-CN"/>
              </w:rPr>
              <w:t>i</w:t>
            </w:r>
            <w:r>
              <w:rPr>
                <w:rFonts w:hint="eastAsia" w:ascii="Times New Roman" w:hAnsi="Times New Roman" w:cs="Times New Roman"/>
                <w:b w:val="0"/>
                <w:bCs/>
                <w:sz w:val="21"/>
                <w:szCs w:val="21"/>
                <w:highlight w:val="none"/>
                <w:lang w:val="en-US" w:eastAsia="zh-CN"/>
              </w:rPr>
              <w:t>=765t（根据项目年产量30万吨、年工作时间8000h、日工作时间24h和生产负荷85%计算得出），Q</w:t>
            </w:r>
            <w:r>
              <w:rPr>
                <w:rFonts w:hint="eastAsia" w:ascii="Times New Roman" w:hAnsi="Times New Roman" w:cs="Times New Roman"/>
                <w:b w:val="0"/>
                <w:bCs/>
                <w:sz w:val="21"/>
                <w:szCs w:val="21"/>
                <w:highlight w:val="none"/>
                <w:vertAlign w:val="subscript"/>
                <w:lang w:val="en-US" w:eastAsia="zh-CN"/>
              </w:rPr>
              <w:t>i基</w:t>
            </w:r>
            <w:r>
              <w:rPr>
                <w:rFonts w:hint="eastAsia" w:ascii="Times New Roman" w:hAnsi="Times New Roman" w:cs="Times New Roman"/>
                <w:b w:val="0"/>
                <w:bCs/>
                <w:sz w:val="21"/>
                <w:szCs w:val="21"/>
                <w:highlight w:val="none"/>
                <w:vertAlign w:val="baseline"/>
                <w:lang w:val="en-US" w:eastAsia="zh-CN"/>
              </w:rPr>
              <w:t>=2300m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/t，经计算ρ</w:t>
            </w:r>
            <w:r>
              <w:rPr>
                <w:rFonts w:hint="eastAsia" w:ascii="Times New Roman" w:hAnsi="Times New Roman" w:cs="Times New Roman"/>
                <w:b w:val="0"/>
                <w:bCs/>
                <w:sz w:val="21"/>
                <w:szCs w:val="21"/>
                <w:highlight w:val="none"/>
                <w:vertAlign w:val="subscript"/>
                <w:lang w:val="en-US" w:eastAsia="zh-CN"/>
              </w:rPr>
              <w:t>基</w:t>
            </w:r>
            <w:r>
              <w:rPr>
                <w:rFonts w:hint="eastAsia" w:ascii="Times New Roman" w:hAnsi="Times New Roman" w:cs="Times New Roman"/>
                <w:b w:val="0"/>
                <w:bCs/>
                <w:sz w:val="21"/>
                <w:szCs w:val="21"/>
                <w:highlight w:val="none"/>
                <w:vertAlign w:val="baseline"/>
                <w:lang w:val="en-US" w:eastAsia="zh-CN"/>
              </w:rPr>
              <w:t>=0.64</w:t>
            </w:r>
            <w:r>
              <w:rPr>
                <w:rFonts w:hint="default" w:ascii="Times New Roman" w:hAnsi="Times New Roman" w:cs="Times New Roman"/>
                <w:b w:val="0"/>
                <w:bCs/>
                <w:sz w:val="21"/>
                <w:szCs w:val="21"/>
                <w:highlight w:val="none"/>
                <w:vertAlign w:val="baseline"/>
                <w:lang w:val="en-US" w:eastAsia="zh-CN"/>
              </w:rPr>
              <w:t>&lt;</w:t>
            </w:r>
            <w:r>
              <w:rPr>
                <w:rFonts w:hint="eastAsia" w:ascii="Times New Roman" w:hAnsi="Times New Roman" w:cs="Times New Roman"/>
                <w:b w:val="0"/>
                <w:bCs/>
                <w:sz w:val="21"/>
                <w:szCs w:val="21"/>
                <w:highlight w:val="none"/>
                <w:vertAlign w:val="baseline"/>
                <w:lang w:val="en-US" w:eastAsia="zh-CN"/>
              </w:rPr>
              <w:t>1，所以以污染物实际浓度作为排放是否达标的依据。</w:t>
            </w:r>
          </w:p>
        </w:tc>
      </w:tr>
    </w:tbl>
    <w:p>
      <w:pPr>
        <w:pStyle w:val="2"/>
        <w:rPr>
          <w:rFonts w:hint="eastAsia"/>
          <w:color w:val="0000FF"/>
          <w:sz w:val="24"/>
          <w:szCs w:val="24"/>
          <w:lang w:eastAsia="zh-CN"/>
        </w:rPr>
      </w:pPr>
      <w:r>
        <w:rPr>
          <w:rFonts w:hint="default" w:ascii="Times New Roman" w:hAnsi="Times New Roman" w:eastAsia="宋体" w:cs="Times New Roman"/>
          <w:bCs/>
          <w:sz w:val="24"/>
          <w:szCs w:val="24"/>
          <w:highlight w:val="none"/>
        </w:rPr>
        <w:t>验收监测期间，</w:t>
      </w:r>
      <w:r>
        <w:rPr>
          <w:rFonts w:hint="default" w:ascii="Times New Roman" w:hAnsi="Times New Roman" w:eastAsia="宋体" w:cs="Times New Roman"/>
          <w:bCs/>
          <w:sz w:val="24"/>
          <w:szCs w:val="24"/>
          <w:highlight w:val="none"/>
          <w:lang w:eastAsia="zh-CN"/>
        </w:rPr>
        <w:t>有</w:t>
      </w:r>
      <w:r>
        <w:rPr>
          <w:rFonts w:hint="default" w:ascii="Times New Roman" w:hAnsi="Times New Roman" w:eastAsia="宋体" w:cs="Times New Roman"/>
          <w:bCs/>
          <w:sz w:val="24"/>
          <w:szCs w:val="24"/>
          <w:highlight w:val="none"/>
        </w:rPr>
        <w:t>组织</w:t>
      </w:r>
      <w:r>
        <w:rPr>
          <w:rFonts w:hint="eastAsia" w:asciiTheme="minorEastAsia" w:hAnsiTheme="minorEastAsia" w:eastAsiaTheme="minorEastAsia"/>
        </w:rPr>
        <w:t>硫酸雾排放</w:t>
      </w:r>
      <w:r>
        <w:rPr>
          <w:rFonts w:hint="default" w:ascii="Times New Roman" w:hAnsi="Times New Roman" w:eastAsia="宋体" w:cs="Times New Roman"/>
        </w:rPr>
        <w:t>最高浓度为4.82mg/m</w:t>
      </w:r>
      <w:r>
        <w:rPr>
          <w:rFonts w:hint="default" w:ascii="Times New Roman" w:hAnsi="Times New Roman" w:eastAsia="宋体" w:cs="Times New Roman"/>
          <w:vertAlign w:val="superscript"/>
        </w:rPr>
        <w:t>3</w:t>
      </w:r>
      <w:r>
        <w:rPr>
          <w:rFonts w:hint="default" w:ascii="Times New Roman" w:hAnsi="Times New Roman" w:eastAsia="宋体" w:cs="Times New Roman"/>
        </w:rPr>
        <w:t>，二氧化硫排放最高浓度为26mg/m</w:t>
      </w:r>
      <w:r>
        <w:rPr>
          <w:rFonts w:hint="default" w:ascii="Times New Roman" w:hAnsi="Times New Roman" w:eastAsia="宋体" w:cs="Times New Roman"/>
          <w:vertAlign w:val="superscript"/>
        </w:rPr>
        <w:t>3</w:t>
      </w:r>
      <w:r>
        <w:rPr>
          <w:rFonts w:hint="default" w:ascii="Times New Roman" w:hAnsi="Times New Roman" w:eastAsia="宋体" w:cs="Times New Roman"/>
        </w:rPr>
        <w:t>，氮氧化物排放最高浓度为12mg/m</w:t>
      </w:r>
      <w:r>
        <w:rPr>
          <w:rFonts w:hint="default" w:ascii="Times New Roman" w:hAnsi="Times New Roman" w:eastAsia="宋体" w:cs="Times New Roman"/>
          <w:vertAlign w:val="superscript"/>
        </w:rPr>
        <w:t>3</w:t>
      </w:r>
      <w:r>
        <w:rPr>
          <w:rFonts w:hint="default" w:ascii="Times New Roman" w:hAnsi="Times New Roman" w:eastAsia="宋体" w:cs="Times New Roman"/>
        </w:rPr>
        <w:t>。二氧化硫、氮氧化物排放浓度均满足山东省《区域性大气污染物综合排放标准》（DB37/2376-2019）表1中重点控制区标准要求，硫酸雾和二氧化硫排放浓度同时满足《硫酸工业污染物排放标准》（GB26132-2010）表6中标准要求，氮氧化物排放浓度同时满足</w:t>
      </w:r>
      <w:r>
        <w:rPr>
          <w:rFonts w:hint="eastAsia" w:cs="Times New Roman"/>
          <w:lang w:eastAsia="zh-CN"/>
        </w:rPr>
        <w:t>山东省《锅炉大气污染物排放标准》</w:t>
      </w:r>
      <w:r>
        <w:rPr>
          <w:rFonts w:hint="default" w:ascii="Times New Roman" w:hAnsi="Times New Roman" w:eastAsia="宋体" w:cs="Times New Roman"/>
        </w:rPr>
        <w:t>（DB37/2374-2018）相关标</w:t>
      </w:r>
      <w:r>
        <w:rPr>
          <w:rFonts w:hint="eastAsia" w:ascii="宋体" w:hAnsi="宋体" w:eastAsia="宋体" w:cs="宋体"/>
        </w:rPr>
        <w:t>准要求。</w:t>
      </w:r>
    </w:p>
    <w:p>
      <w:pPr>
        <w:pStyle w:val="6"/>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 xml:space="preserve"> 废</w:t>
      </w:r>
      <w:r>
        <w:rPr>
          <w:rFonts w:hint="default" w:ascii="Times New Roman" w:hAnsi="Times New Roman" w:cs="Times New Roman"/>
          <w:lang w:val="en-US" w:eastAsia="zh-CN"/>
        </w:rPr>
        <w:t>水</w:t>
      </w:r>
      <w:r>
        <w:rPr>
          <w:rFonts w:hint="default" w:ascii="Times New Roman" w:hAnsi="Times New Roman" w:cs="Times New Roman"/>
        </w:rPr>
        <w:t>监测因子及监测结果评价</w:t>
      </w:r>
    </w:p>
    <w:p>
      <w:pPr>
        <w:pStyle w:val="7"/>
        <w:rPr>
          <w:rFonts w:hint="default" w:ascii="Times New Roman" w:hAnsi="Times New Roman" w:cs="Times New Roman"/>
        </w:rPr>
      </w:pPr>
      <w:r>
        <w:rPr>
          <w:rFonts w:hint="default" w:ascii="Times New Roman" w:hAnsi="Times New Roman" w:cs="Times New Roman"/>
        </w:rPr>
        <w:t>5.</w:t>
      </w:r>
      <w:r>
        <w:rPr>
          <w:rFonts w:hint="eastAsia" w:cs="Times New Roman"/>
          <w:lang w:val="en-US" w:eastAsia="zh-CN"/>
        </w:rPr>
        <w:t>2</w:t>
      </w:r>
      <w:r>
        <w:rPr>
          <w:rFonts w:hint="default" w:ascii="Times New Roman" w:hAnsi="Times New Roman" w:cs="Times New Roman"/>
        </w:rPr>
        <w:t>.1 监测点位、监测因子</w:t>
      </w:r>
    </w:p>
    <w:p>
      <w:pPr>
        <w:tabs>
          <w:tab w:val="left" w:pos="0"/>
        </w:tabs>
        <w:spacing w:line="360" w:lineRule="auto"/>
        <w:ind w:firstLine="480" w:firstLineChars="200"/>
        <w:rPr>
          <w:rFonts w:hint="eastAsia" w:hAnsi="宋体"/>
          <w:sz w:val="24"/>
        </w:rPr>
      </w:pPr>
      <w:r>
        <w:rPr>
          <w:rFonts w:hint="eastAsia"/>
          <w:sz w:val="24"/>
          <w:lang w:val="en-US" w:eastAsia="zh-CN"/>
        </w:rPr>
        <w:t>废水</w:t>
      </w:r>
      <w:r>
        <w:rPr>
          <w:rFonts w:hint="eastAsia"/>
          <w:sz w:val="24"/>
        </w:rPr>
        <w:t>监测点位及监测因子见表5-1</w:t>
      </w:r>
      <w:r>
        <w:rPr>
          <w:rFonts w:hint="eastAsia"/>
          <w:sz w:val="24"/>
          <w:lang w:val="en-US" w:eastAsia="zh-CN"/>
        </w:rPr>
        <w:t>1</w:t>
      </w:r>
      <w:r>
        <w:rPr>
          <w:rFonts w:hint="eastAsia"/>
          <w:sz w:val="24"/>
        </w:rPr>
        <w:t>。</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7" w:leftChars="0" w:right="0" w:rightChars="0" w:hanging="7" w:hangingChars="3"/>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表5-1</w:t>
      </w:r>
      <w:r>
        <w:rPr>
          <w:rFonts w:hint="eastAsia" w:cs="Times New Roman"/>
          <w:sz w:val="24"/>
          <w:lang w:val="en-US" w:eastAsia="zh-CN"/>
        </w:rPr>
        <w:t>1</w:t>
      </w:r>
      <w:r>
        <w:rPr>
          <w:rFonts w:hint="default" w:ascii="Times New Roman" w:hAnsi="Times New Roman" w:eastAsia="宋体" w:cs="Times New Roman"/>
          <w:sz w:val="24"/>
        </w:rPr>
        <w:t xml:space="preserve">  </w:t>
      </w:r>
      <w:r>
        <w:rPr>
          <w:rFonts w:hint="eastAsia" w:eastAsia="宋体" w:cs="Times New Roman"/>
          <w:sz w:val="24"/>
          <w:lang w:val="en-US" w:eastAsia="zh-CN"/>
        </w:rPr>
        <w:t>废水</w:t>
      </w:r>
      <w:r>
        <w:rPr>
          <w:rFonts w:hint="default" w:ascii="Times New Roman" w:hAnsi="Times New Roman" w:eastAsia="宋体" w:cs="Times New Roman"/>
          <w:sz w:val="24"/>
        </w:rPr>
        <w:t>监测点位及监测因子设置</w:t>
      </w:r>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4466"/>
        <w:gridCol w:w="1822"/>
        <w:gridCol w:w="1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6552" w:type="dxa"/>
            <w:gridSpan w:val="2"/>
            <w:vAlign w:val="center"/>
          </w:tcPr>
          <w:p>
            <w:pPr>
              <w:jc w:val="center"/>
              <w:rPr>
                <w:b/>
                <w:color w:val="000000"/>
                <w:sz w:val="21"/>
                <w:szCs w:val="21"/>
              </w:rPr>
            </w:pPr>
            <w:r>
              <w:rPr>
                <w:b/>
                <w:color w:val="000000"/>
                <w:sz w:val="21"/>
                <w:szCs w:val="21"/>
              </w:rPr>
              <w:t>监测项目</w:t>
            </w:r>
          </w:p>
        </w:tc>
        <w:tc>
          <w:tcPr>
            <w:tcW w:w="1822" w:type="dxa"/>
            <w:vAlign w:val="center"/>
          </w:tcPr>
          <w:p>
            <w:pPr>
              <w:jc w:val="center"/>
              <w:rPr>
                <w:b/>
                <w:color w:val="000000"/>
                <w:sz w:val="21"/>
                <w:szCs w:val="21"/>
              </w:rPr>
            </w:pPr>
            <w:r>
              <w:rPr>
                <w:b/>
                <w:color w:val="000000"/>
                <w:sz w:val="21"/>
                <w:szCs w:val="21"/>
              </w:rPr>
              <w:t>监测点位</w:t>
            </w:r>
          </w:p>
        </w:tc>
        <w:tc>
          <w:tcPr>
            <w:tcW w:w="1480" w:type="dxa"/>
            <w:vAlign w:val="center"/>
          </w:tcPr>
          <w:p>
            <w:pPr>
              <w:jc w:val="center"/>
              <w:rPr>
                <w:b/>
                <w:color w:val="000000"/>
                <w:sz w:val="21"/>
                <w:szCs w:val="21"/>
              </w:rPr>
            </w:pPr>
            <w:r>
              <w:rPr>
                <w:b/>
                <w:color w:val="000000"/>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2086" w:type="dxa"/>
            <w:vAlign w:val="center"/>
          </w:tcPr>
          <w:p>
            <w:pPr>
              <w:spacing w:line="360" w:lineRule="auto"/>
              <w:jc w:val="center"/>
              <w:rPr>
                <w:rFonts w:hint="eastAsia" w:eastAsia="宋体"/>
                <w:color w:val="000000"/>
                <w:sz w:val="21"/>
                <w:szCs w:val="21"/>
                <w:lang w:eastAsia="zh-CN"/>
              </w:rPr>
            </w:pPr>
            <w:r>
              <w:rPr>
                <w:rFonts w:hint="eastAsia" w:ascii="Times New Roman" w:hAnsi="Times New Roman" w:cs="Times New Roman"/>
                <w:b w:val="0"/>
                <w:bCs w:val="0"/>
                <w:sz w:val="21"/>
                <w:szCs w:val="21"/>
                <w:lang w:val="en-US" w:eastAsia="zh-CN"/>
              </w:rPr>
              <w:t>污水总排口</w:t>
            </w:r>
          </w:p>
        </w:tc>
        <w:tc>
          <w:tcPr>
            <w:tcW w:w="4466" w:type="dxa"/>
            <w:vAlign w:val="center"/>
          </w:tcPr>
          <w:p>
            <w:pPr>
              <w:spacing w:line="360" w:lineRule="auto"/>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p</w:t>
            </w:r>
            <w:r>
              <w:rPr>
                <w:rFonts w:hint="default" w:ascii="Times New Roman" w:hAnsi="Times New Roman" w:eastAsia="宋体" w:cs="Times New Roman"/>
                <w:color w:val="auto"/>
                <w:sz w:val="21"/>
                <w:szCs w:val="21"/>
                <w:lang w:val="en-US" w:eastAsia="zh-CN"/>
              </w:rPr>
              <w:t>H值</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悬浮物、化学需氧量、</w:t>
            </w:r>
            <w:r>
              <w:rPr>
                <w:rFonts w:hint="default" w:ascii="Times New Roman" w:hAnsi="Times New Roman" w:eastAsia="宋体" w:cs="Times New Roman"/>
                <w:b w:val="0"/>
                <w:bCs w:val="0"/>
                <w:color w:val="auto"/>
                <w:sz w:val="21"/>
                <w:szCs w:val="21"/>
                <w:lang w:val="en-US" w:eastAsia="zh-CN"/>
              </w:rPr>
              <w:t>氨氮（以N计）</w:t>
            </w:r>
            <w:r>
              <w:rPr>
                <w:rFonts w:hint="default" w:ascii="Times New Roman" w:hAnsi="Times New Roman" w:eastAsia="宋体" w:cs="Times New Roman"/>
                <w:color w:val="auto"/>
                <w:sz w:val="21"/>
                <w:szCs w:val="21"/>
                <w:lang w:val="en-US" w:eastAsia="zh-CN"/>
              </w:rPr>
              <w:t>、全盐量、</w:t>
            </w:r>
            <w:r>
              <w:rPr>
                <w:rFonts w:hint="eastAsia" w:ascii="Times New Roman" w:hAnsi="Times New Roman" w:cs="Times New Roman"/>
                <w:color w:val="auto"/>
                <w:sz w:val="21"/>
                <w:szCs w:val="21"/>
                <w:lang w:val="en-US" w:eastAsia="zh-CN"/>
              </w:rPr>
              <w:t>硫酸盐</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五日生化需氧量</w:t>
            </w:r>
          </w:p>
        </w:tc>
        <w:tc>
          <w:tcPr>
            <w:tcW w:w="1822" w:type="dxa"/>
            <w:vAlign w:val="center"/>
          </w:tcPr>
          <w:p>
            <w:pPr>
              <w:spacing w:line="360" w:lineRule="auto"/>
              <w:jc w:val="center"/>
              <w:rPr>
                <w:rFonts w:hint="eastAsia"/>
                <w:sz w:val="21"/>
                <w:szCs w:val="21"/>
              </w:rPr>
            </w:pPr>
            <w:r>
              <w:rPr>
                <w:rFonts w:hint="eastAsia" w:ascii="Times New Roman" w:hAnsi="Times New Roman" w:cs="Times New Roman"/>
                <w:b w:val="0"/>
                <w:bCs w:val="0"/>
                <w:sz w:val="21"/>
                <w:szCs w:val="21"/>
                <w:lang w:val="en-US" w:eastAsia="zh-CN"/>
              </w:rPr>
              <w:t>污水总排口</w:t>
            </w:r>
          </w:p>
        </w:tc>
        <w:tc>
          <w:tcPr>
            <w:tcW w:w="1480" w:type="dxa"/>
            <w:vAlign w:val="center"/>
          </w:tcPr>
          <w:p>
            <w:pPr>
              <w:spacing w:before="156" w:beforeLines="50" w:after="156" w:afterLines="50"/>
              <w:jc w:val="center"/>
              <w:rPr>
                <w:color w:val="000000"/>
                <w:sz w:val="21"/>
                <w:szCs w:val="21"/>
              </w:rPr>
            </w:pPr>
            <w:r>
              <w:rPr>
                <w:rFonts w:hint="eastAsia"/>
                <w:color w:val="000000"/>
                <w:sz w:val="21"/>
                <w:szCs w:val="21"/>
                <w:lang w:val="en-US" w:eastAsia="zh-CN"/>
              </w:rPr>
              <w:t>4</w:t>
            </w:r>
            <w:r>
              <w:rPr>
                <w:color w:val="000000"/>
                <w:sz w:val="21"/>
                <w:szCs w:val="21"/>
              </w:rPr>
              <w:t>次/天，2天</w:t>
            </w:r>
          </w:p>
        </w:tc>
      </w:tr>
    </w:tbl>
    <w:p>
      <w:pPr>
        <w:pStyle w:val="7"/>
        <w:spacing w:line="240" w:lineRule="auto"/>
        <w:rPr>
          <w:rFonts w:hint="eastAsia"/>
        </w:rPr>
      </w:pPr>
      <w:r>
        <w:rPr>
          <w:rFonts w:hint="eastAsia"/>
        </w:rPr>
        <w:t>5.</w:t>
      </w:r>
      <w:r>
        <w:rPr>
          <w:rFonts w:hint="eastAsia"/>
          <w:lang w:val="en-US" w:eastAsia="zh-CN"/>
        </w:rPr>
        <w:t>2</w:t>
      </w:r>
      <w:r>
        <w:rPr>
          <w:rFonts w:hint="eastAsia"/>
        </w:rPr>
        <w:t>.2监测分析方法</w:t>
      </w:r>
    </w:p>
    <w:p>
      <w:pPr>
        <w:spacing w:line="240" w:lineRule="auto"/>
        <w:ind w:firstLine="480" w:firstLineChars="200"/>
        <w:rPr>
          <w:rFonts w:hint="eastAsia"/>
          <w:sz w:val="24"/>
        </w:rPr>
      </w:pPr>
      <w:r>
        <w:rPr>
          <w:rFonts w:hint="eastAsia"/>
          <w:sz w:val="24"/>
        </w:rPr>
        <w:t>废</w:t>
      </w:r>
      <w:r>
        <w:rPr>
          <w:rFonts w:hint="eastAsia"/>
          <w:sz w:val="24"/>
          <w:lang w:val="en-US" w:eastAsia="zh-CN"/>
        </w:rPr>
        <w:t>水</w:t>
      </w:r>
      <w:r>
        <w:rPr>
          <w:rFonts w:hint="eastAsia"/>
          <w:sz w:val="24"/>
        </w:rPr>
        <w:t>监测分析方法见表5-</w:t>
      </w:r>
      <w:r>
        <w:rPr>
          <w:rFonts w:hint="eastAsia"/>
          <w:sz w:val="24"/>
          <w:lang w:val="en-US" w:eastAsia="zh-CN"/>
        </w:rPr>
        <w:t>12</w:t>
      </w:r>
      <w:r>
        <w:rPr>
          <w:rFonts w:hint="eastAsia"/>
          <w:sz w:val="24"/>
        </w:rPr>
        <w:t>。</w:t>
      </w:r>
    </w:p>
    <w:p>
      <w:pPr>
        <w:adjustRightInd w:val="0"/>
        <w:snapToGrid w:val="0"/>
        <w:spacing w:line="480" w:lineRule="exact"/>
        <w:jc w:val="center"/>
        <w:rPr>
          <w:rFonts w:hint="default" w:ascii="Times New Roman" w:hAnsi="Times New Roman" w:eastAsia="宋体" w:cs="Times New Roman"/>
          <w:bCs/>
          <w:sz w:val="24"/>
        </w:rPr>
      </w:pPr>
      <w:r>
        <w:rPr>
          <w:rFonts w:hint="default" w:ascii="Times New Roman" w:hAnsi="Times New Roman" w:eastAsia="宋体" w:cs="Times New Roman"/>
          <w:bCs/>
          <w:sz w:val="24"/>
        </w:rPr>
        <w:t>表5-</w:t>
      </w:r>
      <w:r>
        <w:rPr>
          <w:rFonts w:hint="eastAsia" w:cs="Times New Roman"/>
          <w:bCs/>
          <w:sz w:val="24"/>
          <w:lang w:val="en-US" w:eastAsia="zh-CN"/>
        </w:rPr>
        <w:t>12</w:t>
      </w:r>
      <w:r>
        <w:rPr>
          <w:rFonts w:hint="default" w:ascii="Times New Roman" w:hAnsi="Times New Roman" w:eastAsia="宋体" w:cs="Times New Roman"/>
          <w:bCs/>
          <w:sz w:val="24"/>
        </w:rPr>
        <w:t xml:space="preserve">  废</w:t>
      </w:r>
      <w:r>
        <w:rPr>
          <w:rFonts w:hint="eastAsia" w:eastAsia="宋体" w:cs="Times New Roman"/>
          <w:bCs/>
          <w:sz w:val="24"/>
          <w:lang w:val="en-US" w:eastAsia="zh-CN"/>
        </w:rPr>
        <w:t>水</w:t>
      </w:r>
      <w:r>
        <w:rPr>
          <w:rFonts w:hint="default" w:ascii="Times New Roman" w:hAnsi="Times New Roman" w:eastAsia="宋体" w:cs="Times New Roman"/>
          <w:bCs/>
          <w:sz w:val="24"/>
        </w:rPr>
        <w:t>监测分析方法</w:t>
      </w:r>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2123"/>
        <w:gridCol w:w="4215"/>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107" w:type="dxa"/>
            <w:tcBorders>
              <w:tl2br w:val="nil"/>
              <w:tr2bl w:val="nil"/>
            </w:tcBorders>
            <w:vAlign w:val="bottom"/>
          </w:tcPr>
          <w:p>
            <w:pPr>
              <w:jc w:val="center"/>
              <w:rPr>
                <w:b/>
                <w:bCs/>
              </w:rPr>
            </w:pPr>
            <w:r>
              <w:rPr>
                <w:b/>
                <w:bCs/>
              </w:rPr>
              <w:t>项目名称</w:t>
            </w:r>
          </w:p>
        </w:tc>
        <w:tc>
          <w:tcPr>
            <w:tcW w:w="2123" w:type="dxa"/>
            <w:tcBorders>
              <w:tl2br w:val="nil"/>
              <w:tr2bl w:val="nil"/>
            </w:tcBorders>
            <w:vAlign w:val="bottom"/>
          </w:tcPr>
          <w:p>
            <w:pPr>
              <w:jc w:val="center"/>
              <w:rPr>
                <w:b/>
                <w:bCs/>
              </w:rPr>
            </w:pPr>
            <w:r>
              <w:rPr>
                <w:b/>
                <w:bCs/>
              </w:rPr>
              <w:t>标准代号</w:t>
            </w:r>
          </w:p>
        </w:tc>
        <w:tc>
          <w:tcPr>
            <w:tcW w:w="4215" w:type="dxa"/>
            <w:tcBorders>
              <w:tl2br w:val="nil"/>
              <w:tr2bl w:val="nil"/>
            </w:tcBorders>
            <w:vAlign w:val="bottom"/>
          </w:tcPr>
          <w:p>
            <w:pPr>
              <w:jc w:val="center"/>
              <w:rPr>
                <w:b/>
                <w:bCs/>
              </w:rPr>
            </w:pPr>
            <w:r>
              <w:rPr>
                <w:b/>
                <w:bCs/>
              </w:rPr>
              <w:t>标准方法</w:t>
            </w:r>
          </w:p>
        </w:tc>
        <w:tc>
          <w:tcPr>
            <w:tcW w:w="1409" w:type="dxa"/>
            <w:tcBorders>
              <w:tl2br w:val="nil"/>
              <w:tr2bl w:val="nil"/>
            </w:tcBorders>
            <w:vAlign w:val="bottom"/>
          </w:tcPr>
          <w:p>
            <w:pPr>
              <w:jc w:val="center"/>
              <w:rPr>
                <w:b/>
                <w:bCs/>
              </w:rPr>
            </w:pPr>
            <w:r>
              <w:rPr>
                <w:b/>
                <w:bCs/>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spacing w:line="480" w:lineRule="auto"/>
              <w:jc w:val="center"/>
              <w:rPr>
                <w:rFonts w:hint="default" w:ascii="Times New Roman" w:hAnsi="Times New Roman" w:cs="Times New Roman"/>
                <w:vertAlign w:val="baseline"/>
                <w:lang w:val="en-US" w:eastAsia="zh-CN"/>
              </w:rPr>
            </w:pPr>
            <w:r>
              <w:rPr>
                <w:rFonts w:hint="default" w:ascii="Times New Roman" w:hAnsi="Times New Roman" w:eastAsia="宋体" w:cs="Times New Roman"/>
                <w:b/>
                <w:bCs/>
                <w:sz w:val="21"/>
                <w:szCs w:val="21"/>
                <w:lang w:eastAsia="zh-CN"/>
              </w:rPr>
              <w:t>pH值</w:t>
            </w:r>
          </w:p>
        </w:tc>
        <w:tc>
          <w:tcPr>
            <w:tcW w:w="2123" w:type="dxa"/>
            <w:tcBorders>
              <w:tl2br w:val="nil"/>
              <w:tr2bl w:val="nil"/>
            </w:tcBorders>
            <w:vAlign w:val="center"/>
          </w:tcPr>
          <w:p>
            <w:pPr>
              <w:spacing w:line="480" w:lineRule="auto"/>
              <w:jc w:val="both"/>
              <w:rPr>
                <w:rFonts w:hint="default" w:ascii="Times New Roman" w:hAnsi="Times New Roman" w:cs="Times New Roman"/>
              </w:rPr>
            </w:pPr>
            <w:r>
              <w:rPr>
                <w:rFonts w:hint="default" w:ascii="Times New Roman" w:hAnsi="Times New Roman" w:eastAsia="宋体" w:cs="Times New Roman"/>
                <w:sz w:val="21"/>
                <w:szCs w:val="21"/>
              </w:rPr>
              <w:t>GB</w:t>
            </w:r>
            <w:r>
              <w:rPr>
                <w:rFonts w:hint="default" w:ascii="Times New Roman" w:hAnsi="Times New Roman" w:eastAsia="宋体" w:cs="Times New Roman"/>
                <w:sz w:val="21"/>
                <w:szCs w:val="21"/>
                <w:lang w:val="en-US" w:eastAsia="zh-CN"/>
              </w:rPr>
              <w:t xml:space="preserve">/T </w:t>
            </w:r>
            <w:r>
              <w:rPr>
                <w:rFonts w:hint="default" w:ascii="Times New Roman" w:hAnsi="Times New Roman" w:eastAsia="宋体" w:cs="Times New Roman"/>
                <w:sz w:val="21"/>
                <w:szCs w:val="21"/>
              </w:rPr>
              <w:t>6920-1986</w:t>
            </w:r>
          </w:p>
        </w:tc>
        <w:tc>
          <w:tcPr>
            <w:tcW w:w="4215" w:type="dxa"/>
            <w:tcBorders>
              <w:tl2br w:val="nil"/>
              <w:tr2bl w:val="nil"/>
            </w:tcBorders>
            <w:vAlign w:val="center"/>
          </w:tcPr>
          <w:p>
            <w:pPr>
              <w:spacing w:line="480" w:lineRule="auto"/>
              <w:jc w:val="center"/>
              <w:rPr>
                <w:rFonts w:hint="default" w:ascii="Times New Roman" w:hAnsi="Times New Roman" w:cs="Times New Roman"/>
                <w:lang w:eastAsia="zh-CN"/>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rPr>
              <w:t>水质 pH值的测定 玻璃电极法</w:t>
            </w:r>
            <w:r>
              <w:rPr>
                <w:rFonts w:hint="default" w:ascii="Times New Roman" w:hAnsi="Times New Roman" w:eastAsia="宋体" w:cs="Times New Roman"/>
                <w:sz w:val="21"/>
                <w:szCs w:val="21"/>
                <w:highlight w:val="none"/>
              </w:rPr>
              <w:t>》</w:t>
            </w:r>
          </w:p>
        </w:tc>
        <w:tc>
          <w:tcPr>
            <w:tcW w:w="1409" w:type="dxa"/>
            <w:tcBorders>
              <w:tl2br w:val="nil"/>
              <w:tr2bl w:val="nil"/>
            </w:tcBorders>
            <w:vAlign w:val="center"/>
          </w:tcPr>
          <w:p>
            <w:pPr>
              <w:spacing w:line="48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sz w:val="21"/>
                <w:szCs w:val="21"/>
                <w:lang w:eastAsia="zh-CN"/>
              </w:rPr>
              <w:t>氨氮</w:t>
            </w:r>
          </w:p>
        </w:tc>
        <w:tc>
          <w:tcPr>
            <w:tcW w:w="2123"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HJ 535-2009</w:t>
            </w:r>
          </w:p>
        </w:tc>
        <w:tc>
          <w:tcPr>
            <w:tcW w:w="4215"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lang w:val="en-US" w:eastAsia="zh-CN"/>
              </w:rPr>
              <w:t>水质 氨氮的测定 纳氏试剂分光光度法</w:t>
            </w:r>
            <w:r>
              <w:rPr>
                <w:rFonts w:hint="default" w:ascii="Times New Roman" w:hAnsi="Times New Roman" w:eastAsia="宋体" w:cs="Times New Roman"/>
                <w:sz w:val="21"/>
                <w:szCs w:val="21"/>
                <w:highlight w:val="none"/>
              </w:rPr>
              <w:t>》</w:t>
            </w:r>
          </w:p>
        </w:tc>
        <w:tc>
          <w:tcPr>
            <w:tcW w:w="1409" w:type="dxa"/>
            <w:tcBorders>
              <w:tl2br w:val="nil"/>
              <w:tr2bl w:val="nil"/>
            </w:tcBorders>
            <w:vAlign w:val="center"/>
          </w:tcPr>
          <w:p>
            <w:pPr>
              <w:keepNext w:val="0"/>
              <w:keepLines w:val="0"/>
              <w:widowControl/>
              <w:suppressLineNumbers w:val="0"/>
              <w:spacing w:line="360" w:lineRule="auto"/>
              <w:jc w:val="center"/>
              <w:textAlignment w:val="center"/>
              <w:rPr>
                <w:rFonts w:hint="default" w:ascii="Times New Roman" w:hAnsi="Times New Roman" w:cs="Times New Roman"/>
                <w:lang w:val="en-US" w:eastAsia="zh-CN"/>
              </w:rPr>
            </w:pPr>
            <w:r>
              <w:rPr>
                <w:rFonts w:hint="default" w:ascii="Times New Roman" w:hAnsi="Times New Roman" w:eastAsia="宋体" w:cs="Times New Roman"/>
                <w:b w:val="0"/>
                <w:bCs w:val="0"/>
                <w:i w:val="0"/>
                <w:color w:val="000000"/>
                <w:kern w:val="0"/>
                <w:sz w:val="21"/>
                <w:szCs w:val="21"/>
                <w:u w:val="none"/>
                <w:lang w:val="en-US" w:eastAsia="zh-CN" w:bidi="ar"/>
              </w:rPr>
              <w:t>0.025</w:t>
            </w:r>
            <w:r>
              <w:rPr>
                <w:rFonts w:hint="default" w:ascii="Times New Roman" w:hAnsi="Times New Roman" w:eastAsia="宋体" w:cs="Times New Roman"/>
                <w:b w:val="0"/>
                <w:bCs w:val="0"/>
                <w:sz w:val="21"/>
                <w:szCs w:val="21"/>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sz w:val="21"/>
                <w:szCs w:val="21"/>
                <w:highlight w:val="none"/>
                <w:lang w:val="en-US" w:eastAsia="zh-CN"/>
              </w:rPr>
              <w:t>化学需氧量</w:t>
            </w:r>
          </w:p>
        </w:tc>
        <w:tc>
          <w:tcPr>
            <w:tcW w:w="2123"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rPr>
              <w:t>HJ</w:t>
            </w:r>
            <w:r>
              <w:rPr>
                <w:rFonts w:hint="default" w:ascii="Times New Roman" w:hAnsi="Times New Roman" w:eastAsia="宋体" w:cs="Times New Roman"/>
                <w:sz w:val="21"/>
                <w:szCs w:val="21"/>
                <w:highlight w:val="none"/>
                <w:lang w:val="en-US" w:eastAsia="zh-CN"/>
              </w:rPr>
              <w:t xml:space="preserve"> 828-2017</w:t>
            </w:r>
          </w:p>
        </w:tc>
        <w:tc>
          <w:tcPr>
            <w:tcW w:w="4215"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rPr>
              <w:t xml:space="preserve">《水质 化学需氧量的测定 </w:t>
            </w:r>
            <w:r>
              <w:rPr>
                <w:rFonts w:hint="default" w:ascii="Times New Roman" w:hAnsi="Times New Roman" w:eastAsia="宋体" w:cs="Times New Roman"/>
                <w:sz w:val="21"/>
                <w:szCs w:val="21"/>
                <w:highlight w:val="none"/>
                <w:lang w:val="en-US" w:eastAsia="zh-CN"/>
              </w:rPr>
              <w:t>重铬酸盐法</w:t>
            </w:r>
            <w:r>
              <w:rPr>
                <w:rFonts w:hint="default" w:ascii="Times New Roman" w:hAnsi="Times New Roman" w:eastAsia="宋体" w:cs="Times New Roman"/>
                <w:sz w:val="21"/>
                <w:szCs w:val="21"/>
                <w:highlight w:val="none"/>
              </w:rPr>
              <w:t>》</w:t>
            </w:r>
          </w:p>
        </w:tc>
        <w:tc>
          <w:tcPr>
            <w:tcW w:w="1409"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b w:val="0"/>
                <w:bCs w:val="0"/>
                <w:sz w:val="21"/>
                <w:szCs w:val="21"/>
                <w:highlight w:val="none"/>
                <w:lang w:val="en-US" w:eastAsia="zh-CN"/>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sz w:val="21"/>
                <w:szCs w:val="21"/>
                <w:lang w:val="en-US" w:eastAsia="zh-CN"/>
              </w:rPr>
              <w:t>悬浮物</w:t>
            </w:r>
          </w:p>
        </w:tc>
        <w:tc>
          <w:tcPr>
            <w:tcW w:w="2123"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lang w:val="en-US" w:eastAsia="zh-CN"/>
              </w:rPr>
              <w:t>GB/T 11901-1989</w:t>
            </w:r>
          </w:p>
        </w:tc>
        <w:tc>
          <w:tcPr>
            <w:tcW w:w="4215" w:type="dxa"/>
            <w:tcBorders>
              <w:tl2br w:val="nil"/>
              <w:tr2bl w:val="nil"/>
            </w:tcBorders>
            <w:vAlign w:val="center"/>
          </w:tcPr>
          <w:p>
            <w:pPr>
              <w:spacing w:line="360" w:lineRule="auto"/>
              <w:jc w:val="center"/>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lang w:val="en-US" w:eastAsia="zh-CN"/>
              </w:rPr>
              <w:t>水质 悬浮物的测定 重量法</w:t>
            </w:r>
            <w:r>
              <w:rPr>
                <w:rFonts w:hint="default" w:ascii="Times New Roman" w:hAnsi="Times New Roman" w:eastAsia="宋体" w:cs="Times New Roman"/>
                <w:sz w:val="21"/>
                <w:szCs w:val="21"/>
                <w:highlight w:val="none"/>
              </w:rPr>
              <w:t>》</w:t>
            </w:r>
          </w:p>
        </w:tc>
        <w:tc>
          <w:tcPr>
            <w:tcW w:w="1409" w:type="dxa"/>
            <w:tcBorders>
              <w:tl2br w:val="nil"/>
              <w:tr2bl w:val="nil"/>
            </w:tcBorders>
            <w:vAlign w:val="center"/>
          </w:tcPr>
          <w:p>
            <w:pPr>
              <w:keepNext w:val="0"/>
              <w:keepLines w:val="0"/>
              <w:widowControl/>
              <w:suppressLineNumbers w:val="0"/>
              <w:spacing w:line="360" w:lineRule="auto"/>
              <w:jc w:val="center"/>
              <w:textAlignment w:val="center"/>
              <w:rPr>
                <w:rFonts w:hint="default" w:ascii="Times New Roman" w:hAnsi="Times New Roman" w:cs="Times New Roman"/>
                <w:lang w:val="en-US" w:eastAsia="zh-CN"/>
              </w:rPr>
            </w:pPr>
            <w:r>
              <w:rPr>
                <w:rFonts w:hint="default" w:ascii="Times New Roman" w:hAnsi="Times New Roman" w:eastAsia="宋体" w:cs="Times New Roman"/>
                <w:b w:val="0"/>
                <w:bCs w:val="0"/>
                <w:i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jc w:val="center"/>
              <w:rPr>
                <w:rFonts w:hint="eastAsia" w:eastAsia="宋体"/>
                <w:b w:val="0"/>
                <w:bCs/>
                <w:szCs w:val="21"/>
                <w:lang w:val="en-US" w:eastAsia="zh-CN"/>
              </w:rPr>
            </w:pPr>
            <w:r>
              <w:rPr>
                <w:rFonts w:hint="default" w:ascii="Times New Roman" w:hAnsi="Times New Roman" w:eastAsia="宋体" w:cs="Times New Roman"/>
                <w:b/>
                <w:bCs/>
                <w:color w:val="auto"/>
                <w:sz w:val="21"/>
                <w:szCs w:val="21"/>
                <w:lang w:val="en-US" w:eastAsia="zh-CN"/>
              </w:rPr>
              <w:t>全盐量</w:t>
            </w:r>
          </w:p>
        </w:tc>
        <w:tc>
          <w:tcPr>
            <w:tcW w:w="2123" w:type="dxa"/>
            <w:tcBorders>
              <w:tl2br w:val="nil"/>
              <w:tr2bl w:val="nil"/>
            </w:tcBorders>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sz w:val="21"/>
                <w:szCs w:val="21"/>
                <w:lang w:val="en-US" w:eastAsia="zh-CN"/>
              </w:rPr>
              <w:t>HJ/T 51-1999</w:t>
            </w:r>
          </w:p>
        </w:tc>
        <w:tc>
          <w:tcPr>
            <w:tcW w:w="4215" w:type="dxa"/>
            <w:tcBorders>
              <w:tl2br w:val="nil"/>
              <w:tr2bl w:val="nil"/>
            </w:tcBorders>
            <w:vAlign w:val="center"/>
          </w:tcPr>
          <w:p>
            <w:pPr>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sz w:val="21"/>
                <w:szCs w:val="21"/>
              </w:rPr>
              <w:t>《水质 全盐量的测定 重量法》</w:t>
            </w:r>
          </w:p>
        </w:tc>
        <w:tc>
          <w:tcPr>
            <w:tcW w:w="14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val="0"/>
                <w:bCs/>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bCs/>
                <w:sz w:val="21"/>
                <w:szCs w:val="21"/>
                <w:lang w:val="en-US" w:eastAsia="zh-CN"/>
              </w:rPr>
              <w:t>五日生化需氧量</w:t>
            </w:r>
          </w:p>
        </w:tc>
        <w:tc>
          <w:tcPr>
            <w:tcW w:w="2123" w:type="dxa"/>
            <w:tcBorders>
              <w:tl2br w:val="nil"/>
              <w:tr2bl w:val="nil"/>
            </w:tcBorders>
            <w:vAlign w:val="center"/>
          </w:tcPr>
          <w:p>
            <w:pPr>
              <w:spacing w:line="36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vertAlign w:val="baseline"/>
                <w:lang w:val="en-US" w:eastAsia="zh-CN"/>
              </w:rPr>
              <w:t>HJ 505-2009</w:t>
            </w:r>
          </w:p>
        </w:tc>
        <w:tc>
          <w:tcPr>
            <w:tcW w:w="4215" w:type="dxa"/>
            <w:tcBorders>
              <w:tl2br w:val="nil"/>
              <w:tr2bl w:val="nil"/>
            </w:tcBorders>
            <w:vAlign w:val="center"/>
          </w:tcPr>
          <w:p>
            <w:pPr>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sz w:val="21"/>
                <w:szCs w:val="21"/>
                <w:u w:val="none" w:color="000000"/>
              </w:rPr>
              <w:t>《水质</w:t>
            </w:r>
            <w:r>
              <w:rPr>
                <w:rFonts w:hint="default" w:ascii="Times New Roman" w:hAnsi="Times New Roman" w:eastAsia="宋体" w:cs="Times New Roman"/>
                <w:sz w:val="21"/>
                <w:szCs w:val="21"/>
                <w:u w:val="none" w:color="000000"/>
                <w:lang w:val="en-US" w:eastAsia="zh-CN"/>
              </w:rPr>
              <w:t xml:space="preserve"> </w:t>
            </w:r>
            <w:r>
              <w:rPr>
                <w:rFonts w:hint="default" w:ascii="Times New Roman" w:hAnsi="Times New Roman" w:eastAsia="宋体" w:cs="Times New Roman"/>
                <w:sz w:val="21"/>
                <w:szCs w:val="21"/>
                <w:u w:val="none" w:color="000000"/>
              </w:rPr>
              <w:t>五日生化需氧量（BOD</w:t>
            </w:r>
            <w:r>
              <w:rPr>
                <w:rFonts w:hint="default" w:ascii="Times New Roman" w:hAnsi="Times New Roman" w:eastAsia="宋体" w:cs="Times New Roman"/>
                <w:sz w:val="21"/>
                <w:szCs w:val="21"/>
                <w:u w:val="none" w:color="000000"/>
                <w:vertAlign w:val="subscript"/>
              </w:rPr>
              <w:t>5</w:t>
            </w:r>
            <w:r>
              <w:rPr>
                <w:rFonts w:hint="default" w:ascii="Times New Roman" w:hAnsi="Times New Roman" w:eastAsia="宋体" w:cs="Times New Roman"/>
                <w:sz w:val="21"/>
                <w:szCs w:val="21"/>
                <w:u w:val="none" w:color="000000"/>
              </w:rPr>
              <w:t>）的测定</w:t>
            </w:r>
            <w:r>
              <w:rPr>
                <w:rFonts w:hint="default" w:ascii="Times New Roman" w:hAnsi="Times New Roman" w:eastAsia="宋体" w:cs="Times New Roman"/>
                <w:sz w:val="21"/>
                <w:szCs w:val="21"/>
                <w:u w:val="none" w:color="000000"/>
                <w:lang w:val="en-US" w:eastAsia="zh-CN"/>
              </w:rPr>
              <w:t xml:space="preserve"> </w:t>
            </w:r>
            <w:r>
              <w:rPr>
                <w:rFonts w:hint="default" w:ascii="Times New Roman" w:hAnsi="Times New Roman" w:eastAsia="宋体" w:cs="Times New Roman"/>
                <w:sz w:val="21"/>
                <w:szCs w:val="21"/>
                <w:u w:val="none" w:color="000000"/>
              </w:rPr>
              <w:t>稀释与接种法》</w:t>
            </w:r>
          </w:p>
        </w:tc>
        <w:tc>
          <w:tcPr>
            <w:tcW w:w="1409" w:type="dxa"/>
            <w:tcBorders>
              <w:tl2br w:val="nil"/>
              <w:tr2bl w:val="nil"/>
            </w:tcBorders>
            <w:vAlign w:val="center"/>
          </w:tcPr>
          <w:p>
            <w:pPr>
              <w:pStyle w:val="96"/>
              <w:widowControl w:val="0"/>
              <w:pBdr>
                <w:bottom w:val="none" w:color="auto" w:sz="0" w:space="0"/>
                <w:right w:val="none" w:color="auto" w:sz="0" w:space="0"/>
              </w:pBdr>
              <w:spacing w:before="0" w:beforeAutospacing="0" w:after="0" w:afterAutospacing="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lang w:val="en-US"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07" w:type="dxa"/>
            <w:tcBorders>
              <w:tl2br w:val="nil"/>
              <w:tr2bl w:val="nil"/>
            </w:tcBorders>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bCs/>
                <w:color w:val="auto"/>
                <w:sz w:val="21"/>
                <w:szCs w:val="21"/>
                <w:lang w:val="en-US" w:eastAsia="zh-CN"/>
              </w:rPr>
              <w:t>硫酸盐</w:t>
            </w:r>
          </w:p>
        </w:tc>
        <w:tc>
          <w:tcPr>
            <w:tcW w:w="2123" w:type="dxa"/>
            <w:tcBorders>
              <w:tl2br w:val="nil"/>
              <w:tr2bl w:val="nil"/>
            </w:tcBorders>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sz w:val="21"/>
                <w:szCs w:val="21"/>
                <w:lang w:val="en-US" w:eastAsia="zh-CN"/>
              </w:rPr>
              <w:t>HJ/T 342-2007</w:t>
            </w:r>
          </w:p>
        </w:tc>
        <w:tc>
          <w:tcPr>
            <w:tcW w:w="4215" w:type="dxa"/>
            <w:tcBorders>
              <w:tl2br w:val="nil"/>
              <w:tr2bl w:val="nil"/>
            </w:tcBorders>
            <w:vAlign w:val="center"/>
          </w:tcPr>
          <w:p>
            <w:pPr>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sz w:val="21"/>
                <w:szCs w:val="21"/>
              </w:rPr>
              <w:t>《水质 硫酸盐的测定 铬酸钡分光光度法(试行) 》</w:t>
            </w:r>
          </w:p>
        </w:tc>
        <w:tc>
          <w:tcPr>
            <w:tcW w:w="14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val="0"/>
                <w:i w:val="0"/>
                <w:color w:val="000000"/>
                <w:kern w:val="0"/>
                <w:sz w:val="21"/>
                <w:szCs w:val="21"/>
                <w:u w:val="none"/>
                <w:lang w:val="en-US" w:eastAsia="zh-CN" w:bidi="ar"/>
              </w:rPr>
              <w:t>2</w:t>
            </w:r>
            <w:r>
              <w:rPr>
                <w:rFonts w:hint="default" w:ascii="Times New Roman" w:hAnsi="Times New Roman" w:eastAsia="宋体" w:cs="Times New Roman"/>
                <w:b w:val="0"/>
                <w:bCs w:val="0"/>
                <w:sz w:val="21"/>
                <w:szCs w:val="21"/>
                <w:lang w:val="en-US" w:eastAsia="zh-CN"/>
              </w:rPr>
              <w:t>mg/L</w:t>
            </w:r>
          </w:p>
        </w:tc>
      </w:tr>
    </w:tbl>
    <w:p>
      <w:pPr>
        <w:pStyle w:val="7"/>
        <w:rPr>
          <w:rFonts w:hint="default"/>
        </w:rPr>
      </w:pPr>
      <w:r>
        <w:rPr>
          <w:rFonts w:hint="default"/>
        </w:rPr>
        <w:t>5.</w:t>
      </w:r>
      <w:r>
        <w:rPr>
          <w:rFonts w:hint="eastAsia"/>
          <w:lang w:val="en-US" w:eastAsia="zh-CN"/>
        </w:rPr>
        <w:t>2</w:t>
      </w:r>
      <w:r>
        <w:rPr>
          <w:rFonts w:hint="default"/>
        </w:rPr>
        <w:t>.3 质量保证和质量控制</w:t>
      </w:r>
    </w:p>
    <w:p>
      <w:pPr>
        <w:autoSpaceDE w:val="0"/>
        <w:autoSpaceDN w:val="0"/>
        <w:adjustRightInd w:val="0"/>
        <w:spacing w:line="480" w:lineRule="exact"/>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监测质量保证和质量控制按照《</w:t>
      </w:r>
      <w:r>
        <w:rPr>
          <w:rFonts w:hint="eastAsia" w:cs="Times New Roman"/>
          <w:sz w:val="24"/>
          <w:highlight w:val="none"/>
          <w:lang w:val="en-US" w:eastAsia="zh-CN"/>
        </w:rPr>
        <w:t>环境水质监测质量保证手册</w:t>
      </w:r>
      <w:r>
        <w:rPr>
          <w:rFonts w:hint="default" w:ascii="Times New Roman" w:hAnsi="Times New Roman" w:cs="Times New Roman"/>
          <w:sz w:val="24"/>
          <w:highlight w:val="none"/>
        </w:rPr>
        <w:t>》</w:t>
      </w:r>
      <w:r>
        <w:rPr>
          <w:rFonts w:hint="eastAsia" w:cs="Times New Roman"/>
          <w:sz w:val="24"/>
          <w:highlight w:val="none"/>
          <w:lang w:eastAsia="zh-CN"/>
        </w:rPr>
        <w:t>（</w:t>
      </w:r>
      <w:r>
        <w:rPr>
          <w:rFonts w:hint="eastAsia" w:cs="Times New Roman"/>
          <w:sz w:val="24"/>
          <w:highlight w:val="none"/>
          <w:lang w:val="en-US" w:eastAsia="zh-CN"/>
        </w:rPr>
        <w:t>第二版</w:t>
      </w:r>
      <w:r>
        <w:rPr>
          <w:rFonts w:hint="eastAsia" w:cs="Times New Roman"/>
          <w:sz w:val="24"/>
          <w:highlight w:val="none"/>
          <w:lang w:eastAsia="zh-CN"/>
        </w:rPr>
        <w:t>）</w:t>
      </w:r>
      <w:r>
        <w:rPr>
          <w:rFonts w:hint="default" w:ascii="Times New Roman" w:hAnsi="Times New Roman" w:cs="Times New Roman"/>
          <w:sz w:val="24"/>
          <w:highlight w:val="none"/>
        </w:rPr>
        <w:t>、《</w:t>
      </w:r>
      <w:r>
        <w:rPr>
          <w:rFonts w:hint="eastAsia" w:cs="Times New Roman"/>
          <w:sz w:val="24"/>
          <w:highlight w:val="none"/>
          <w:lang w:val="en-US" w:eastAsia="zh-CN"/>
        </w:rPr>
        <w:t>地表水和污水监测技术规范</w:t>
      </w:r>
      <w:r>
        <w:rPr>
          <w:rFonts w:hint="default" w:ascii="Times New Roman" w:hAnsi="Times New Roman" w:cs="Times New Roman"/>
          <w:sz w:val="24"/>
          <w:highlight w:val="none"/>
        </w:rPr>
        <w:t>》</w:t>
      </w:r>
      <w:r>
        <w:rPr>
          <w:rFonts w:hint="eastAsia" w:cs="Times New Roman"/>
          <w:sz w:val="24"/>
          <w:highlight w:val="none"/>
          <w:lang w:val="en-US" w:eastAsia="zh-CN"/>
        </w:rPr>
        <w:t>（HJ/T 91-2002）</w:t>
      </w:r>
      <w:r>
        <w:rPr>
          <w:rFonts w:hint="default" w:ascii="Times New Roman" w:hAnsi="Times New Roman" w:cs="Times New Roman"/>
          <w:sz w:val="24"/>
          <w:highlight w:val="none"/>
        </w:rPr>
        <w:t>的相关要求进行。</w:t>
      </w:r>
    </w:p>
    <w:p>
      <w:pPr>
        <w:autoSpaceDE w:val="0"/>
        <w:autoSpaceDN w:val="0"/>
        <w:adjustRightInd w:val="0"/>
        <w:spacing w:line="480" w:lineRule="exact"/>
        <w:ind w:firstLine="480" w:firstLineChars="200"/>
        <w:jc w:val="left"/>
        <w:rPr>
          <w:rFonts w:hint="default" w:ascii="Times New Roman" w:hAnsi="Times New Roman" w:cs="Times New Roman"/>
          <w:sz w:val="24"/>
          <w:highlight w:val="none"/>
        </w:rPr>
      </w:pPr>
      <w:r>
        <w:rPr>
          <w:rFonts w:hint="eastAsia" w:cs="Times New Roman"/>
          <w:sz w:val="24"/>
          <w:highlight w:val="none"/>
          <w:lang w:eastAsia="zh-CN"/>
        </w:rPr>
        <w:t>（</w:t>
      </w:r>
      <w:r>
        <w:rPr>
          <w:rFonts w:hint="eastAsia" w:cs="Times New Roman"/>
          <w:sz w:val="24"/>
          <w:highlight w:val="none"/>
          <w:lang w:val="en-US" w:eastAsia="zh-CN"/>
        </w:rPr>
        <w:t>1</w:t>
      </w:r>
      <w:r>
        <w:rPr>
          <w:rFonts w:hint="eastAsia" w:cs="Times New Roman"/>
          <w:sz w:val="24"/>
          <w:highlight w:val="none"/>
          <w:lang w:eastAsia="zh-CN"/>
        </w:rPr>
        <w:t>）</w:t>
      </w:r>
      <w:r>
        <w:rPr>
          <w:rFonts w:hint="default" w:ascii="Times New Roman" w:hAnsi="Times New Roman" w:cs="Times New Roman"/>
          <w:sz w:val="24"/>
          <w:highlight w:val="none"/>
        </w:rPr>
        <w:t>监测期间核查了生产负荷记录，生产负荷大于75%，满足要求。</w:t>
      </w:r>
    </w:p>
    <w:p>
      <w:pPr>
        <w:autoSpaceDE w:val="0"/>
        <w:autoSpaceDN w:val="0"/>
        <w:adjustRightInd w:val="0"/>
        <w:spacing w:line="480" w:lineRule="exact"/>
        <w:ind w:firstLine="480" w:firstLineChars="200"/>
        <w:jc w:val="left"/>
        <w:rPr>
          <w:rFonts w:hint="default" w:ascii="Times New Roman" w:hAnsi="Times New Roman" w:cs="Times New Roman"/>
          <w:sz w:val="24"/>
          <w:highlight w:val="none"/>
        </w:rPr>
      </w:pPr>
      <w:r>
        <w:rPr>
          <w:rFonts w:hint="eastAsia" w:eastAsia="仿宋" w:cs="Times New Roman"/>
          <w:sz w:val="24"/>
          <w:highlight w:val="none"/>
          <w:lang w:eastAsia="zh-CN"/>
        </w:rPr>
        <w:t>（</w:t>
      </w:r>
      <w:r>
        <w:rPr>
          <w:rFonts w:hint="eastAsia" w:eastAsia="仿宋" w:cs="Times New Roman"/>
          <w:sz w:val="24"/>
          <w:highlight w:val="none"/>
          <w:lang w:val="en-US" w:eastAsia="zh-CN"/>
        </w:rPr>
        <w:t>2</w:t>
      </w:r>
      <w:r>
        <w:rPr>
          <w:rFonts w:hint="eastAsia" w:eastAsia="仿宋" w:cs="Times New Roman"/>
          <w:sz w:val="24"/>
          <w:highlight w:val="none"/>
          <w:lang w:eastAsia="zh-CN"/>
        </w:rPr>
        <w:t>）</w:t>
      </w:r>
      <w:r>
        <w:rPr>
          <w:rFonts w:hint="default" w:ascii="Times New Roman" w:hAnsi="Times New Roman" w:cs="Times New Roman"/>
          <w:sz w:val="24"/>
          <w:highlight w:val="none"/>
        </w:rPr>
        <w:t>优先采用了国标、行标监测分析方法，监测采样与测试分析人员均经考核合格并持证上岗，监测仪器经计量部门检定并在有效使用期内。</w:t>
      </w:r>
    </w:p>
    <w:p>
      <w:pPr>
        <w:autoSpaceDE w:val="0"/>
        <w:autoSpaceDN w:val="0"/>
        <w:adjustRightInd w:val="0"/>
        <w:spacing w:line="480" w:lineRule="exact"/>
        <w:ind w:firstLine="480" w:firstLineChars="200"/>
        <w:jc w:val="left"/>
        <w:rPr>
          <w:rFonts w:hint="default" w:ascii="Times New Roman" w:hAnsi="Times New Roman" w:eastAsia="黑体" w:cs="Times New Roman"/>
          <w:bCs/>
          <w:sz w:val="24"/>
          <w:highlight w:val="none"/>
        </w:rPr>
      </w:pPr>
      <w:r>
        <w:rPr>
          <w:rFonts w:hint="eastAsia" w:eastAsia="仿宋" w:cs="Times New Roman"/>
          <w:sz w:val="24"/>
          <w:highlight w:val="none"/>
          <w:lang w:eastAsia="zh-CN"/>
        </w:rPr>
        <w:t>（</w:t>
      </w:r>
      <w:r>
        <w:rPr>
          <w:rFonts w:hint="eastAsia" w:eastAsia="仿宋" w:cs="Times New Roman"/>
          <w:sz w:val="24"/>
          <w:highlight w:val="none"/>
          <w:lang w:val="en-US" w:eastAsia="zh-CN"/>
        </w:rPr>
        <w:t>3</w:t>
      </w:r>
      <w:r>
        <w:rPr>
          <w:rFonts w:hint="eastAsia" w:eastAsia="仿宋" w:cs="Times New Roman"/>
          <w:sz w:val="24"/>
          <w:highlight w:val="none"/>
          <w:lang w:eastAsia="zh-CN"/>
        </w:rPr>
        <w:t>）</w:t>
      </w:r>
      <w:r>
        <w:rPr>
          <w:rFonts w:hint="default" w:ascii="Times New Roman" w:hAnsi="Times New Roman" w:cs="Times New Roman"/>
          <w:sz w:val="24"/>
          <w:highlight w:val="none"/>
        </w:rPr>
        <w:t>监测数据和技术报告执行三级审核制度</w:t>
      </w:r>
      <w:r>
        <w:rPr>
          <w:rFonts w:hint="default" w:ascii="Times New Roman" w:hAnsi="Times New Roman" w:cs="Times New Roman"/>
          <w:sz w:val="24"/>
          <w:highlight w:val="none"/>
          <w:lang w:val="en-US" w:eastAsia="zh-CN"/>
        </w:rPr>
        <w:t>。</w:t>
      </w:r>
    </w:p>
    <w:p>
      <w:pPr>
        <w:pStyle w:val="7"/>
        <w:rPr>
          <w:rFonts w:hint="default" w:ascii="Times New Roman" w:hAnsi="Times New Roman" w:cs="Times New Roman"/>
        </w:rPr>
      </w:pPr>
      <w:r>
        <w:rPr>
          <w:rFonts w:hint="default" w:ascii="Times New Roman" w:hAnsi="Times New Roman" w:cs="Times New Roman"/>
        </w:rPr>
        <w:t>5.</w:t>
      </w:r>
      <w:r>
        <w:rPr>
          <w:rFonts w:hint="eastAsia" w:cs="Times New Roman"/>
          <w:lang w:val="en-US" w:eastAsia="zh-CN"/>
        </w:rPr>
        <w:t>2</w:t>
      </w:r>
      <w:r>
        <w:rPr>
          <w:rFonts w:hint="default" w:ascii="Times New Roman" w:hAnsi="Times New Roman" w:cs="Times New Roman"/>
        </w:rPr>
        <w:t>.4 验收监测评价标准</w:t>
      </w:r>
    </w:p>
    <w:p>
      <w:pPr>
        <w:autoSpaceDE w:val="0"/>
        <w:autoSpaceDN w:val="0"/>
        <w:adjustRightInd w:val="0"/>
        <w:spacing w:before="46" w:beforeLines="15" w:after="46" w:afterLines="15" w:line="480" w:lineRule="exact"/>
        <w:ind w:firstLine="470" w:firstLineChars="195"/>
        <w:jc w:val="left"/>
        <w:rPr>
          <w:rFonts w:hint="eastAsia"/>
          <w:b/>
          <w:kern w:val="0"/>
          <w:sz w:val="24"/>
        </w:rPr>
      </w:pPr>
      <w:r>
        <w:rPr>
          <w:rFonts w:hint="eastAsia"/>
          <w:b/>
          <w:kern w:val="0"/>
          <w:sz w:val="24"/>
          <w:lang w:val="en-US" w:eastAsia="zh-CN"/>
        </w:rPr>
        <w:t>废水</w:t>
      </w:r>
      <w:r>
        <w:rPr>
          <w:rFonts w:hint="eastAsia"/>
          <w:b/>
          <w:kern w:val="0"/>
          <w:sz w:val="24"/>
        </w:rPr>
        <w:t>排放评价标准</w:t>
      </w:r>
    </w:p>
    <w:p>
      <w:pPr>
        <w:spacing w:before="62" w:beforeLines="20" w:after="62" w:afterLines="20" w:line="47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eastAsiaTheme="minorEastAsia"/>
          <w:color w:val="auto"/>
          <w:sz w:val="24"/>
          <w:szCs w:val="24"/>
          <w:highlight w:val="none"/>
        </w:rPr>
        <w:t>本</w:t>
      </w:r>
      <w:r>
        <w:rPr>
          <w:rFonts w:hint="eastAsia"/>
          <w:sz w:val="24"/>
          <w:szCs w:val="24"/>
        </w:rPr>
        <w:t>项目</w:t>
      </w:r>
      <w:r>
        <w:rPr>
          <w:rFonts w:hint="eastAsia" w:ascii="宋体" w:hAnsi="宋体"/>
          <w:sz w:val="24"/>
          <w:szCs w:val="24"/>
        </w:rPr>
        <w:t>脱盐水系统排水</w:t>
      </w:r>
      <w:r>
        <w:rPr>
          <w:rFonts w:hint="eastAsia" w:ascii="宋体" w:hAnsi="宋体"/>
          <w:sz w:val="24"/>
          <w:szCs w:val="24"/>
          <w:lang w:eastAsia="zh-CN"/>
        </w:rPr>
        <w:t>、</w:t>
      </w:r>
      <w:r>
        <w:rPr>
          <w:rFonts w:hint="eastAsia" w:ascii="宋体" w:hAnsi="宋体"/>
          <w:sz w:val="24"/>
          <w:szCs w:val="24"/>
        </w:rPr>
        <w:t>循环冷却系统排水</w:t>
      </w:r>
      <w:r>
        <w:rPr>
          <w:rFonts w:hint="eastAsia" w:ascii="宋体" w:hAnsi="宋体"/>
          <w:sz w:val="24"/>
          <w:szCs w:val="24"/>
          <w:lang w:eastAsia="zh-CN"/>
        </w:rPr>
        <w:t>、</w:t>
      </w:r>
      <w:r>
        <w:rPr>
          <w:rFonts w:hint="eastAsia" w:ascii="宋体" w:hAnsi="宋体"/>
          <w:sz w:val="24"/>
          <w:szCs w:val="24"/>
        </w:rPr>
        <w:t>余热回收系统排污水依托</w:t>
      </w:r>
      <w:r>
        <w:rPr>
          <w:rFonts w:hint="default" w:ascii="Times New Roman" w:hAnsi="Times New Roman" w:eastAsia="宋体" w:cs="Times New Roman"/>
          <w:sz w:val="24"/>
          <w:szCs w:val="24"/>
        </w:rPr>
        <w:t>山东民基</w:t>
      </w:r>
      <w:r>
        <w:rPr>
          <w:rFonts w:hint="eastAsia" w:cs="Times New Roman"/>
          <w:sz w:val="24"/>
          <w:szCs w:val="24"/>
          <w:lang w:eastAsia="zh-CN"/>
        </w:rPr>
        <w:t>新材料科技</w:t>
      </w:r>
      <w:r>
        <w:rPr>
          <w:rFonts w:hint="default" w:ascii="Times New Roman" w:hAnsi="Times New Roman" w:eastAsia="宋体" w:cs="Times New Roman"/>
          <w:sz w:val="24"/>
          <w:szCs w:val="24"/>
        </w:rPr>
        <w:t>有限公司</w:t>
      </w:r>
      <w:r>
        <w:rPr>
          <w:rFonts w:hint="eastAsia" w:ascii="宋体" w:hAnsi="宋体"/>
          <w:sz w:val="24"/>
          <w:szCs w:val="24"/>
        </w:rPr>
        <w:t>雨水管网</w:t>
      </w:r>
      <w:r>
        <w:rPr>
          <w:rFonts w:hint="eastAsia" w:ascii="宋体" w:hAnsi="宋体"/>
          <w:sz w:val="24"/>
          <w:szCs w:val="24"/>
          <w:lang w:eastAsia="zh-CN"/>
        </w:rPr>
        <w:t>；</w:t>
      </w:r>
      <w:r>
        <w:rPr>
          <w:rFonts w:hint="default" w:ascii="Times New Roman" w:hAnsi="Times New Roman" w:eastAsia="宋体" w:cs="Times New Roman"/>
          <w:sz w:val="24"/>
          <w:szCs w:val="24"/>
        </w:rPr>
        <w:t>车</w:t>
      </w:r>
      <w:r>
        <w:rPr>
          <w:rFonts w:hint="eastAsia" w:ascii="Times New Roman" w:hAnsi="Times New Roman" w:eastAsia="宋体" w:cs="Times New Roman"/>
          <w:sz w:val="24"/>
          <w:szCs w:val="24"/>
          <w:lang w:eastAsia="zh-CN"/>
        </w:rPr>
        <w:t>间</w:t>
      </w:r>
      <w:r>
        <w:rPr>
          <w:rFonts w:hint="default" w:ascii="Times New Roman" w:hAnsi="Times New Roman" w:eastAsia="宋体" w:cs="Times New Roman"/>
          <w:sz w:val="24"/>
          <w:szCs w:val="24"/>
        </w:rPr>
        <w:t>地面冲洗水、初期雨水经厂内污水处置设施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采用酸碱中和+絮凝沉淀工艺处理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达到《硫酸工业污染物排放标准》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w:t>
      </w:r>
      <w:r>
        <w:rPr>
          <w:rFonts w:hint="eastAsia" w:cs="Times New Roman"/>
          <w:sz w:val="24"/>
          <w:szCs w:val="24"/>
          <w:lang w:eastAsia="zh-CN"/>
        </w:rPr>
        <w:t>及</w:t>
      </w:r>
      <w:r>
        <w:rPr>
          <w:rFonts w:hint="eastAsia" w:cs="Times New Roman"/>
          <w:b w:val="0"/>
          <w:bCs w:val="0"/>
          <w:sz w:val="24"/>
          <w:szCs w:val="24"/>
          <w:lang w:eastAsia="zh-CN"/>
        </w:rPr>
        <w:t>《污水排入城镇下水道水质标准》(CJ34</w:t>
      </w:r>
      <w:r>
        <w:rPr>
          <w:rFonts w:hint="eastAsia" w:cs="Times New Roman"/>
          <w:sz w:val="24"/>
          <w:szCs w:val="24"/>
          <w:lang w:eastAsia="zh-CN"/>
        </w:rPr>
        <w:t>3-2010)</w:t>
      </w:r>
      <w:r>
        <w:rPr>
          <w:rFonts w:hint="default" w:ascii="Times New Roman" w:hAnsi="Times New Roman" w:eastAsia="宋体" w:cs="Times New Roman"/>
          <w:sz w:val="24"/>
          <w:szCs w:val="24"/>
        </w:rPr>
        <w:t>表1中B等级标准</w:t>
      </w:r>
      <w:r>
        <w:rPr>
          <w:rFonts w:hint="eastAsia" w:ascii="Times New Roman" w:hAnsi="Times New Roman" w:eastAsia="宋体" w:cs="Times New Roman"/>
          <w:sz w:val="24"/>
          <w:szCs w:val="24"/>
          <w:lang w:eastAsia="zh-CN"/>
        </w:rPr>
        <w:t>要求</w:t>
      </w:r>
      <w:r>
        <w:rPr>
          <w:rFonts w:hint="default" w:ascii="Times New Roman" w:hAnsi="Times New Roman" w:eastAsia="宋体" w:cs="Times New Roman"/>
          <w:sz w:val="24"/>
          <w:szCs w:val="24"/>
        </w:rPr>
        <w:t>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排入山东民基</w:t>
      </w:r>
      <w:r>
        <w:rPr>
          <w:rFonts w:hint="eastAsia" w:cs="Times New Roman"/>
          <w:sz w:val="24"/>
          <w:szCs w:val="24"/>
          <w:lang w:eastAsia="zh-CN"/>
        </w:rPr>
        <w:t>新材料科技</w:t>
      </w:r>
      <w:r>
        <w:rPr>
          <w:rFonts w:hint="default" w:ascii="Times New Roman" w:hAnsi="Times New Roman" w:eastAsia="宋体" w:cs="Times New Roman"/>
          <w:sz w:val="24"/>
          <w:szCs w:val="24"/>
        </w:rPr>
        <w:t>有限公司污水处理站处理</w:t>
      </w:r>
      <w:r>
        <w:rPr>
          <w:rFonts w:hint="eastAsia" w:cs="Times New Roman"/>
          <w:sz w:val="24"/>
          <w:szCs w:val="24"/>
          <w:lang w:eastAsia="zh-CN"/>
        </w:rPr>
        <w:t>后综合利用，不外排。</w:t>
      </w:r>
    </w:p>
    <w:p>
      <w:pPr>
        <w:spacing w:line="460" w:lineRule="exact"/>
        <w:jc w:val="left"/>
        <w:rPr>
          <w:sz w:val="24"/>
        </w:rPr>
      </w:pPr>
      <w:r>
        <w:rPr>
          <w:rFonts w:hint="eastAsia"/>
          <w:sz w:val="24"/>
          <w:lang w:val="en-US" w:eastAsia="zh-CN"/>
        </w:rPr>
        <w:t>废水</w:t>
      </w:r>
      <w:r>
        <w:rPr>
          <w:sz w:val="24"/>
        </w:rPr>
        <w:t>执行的标准限值见表5-</w:t>
      </w:r>
      <w:r>
        <w:rPr>
          <w:rFonts w:hint="eastAsia"/>
          <w:sz w:val="24"/>
          <w:lang w:val="en-US" w:eastAsia="zh-CN"/>
        </w:rPr>
        <w:t>13</w:t>
      </w:r>
      <w:r>
        <w:rPr>
          <w:sz w:val="24"/>
        </w:rPr>
        <w:t>。</w:t>
      </w:r>
    </w:p>
    <w:p>
      <w:pPr>
        <w:spacing w:line="460" w:lineRule="exact"/>
        <w:jc w:val="center"/>
        <w:rPr>
          <w:rFonts w:hint="eastAsia" w:ascii="宋体" w:hAnsi="宋体" w:eastAsia="宋体" w:cs="宋体"/>
          <w:sz w:val="24"/>
        </w:rPr>
      </w:pPr>
      <w:r>
        <w:rPr>
          <w:rFonts w:hint="eastAsia"/>
          <w:sz w:val="24"/>
          <w:lang w:val="en-US" w:eastAsia="zh-CN"/>
        </w:rPr>
        <w:t xml:space="preserve"> </w:t>
      </w:r>
      <w:r>
        <w:rPr>
          <w:rFonts w:hint="default" w:ascii="Times New Roman" w:hAnsi="Times New Roman" w:eastAsia="宋体" w:cs="Times New Roman"/>
          <w:sz w:val="24"/>
        </w:rPr>
        <w:t>表5-</w:t>
      </w:r>
      <w:r>
        <w:rPr>
          <w:rFonts w:hint="eastAsia" w:cs="Times New Roman"/>
          <w:sz w:val="24"/>
          <w:lang w:val="en-US" w:eastAsia="zh-CN"/>
        </w:rPr>
        <w:t>13</w:t>
      </w:r>
      <w:r>
        <w:rPr>
          <w:rFonts w:hint="default" w:ascii="Times New Roman" w:hAnsi="Times New Roman" w:eastAsia="宋体" w:cs="Times New Roman"/>
          <w:sz w:val="24"/>
        </w:rPr>
        <w:t xml:space="preserve"> 废</w:t>
      </w:r>
      <w:r>
        <w:rPr>
          <w:rFonts w:hint="eastAsia" w:eastAsia="宋体" w:cs="Times New Roman"/>
          <w:sz w:val="24"/>
          <w:lang w:val="en-US" w:eastAsia="zh-CN"/>
        </w:rPr>
        <w:t>水</w:t>
      </w:r>
      <w:r>
        <w:rPr>
          <w:rFonts w:hint="default" w:ascii="Times New Roman" w:hAnsi="Times New Roman" w:eastAsia="宋体" w:cs="Times New Roman"/>
          <w:sz w:val="24"/>
        </w:rPr>
        <w:t>排放评价标准限值</w:t>
      </w:r>
    </w:p>
    <w:tbl>
      <w:tblPr>
        <w:tblStyle w:val="28"/>
        <w:tblpPr w:leftFromText="180" w:rightFromText="180" w:vertAnchor="text" w:horzAnchor="page" w:tblpX="1036" w:tblpY="458"/>
        <w:tblOverlap w:val="never"/>
        <w:tblW w:w="99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03"/>
        <w:gridCol w:w="1801"/>
        <w:gridCol w:w="3794"/>
        <w:gridCol w:w="1635"/>
        <w:gridCol w:w="1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03" w:type="dxa"/>
            <w:vAlign w:val="center"/>
          </w:tcPr>
          <w:p>
            <w:pPr>
              <w:jc w:val="center"/>
              <w:rPr>
                <w:rFonts w:hint="eastAsia" w:eastAsia="宋体"/>
                <w:b/>
                <w:bCs/>
                <w:color w:val="000000"/>
                <w:sz w:val="21"/>
                <w:szCs w:val="21"/>
                <w:lang w:eastAsia="zh-CN"/>
              </w:rPr>
            </w:pPr>
            <w:r>
              <w:rPr>
                <w:rFonts w:hint="eastAsia"/>
                <w:b/>
                <w:bCs/>
                <w:color w:val="000000"/>
                <w:sz w:val="21"/>
                <w:szCs w:val="21"/>
                <w:lang w:val="en-US" w:eastAsia="zh-CN"/>
              </w:rPr>
              <w:t>监测点位</w:t>
            </w:r>
          </w:p>
        </w:tc>
        <w:tc>
          <w:tcPr>
            <w:tcW w:w="1801" w:type="dxa"/>
            <w:vAlign w:val="center"/>
          </w:tcPr>
          <w:p>
            <w:pPr>
              <w:jc w:val="center"/>
              <w:rPr>
                <w:rFonts w:hint="eastAsia"/>
                <w:b/>
                <w:bCs/>
                <w:color w:val="000000"/>
                <w:sz w:val="21"/>
                <w:szCs w:val="21"/>
              </w:rPr>
            </w:pPr>
            <w:r>
              <w:rPr>
                <w:rFonts w:hint="eastAsia"/>
                <w:b/>
                <w:bCs/>
                <w:color w:val="000000"/>
                <w:sz w:val="21"/>
                <w:szCs w:val="21"/>
              </w:rPr>
              <w:t>监测项目</w:t>
            </w:r>
          </w:p>
        </w:tc>
        <w:tc>
          <w:tcPr>
            <w:tcW w:w="3794" w:type="dxa"/>
            <w:vAlign w:val="center"/>
          </w:tcPr>
          <w:p>
            <w:pPr>
              <w:jc w:val="center"/>
              <w:rPr>
                <w:b/>
                <w:bCs/>
                <w:color w:val="000000"/>
                <w:sz w:val="21"/>
                <w:szCs w:val="21"/>
              </w:rPr>
            </w:pPr>
            <w:r>
              <w:rPr>
                <w:b/>
                <w:bCs/>
                <w:color w:val="000000"/>
                <w:sz w:val="21"/>
                <w:szCs w:val="21"/>
              </w:rPr>
              <w:t>评价标准</w:t>
            </w:r>
          </w:p>
        </w:tc>
        <w:tc>
          <w:tcPr>
            <w:tcW w:w="1635" w:type="dxa"/>
            <w:vAlign w:val="center"/>
          </w:tcPr>
          <w:p>
            <w:pPr>
              <w:jc w:val="center"/>
              <w:rPr>
                <w:b/>
                <w:bCs/>
                <w:color w:val="000000"/>
                <w:sz w:val="21"/>
                <w:szCs w:val="21"/>
              </w:rPr>
            </w:pPr>
            <w:r>
              <w:rPr>
                <w:b/>
                <w:bCs/>
                <w:color w:val="000000"/>
                <w:sz w:val="21"/>
                <w:szCs w:val="21"/>
              </w:rPr>
              <w:t>排放浓度</w:t>
            </w:r>
          </w:p>
          <w:p>
            <w:pPr>
              <w:jc w:val="center"/>
              <w:rPr>
                <w:b/>
                <w:bCs/>
                <w:color w:val="000000"/>
                <w:sz w:val="21"/>
                <w:szCs w:val="21"/>
              </w:rPr>
            </w:pPr>
            <w:r>
              <w:rPr>
                <w:b/>
                <w:bCs/>
                <w:color w:val="000000"/>
                <w:sz w:val="21"/>
                <w:szCs w:val="21"/>
              </w:rPr>
              <w:t>限值</w:t>
            </w:r>
          </w:p>
          <w:p>
            <w:pPr>
              <w:jc w:val="center"/>
              <w:rPr>
                <w:b/>
                <w:bCs/>
                <w:color w:val="000000"/>
                <w:sz w:val="21"/>
                <w:szCs w:val="21"/>
              </w:rPr>
            </w:pPr>
            <w:r>
              <w:rPr>
                <w:b/>
                <w:bCs/>
                <w:color w:val="000000"/>
                <w:kern w:val="0"/>
                <w:sz w:val="21"/>
                <w:szCs w:val="21"/>
              </w:rPr>
              <w:t>（mg/</w:t>
            </w:r>
            <w:r>
              <w:rPr>
                <w:rFonts w:hint="eastAsia"/>
                <w:b/>
                <w:bCs/>
                <w:color w:val="000000"/>
                <w:kern w:val="0"/>
                <w:sz w:val="21"/>
                <w:szCs w:val="21"/>
                <w:lang w:val="en-US" w:eastAsia="zh-CN"/>
              </w:rPr>
              <w:t>L</w:t>
            </w:r>
            <w:r>
              <w:rPr>
                <w:b/>
                <w:bCs/>
                <w:color w:val="000000"/>
                <w:kern w:val="0"/>
                <w:sz w:val="21"/>
                <w:szCs w:val="21"/>
              </w:rPr>
              <w:t>）</w:t>
            </w:r>
          </w:p>
        </w:tc>
        <w:tc>
          <w:tcPr>
            <w:tcW w:w="1026" w:type="dxa"/>
            <w:vAlign w:val="center"/>
          </w:tcPr>
          <w:p>
            <w:pPr>
              <w:jc w:val="center"/>
              <w:rPr>
                <w:b/>
                <w:bCs/>
                <w:color w:val="000000"/>
                <w:sz w:val="21"/>
                <w:szCs w:val="21"/>
              </w:rPr>
            </w:pPr>
            <w:r>
              <w:rPr>
                <w:rFonts w:hint="eastAsia"/>
                <w:b/>
                <w:bCs/>
                <w:color w:val="000000"/>
                <w:sz w:val="21"/>
                <w:szCs w:val="21"/>
              </w:rPr>
              <w:t>排放速率限值</w:t>
            </w:r>
          </w:p>
          <w:p>
            <w:pPr>
              <w:jc w:val="center"/>
              <w:rPr>
                <w:b/>
                <w:bCs/>
                <w:color w:val="000000"/>
                <w:sz w:val="21"/>
                <w:szCs w:val="21"/>
              </w:rPr>
            </w:pPr>
            <w:r>
              <w:rPr>
                <w:rFonts w:hint="eastAsia"/>
                <w:b/>
                <w:bCs/>
                <w:color w:val="000000"/>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restart"/>
            <w:vAlign w:val="center"/>
          </w:tcPr>
          <w:p>
            <w:pPr>
              <w:jc w:val="center"/>
              <w:rPr>
                <w:rFonts w:hint="eastAsia"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污水总排口</w:t>
            </w:r>
          </w:p>
        </w:tc>
        <w:tc>
          <w:tcPr>
            <w:tcW w:w="1801" w:type="dxa"/>
            <w:vAlign w:val="center"/>
          </w:tcPr>
          <w:p>
            <w:pPr>
              <w:spacing w:line="36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氨氮</w:t>
            </w:r>
          </w:p>
        </w:tc>
        <w:tc>
          <w:tcPr>
            <w:tcW w:w="3794" w:type="dxa"/>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sz w:val="21"/>
                <w:szCs w:val="21"/>
              </w:rPr>
              <w:t>《硫酸工业污染物排放标准》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w:t>
            </w:r>
          </w:p>
        </w:tc>
        <w:tc>
          <w:tcPr>
            <w:tcW w:w="1635" w:type="dxa"/>
            <w:vAlign w:val="center"/>
          </w:tcPr>
          <w:p>
            <w:pPr>
              <w:spacing w:line="36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8</w:t>
            </w:r>
          </w:p>
        </w:tc>
        <w:tc>
          <w:tcPr>
            <w:tcW w:w="1026" w:type="dxa"/>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spacing w:line="36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highlight w:val="none"/>
                <w:lang w:val="en-US" w:eastAsia="zh-CN"/>
              </w:rPr>
              <w:t>化学需氧量</w:t>
            </w:r>
          </w:p>
        </w:tc>
        <w:tc>
          <w:tcPr>
            <w:tcW w:w="3794" w:type="dxa"/>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sz w:val="21"/>
                <w:szCs w:val="21"/>
              </w:rPr>
              <w:t>《硫酸工业污染物排放标准》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w:t>
            </w:r>
          </w:p>
        </w:tc>
        <w:tc>
          <w:tcPr>
            <w:tcW w:w="1635" w:type="dxa"/>
            <w:vAlign w:val="center"/>
          </w:tcPr>
          <w:p>
            <w:pPr>
              <w:spacing w:line="360" w:lineRule="auto"/>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60</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spacing w:line="36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val="en-US" w:eastAsia="zh-CN"/>
              </w:rPr>
              <w:t>悬浮物</w:t>
            </w:r>
          </w:p>
        </w:tc>
        <w:tc>
          <w:tcPr>
            <w:tcW w:w="3794" w:type="dxa"/>
            <w:vAlign w:val="center"/>
          </w:tcPr>
          <w:p>
            <w:pPr>
              <w:jc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sz w:val="21"/>
                <w:szCs w:val="21"/>
              </w:rPr>
              <w:t>《硫酸工业污染物排放标准》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w:t>
            </w:r>
          </w:p>
        </w:tc>
        <w:tc>
          <w:tcPr>
            <w:tcW w:w="1635" w:type="dxa"/>
            <w:vAlign w:val="center"/>
          </w:tcPr>
          <w:p>
            <w:pPr>
              <w:spacing w:line="360" w:lineRule="auto"/>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50</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color w:val="auto"/>
                <w:sz w:val="21"/>
                <w:szCs w:val="21"/>
                <w:lang w:val="en-US" w:eastAsia="zh-CN"/>
              </w:rPr>
              <w:t>全盐量</w:t>
            </w:r>
          </w:p>
        </w:tc>
        <w:tc>
          <w:tcPr>
            <w:tcW w:w="3794" w:type="dxa"/>
            <w:vAlign w:val="center"/>
          </w:tcPr>
          <w:p>
            <w:pPr>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c>
          <w:tcPr>
            <w:tcW w:w="1635" w:type="dxa"/>
            <w:vAlign w:val="center"/>
          </w:tcPr>
          <w:p>
            <w:pPr>
              <w:spacing w:line="360" w:lineRule="auto"/>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jc w:val="center"/>
              <w:rPr>
                <w:rFonts w:hint="eastAsia" w:ascii="Times New Roman" w:hAnsi="Times New Roman" w:eastAsia="宋体" w:cs="Times New Roman"/>
                <w:b w:val="0"/>
                <w:bCs w:val="0"/>
                <w:sz w:val="21"/>
                <w:szCs w:val="21"/>
                <w:lang w:val="en-US" w:eastAsia="zh-CN"/>
              </w:rPr>
            </w:pPr>
            <w:r>
              <w:rPr>
                <w:rFonts w:hint="eastAsia" w:ascii="宋体" w:hAnsi="宋体" w:eastAsia="宋体" w:cs="宋体"/>
                <w:b w:val="0"/>
                <w:bCs w:val="0"/>
                <w:sz w:val="21"/>
                <w:szCs w:val="21"/>
                <w:lang w:val="en-US" w:eastAsia="zh-CN"/>
              </w:rPr>
              <w:t>五日生化需氧量</w:t>
            </w:r>
          </w:p>
        </w:tc>
        <w:tc>
          <w:tcPr>
            <w:tcW w:w="3794" w:type="dxa"/>
            <w:vAlign w:val="center"/>
          </w:tcPr>
          <w:p>
            <w:pPr>
              <w:jc w:val="center"/>
              <w:rPr>
                <w:rFonts w:hint="eastAsia" w:cs="Times New Roman"/>
                <w:b w:val="0"/>
                <w:bCs w:val="0"/>
                <w:sz w:val="21"/>
                <w:szCs w:val="21"/>
                <w:lang w:val="en-US" w:eastAsia="zh-CN"/>
              </w:rPr>
            </w:pPr>
            <w:r>
              <w:rPr>
                <w:rFonts w:hint="default" w:ascii="Times New Roman" w:hAnsi="Times New Roman" w:eastAsia="宋体" w:cs="Times New Roman"/>
                <w:sz w:val="21"/>
                <w:szCs w:val="21"/>
              </w:rPr>
              <w:t>《污水排入城镇下水道水质标准》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CJ343-2010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表1中B级标准</w:t>
            </w:r>
          </w:p>
        </w:tc>
        <w:tc>
          <w:tcPr>
            <w:tcW w:w="1635" w:type="dxa"/>
            <w:vAlign w:val="center"/>
          </w:tcPr>
          <w:p>
            <w:pPr>
              <w:spacing w:line="360" w:lineRule="auto"/>
              <w:jc w:val="center"/>
              <w:rPr>
                <w:rFonts w:hint="default"/>
                <w:b w:val="0"/>
                <w:bCs w:val="0"/>
                <w:sz w:val="21"/>
                <w:szCs w:val="21"/>
                <w:lang w:val="en-US" w:eastAsia="zh-CN"/>
              </w:rPr>
            </w:pPr>
            <w:r>
              <w:rPr>
                <w:rFonts w:hint="eastAsia"/>
                <w:b w:val="0"/>
                <w:bCs w:val="0"/>
                <w:sz w:val="21"/>
                <w:szCs w:val="21"/>
                <w:lang w:val="en-US" w:eastAsia="zh-CN"/>
              </w:rPr>
              <w:t>350</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jc w:val="center"/>
              <w:rPr>
                <w:rFonts w:hint="eastAsia" w:cs="Times New Roman"/>
                <w:b w:val="0"/>
                <w:bCs w:val="0"/>
                <w:sz w:val="21"/>
                <w:szCs w:val="21"/>
                <w:lang w:val="en-US" w:eastAsia="zh-CN"/>
              </w:rPr>
            </w:pPr>
            <w:r>
              <w:rPr>
                <w:rFonts w:hint="eastAsia" w:ascii="宋体" w:hAnsi="宋体" w:eastAsia="宋体" w:cs="宋体"/>
                <w:b w:val="0"/>
                <w:bCs w:val="0"/>
                <w:color w:val="auto"/>
                <w:sz w:val="21"/>
                <w:szCs w:val="21"/>
                <w:lang w:val="en-US" w:eastAsia="zh-CN"/>
              </w:rPr>
              <w:t>硫酸盐</w:t>
            </w:r>
          </w:p>
        </w:tc>
        <w:tc>
          <w:tcPr>
            <w:tcW w:w="3794" w:type="dxa"/>
            <w:vAlign w:val="center"/>
          </w:tcPr>
          <w:p>
            <w:pPr>
              <w:jc w:val="center"/>
              <w:rPr>
                <w:rFonts w:hint="eastAsia" w:cs="Times New Roman"/>
                <w:b w:val="0"/>
                <w:bCs w:val="0"/>
                <w:sz w:val="21"/>
                <w:szCs w:val="21"/>
                <w:lang w:val="en-US" w:eastAsia="zh-CN"/>
              </w:rPr>
            </w:pPr>
            <w:r>
              <w:rPr>
                <w:rFonts w:hint="default" w:ascii="Times New Roman" w:hAnsi="Times New Roman" w:eastAsia="宋体" w:cs="Times New Roman"/>
                <w:sz w:val="21"/>
                <w:szCs w:val="21"/>
              </w:rPr>
              <w:t>《污水排入城镇下水道水质标准》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CJ343-2010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表1中B级标准</w:t>
            </w:r>
          </w:p>
        </w:tc>
        <w:tc>
          <w:tcPr>
            <w:tcW w:w="1635" w:type="dxa"/>
            <w:vAlign w:val="center"/>
          </w:tcPr>
          <w:p>
            <w:pPr>
              <w:spacing w:line="360" w:lineRule="auto"/>
              <w:jc w:val="center"/>
              <w:rPr>
                <w:rFonts w:hint="default"/>
                <w:b w:val="0"/>
                <w:bCs w:val="0"/>
                <w:sz w:val="21"/>
                <w:szCs w:val="21"/>
                <w:lang w:val="en-US" w:eastAsia="zh-CN"/>
              </w:rPr>
            </w:pPr>
            <w:r>
              <w:rPr>
                <w:rFonts w:hint="eastAsia"/>
                <w:b w:val="0"/>
                <w:bCs w:val="0"/>
                <w:sz w:val="21"/>
                <w:szCs w:val="21"/>
                <w:lang w:val="en-US" w:eastAsia="zh-CN"/>
              </w:rPr>
              <w:t>600</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703" w:type="dxa"/>
            <w:vMerge w:val="continue"/>
            <w:vAlign w:val="center"/>
          </w:tcPr>
          <w:p>
            <w:pPr>
              <w:jc w:val="center"/>
              <w:rPr>
                <w:rFonts w:hint="eastAsia" w:ascii="Times New Roman" w:hAnsi="Times New Roman" w:cs="Times New Roman"/>
                <w:b w:val="0"/>
                <w:bCs w:val="0"/>
                <w:sz w:val="21"/>
                <w:szCs w:val="21"/>
                <w:lang w:val="en-US" w:eastAsia="zh-CN"/>
              </w:rPr>
            </w:pPr>
          </w:p>
        </w:tc>
        <w:tc>
          <w:tcPr>
            <w:tcW w:w="1801" w:type="dxa"/>
            <w:vAlign w:val="center"/>
          </w:tcPr>
          <w:p>
            <w:pPr>
              <w:spacing w:line="360" w:lineRule="auto"/>
              <w:jc w:val="center"/>
              <w:rPr>
                <w:rFonts w:hint="eastAsia" w:cs="Times New Roman"/>
                <w:b w:val="0"/>
                <w:bCs w:val="0"/>
                <w:sz w:val="21"/>
                <w:szCs w:val="21"/>
                <w:lang w:val="en-US" w:eastAsia="zh-CN"/>
              </w:rPr>
            </w:pPr>
            <w:r>
              <w:rPr>
                <w:rFonts w:hint="default" w:ascii="Times New Roman" w:hAnsi="Times New Roman" w:eastAsia="宋体" w:cs="Times New Roman"/>
                <w:b w:val="0"/>
                <w:bCs w:val="0"/>
                <w:sz w:val="21"/>
                <w:szCs w:val="21"/>
                <w:lang w:eastAsia="zh-CN"/>
              </w:rPr>
              <w:t>pH值</w:t>
            </w:r>
          </w:p>
        </w:tc>
        <w:tc>
          <w:tcPr>
            <w:tcW w:w="3794" w:type="dxa"/>
            <w:vAlign w:val="center"/>
          </w:tcPr>
          <w:p>
            <w:pPr>
              <w:jc w:val="center"/>
              <w:rPr>
                <w:rFonts w:hint="eastAsia" w:cs="Times New Roman"/>
                <w:b w:val="0"/>
                <w:bCs w:val="0"/>
                <w:sz w:val="21"/>
                <w:szCs w:val="21"/>
                <w:lang w:val="en-US" w:eastAsia="zh-CN"/>
              </w:rPr>
            </w:pPr>
            <w:r>
              <w:rPr>
                <w:rFonts w:hint="default" w:ascii="Times New Roman" w:hAnsi="Times New Roman" w:eastAsia="宋体" w:cs="Times New Roman"/>
                <w:sz w:val="21"/>
                <w:szCs w:val="21"/>
              </w:rPr>
              <w:t>《硫酸工业污染物排放标准》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w:t>
            </w:r>
          </w:p>
        </w:tc>
        <w:tc>
          <w:tcPr>
            <w:tcW w:w="1635" w:type="dxa"/>
            <w:vAlign w:val="center"/>
          </w:tcPr>
          <w:p>
            <w:pPr>
              <w:spacing w:line="360" w:lineRule="auto"/>
              <w:jc w:val="center"/>
              <w:rPr>
                <w:rFonts w:hint="default"/>
                <w:b w:val="0"/>
                <w:bCs w:val="0"/>
                <w:sz w:val="21"/>
                <w:szCs w:val="21"/>
                <w:lang w:val="en-US" w:eastAsia="zh-CN"/>
              </w:rPr>
            </w:pPr>
            <w:r>
              <w:rPr>
                <w:rFonts w:hint="eastAsia"/>
                <w:b w:val="0"/>
                <w:bCs w:val="0"/>
                <w:sz w:val="21"/>
                <w:szCs w:val="21"/>
                <w:lang w:val="en-US" w:eastAsia="zh-CN"/>
              </w:rPr>
              <w:t>6-9</w:t>
            </w:r>
          </w:p>
        </w:tc>
        <w:tc>
          <w:tcPr>
            <w:tcW w:w="1026" w:type="dxa"/>
            <w:vAlign w:val="center"/>
          </w:tcPr>
          <w:p>
            <w:pPr>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r>
    </w:tbl>
    <w:p>
      <w:pPr>
        <w:rPr>
          <w:rFonts w:hint="eastAsia"/>
          <w:lang w:val="en-US" w:eastAsia="zh-CN"/>
        </w:rPr>
      </w:pPr>
    </w:p>
    <w:p>
      <w:pPr>
        <w:pStyle w:val="7"/>
        <w:rPr>
          <w:rFonts w:hint="eastAsia" w:ascii="宋体" w:hAnsi="宋体" w:eastAsia="宋体" w:cs="宋体"/>
          <w:b/>
          <w:sz w:val="24"/>
        </w:rPr>
      </w:pPr>
      <w:r>
        <w:rPr>
          <w:rFonts w:hint="eastAsia" w:ascii="Times New Roman" w:hAnsi="Times New Roman" w:eastAsia="宋体" w:cs="Times New Roman"/>
          <w:b/>
          <w:bCs/>
          <w:kern w:val="2"/>
          <w:sz w:val="28"/>
          <w:szCs w:val="28"/>
          <w:lang w:val="en-US" w:eastAsia="zh-CN" w:bidi="ar-SA"/>
        </w:rPr>
        <w:t>5.</w:t>
      </w:r>
      <w:r>
        <w:rPr>
          <w:rFonts w:hint="eastAsia" w:cs="Times New Roman"/>
          <w:b/>
          <w:bCs/>
          <w:kern w:val="2"/>
          <w:sz w:val="28"/>
          <w:szCs w:val="28"/>
          <w:lang w:val="en-US" w:eastAsia="zh-CN" w:bidi="ar-SA"/>
        </w:rPr>
        <w:t>2</w:t>
      </w:r>
      <w:r>
        <w:rPr>
          <w:rFonts w:hint="eastAsia" w:ascii="Times New Roman" w:hAnsi="Times New Roman" w:eastAsia="宋体" w:cs="Times New Roman"/>
          <w:b/>
          <w:bCs/>
          <w:kern w:val="2"/>
          <w:sz w:val="28"/>
          <w:szCs w:val="28"/>
          <w:lang w:val="en-US" w:eastAsia="zh-CN" w:bidi="ar-SA"/>
        </w:rPr>
        <w:t>.5</w:t>
      </w:r>
      <w:r>
        <w:rPr>
          <w:rFonts w:hint="eastAsia" w:ascii="宋体" w:hAnsi="宋体" w:eastAsia="宋体" w:cs="宋体"/>
          <w:b/>
          <w:sz w:val="24"/>
        </w:rPr>
        <w:t xml:space="preserve"> 监测结果</w:t>
      </w:r>
    </w:p>
    <w:p>
      <w:pPr>
        <w:spacing w:line="50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5.</w:t>
      </w:r>
      <w:r>
        <w:rPr>
          <w:rFonts w:hint="eastAsia" w:cs="Times New Roman"/>
          <w:b/>
          <w:bCs/>
          <w:sz w:val="24"/>
          <w:lang w:val="en-US" w:eastAsia="zh-CN"/>
        </w:rPr>
        <w:t>2</w:t>
      </w:r>
      <w:r>
        <w:rPr>
          <w:rFonts w:hint="default" w:ascii="Times New Roman" w:hAnsi="Times New Roman" w:eastAsia="宋体" w:cs="Times New Roman"/>
          <w:b/>
          <w:bCs/>
          <w:sz w:val="24"/>
        </w:rPr>
        <w:t xml:space="preserve">.5.1 </w:t>
      </w:r>
      <w:r>
        <w:rPr>
          <w:rFonts w:hint="eastAsia" w:eastAsia="宋体" w:cs="Times New Roman"/>
          <w:b/>
          <w:bCs/>
          <w:sz w:val="24"/>
          <w:lang w:val="en-US" w:eastAsia="zh-CN"/>
        </w:rPr>
        <w:t>废水</w:t>
      </w:r>
      <w:r>
        <w:rPr>
          <w:rFonts w:hint="default" w:ascii="Times New Roman" w:hAnsi="Times New Roman" w:eastAsia="宋体" w:cs="Times New Roman"/>
          <w:b/>
          <w:bCs/>
          <w:sz w:val="24"/>
        </w:rPr>
        <w:t>监测结果</w:t>
      </w:r>
    </w:p>
    <w:p>
      <w:pPr>
        <w:adjustRightInd w:val="0"/>
        <w:snapToGrid w:val="0"/>
        <w:spacing w:line="360" w:lineRule="auto"/>
        <w:ind w:firstLine="480" w:firstLineChars="200"/>
        <w:jc w:val="both"/>
        <w:rPr>
          <w:rFonts w:hint="default"/>
          <w:sz w:val="24"/>
          <w:lang w:val="en-US"/>
        </w:rPr>
      </w:pPr>
      <w:r>
        <w:rPr>
          <w:rFonts w:hint="eastAsia"/>
          <w:sz w:val="24"/>
          <w:lang w:val="en-US" w:eastAsia="zh-CN"/>
        </w:rPr>
        <w:t>废水</w:t>
      </w:r>
      <w:r>
        <w:rPr>
          <w:rFonts w:hint="eastAsia"/>
          <w:sz w:val="24"/>
        </w:rPr>
        <w:t>监测结果见表5-</w:t>
      </w:r>
      <w:r>
        <w:rPr>
          <w:rFonts w:hint="eastAsia"/>
          <w:sz w:val="24"/>
          <w:lang w:val="en-US" w:eastAsia="zh-CN"/>
        </w:rPr>
        <w:t>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center"/>
        <w:textAlignment w:val="auto"/>
        <w:outlineLvl w:val="9"/>
        <w:rPr>
          <w:rFonts w:hint="default"/>
          <w:sz w:val="24"/>
          <w:lang w:val="en-US" w:eastAsia="zh-CN"/>
        </w:rPr>
      </w:pPr>
      <w:r>
        <w:rPr>
          <w:rFonts w:hint="default" w:ascii="Times New Roman" w:hAnsi="Times New Roman" w:eastAsia="宋体" w:cs="Times New Roman"/>
          <w:bCs/>
          <w:sz w:val="24"/>
        </w:rPr>
        <w:t>表5-</w:t>
      </w:r>
      <w:r>
        <w:rPr>
          <w:rFonts w:hint="eastAsia" w:cs="Times New Roman"/>
          <w:bCs/>
          <w:sz w:val="24"/>
          <w:lang w:val="en-US" w:eastAsia="zh-CN"/>
        </w:rPr>
        <w:t xml:space="preserve">14 </w:t>
      </w:r>
      <w:r>
        <w:rPr>
          <w:rFonts w:hint="default" w:ascii="Times New Roman" w:hAnsi="Times New Roman" w:eastAsia="宋体" w:cs="Times New Roman"/>
          <w:bCs/>
          <w:sz w:val="24"/>
        </w:rPr>
        <w:t xml:space="preserve"> </w:t>
      </w:r>
      <w:r>
        <w:rPr>
          <w:rFonts w:hint="eastAsia"/>
          <w:sz w:val="24"/>
          <w:lang w:val="en-US" w:eastAsia="zh-CN"/>
        </w:rPr>
        <w:t>废水</w:t>
      </w:r>
      <w:r>
        <w:rPr>
          <w:rFonts w:hint="default"/>
          <w:sz w:val="24"/>
          <w:lang w:val="en-US" w:eastAsia="zh-CN"/>
        </w:rPr>
        <w:t>监测结果</w:t>
      </w:r>
    </w:p>
    <w:tbl>
      <w:tblPr>
        <w:tblStyle w:val="28"/>
        <w:tblW w:w="9506" w:type="dxa"/>
        <w:tblInd w:w="1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427"/>
        <w:gridCol w:w="1399"/>
        <w:gridCol w:w="1365"/>
        <w:gridCol w:w="1449"/>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tcBorders>
              <w:tl2br w:val="nil"/>
              <w:tr2bl w:val="nil"/>
            </w:tcBorders>
            <w:vAlign w:val="center"/>
          </w:tcPr>
          <w:p>
            <w:pPr>
              <w:spacing w:line="36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检测点位</w:t>
            </w:r>
          </w:p>
        </w:tc>
        <w:tc>
          <w:tcPr>
            <w:tcW w:w="2427"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检测项目</w:t>
            </w:r>
          </w:p>
        </w:tc>
        <w:tc>
          <w:tcPr>
            <w:tcW w:w="5545" w:type="dxa"/>
            <w:gridSpan w:val="4"/>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highlight w:val="none"/>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tcBorders>
              <w:tl2br w:val="nil"/>
              <w:tr2bl w:val="nil"/>
            </w:tcBorders>
            <w:vAlign w:val="center"/>
          </w:tcPr>
          <w:p>
            <w:pPr>
              <w:spacing w:line="36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采样日期</w:t>
            </w:r>
          </w:p>
        </w:tc>
        <w:tc>
          <w:tcPr>
            <w:tcW w:w="2427"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5545" w:type="dxa"/>
            <w:gridSpan w:val="4"/>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restart"/>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污水总排口（2020.09.25）</w:t>
            </w:r>
          </w:p>
        </w:tc>
        <w:tc>
          <w:tcPr>
            <w:tcW w:w="2427"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pH值</w:t>
            </w:r>
          </w:p>
        </w:tc>
        <w:tc>
          <w:tcPr>
            <w:tcW w:w="1399"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7.97</w:t>
            </w:r>
          </w:p>
        </w:tc>
        <w:tc>
          <w:tcPr>
            <w:tcW w:w="1365"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8.03</w:t>
            </w:r>
          </w:p>
        </w:tc>
        <w:tc>
          <w:tcPr>
            <w:tcW w:w="1449" w:type="dxa"/>
            <w:tcBorders>
              <w:tl2br w:val="nil"/>
              <w:tr2bl w:val="nil"/>
            </w:tcBorders>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8.10</w:t>
            </w:r>
          </w:p>
        </w:tc>
        <w:tc>
          <w:tcPr>
            <w:tcW w:w="1332" w:type="dxa"/>
            <w:tcBorders>
              <w:tl2br w:val="nil"/>
              <w:tr2bl w:val="nil"/>
            </w:tcBorders>
            <w:vAlign w:val="center"/>
          </w:tcPr>
          <w:p>
            <w:pPr>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7.97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悬浮物</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25</w:t>
            </w:r>
          </w:p>
        </w:tc>
        <w:tc>
          <w:tcPr>
            <w:tcW w:w="1365"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26</w:t>
            </w:r>
          </w:p>
        </w:tc>
        <w:tc>
          <w:tcPr>
            <w:tcW w:w="1449"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28</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氨氮</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1.91</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1.90</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1.92</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化学需氧量（mg/L）</w:t>
            </w:r>
          </w:p>
        </w:tc>
        <w:tc>
          <w:tcPr>
            <w:tcW w:w="1399"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37</w:t>
            </w:r>
          </w:p>
        </w:tc>
        <w:tc>
          <w:tcPr>
            <w:tcW w:w="1365"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43</w:t>
            </w:r>
          </w:p>
        </w:tc>
        <w:tc>
          <w:tcPr>
            <w:tcW w:w="1449" w:type="dxa"/>
            <w:tcBorders>
              <w:tl2br w:val="nil"/>
              <w:tr2bl w:val="nil"/>
            </w:tcBorders>
            <w:vAlign w:val="center"/>
          </w:tcPr>
          <w:p>
            <w:pPr>
              <w:tabs>
                <w:tab w:val="center" w:pos="3114"/>
                <w:tab w:val="left" w:pos="3870"/>
              </w:tabs>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39</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全盐量</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1423</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1386</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1396</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五日生化需氧量</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14.9</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15.3</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14.6</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c>
          <w:tcPr>
            <w:tcW w:w="2427" w:type="dxa"/>
            <w:tcBorders>
              <w:tl2br w:val="nil"/>
              <w:tr2bl w:val="nil"/>
            </w:tcBorders>
            <w:vAlign w:val="center"/>
          </w:tcPr>
          <w:p>
            <w:pPr>
              <w:jc w:val="center"/>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硫酸盐</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113</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114</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117</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restart"/>
            <w:tcBorders>
              <w:tl2br w:val="nil"/>
              <w:tr2bl w:val="nil"/>
            </w:tcBorders>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污水总排口</w:t>
            </w:r>
            <w:r>
              <w:rPr>
                <w:rFonts w:hint="eastAsia" w:ascii="Times New Roman" w:hAnsi="Times New Roman" w:cs="Times New Roman"/>
                <w:b/>
                <w:bCs/>
                <w:sz w:val="21"/>
                <w:szCs w:val="21"/>
                <w:lang w:eastAsia="zh-CN"/>
              </w:rPr>
              <w:t>（</w:t>
            </w:r>
            <w:r>
              <w:rPr>
                <w:rFonts w:hint="eastAsia" w:ascii="Times New Roman" w:hAnsi="Times New Roman" w:cs="Times New Roman"/>
                <w:b/>
                <w:bCs/>
                <w:sz w:val="21"/>
                <w:szCs w:val="21"/>
                <w:lang w:val="en-US" w:eastAsia="zh-CN"/>
              </w:rPr>
              <w:t>2020.09.26</w:t>
            </w:r>
            <w:r>
              <w:rPr>
                <w:rFonts w:hint="eastAsia" w:ascii="Times New Roman" w:hAnsi="Times New Roman" w:cs="Times New Roman"/>
                <w:b/>
                <w:bCs/>
                <w:sz w:val="21"/>
                <w:szCs w:val="21"/>
                <w:lang w:eastAsia="zh-CN"/>
              </w:rPr>
              <w:t>）</w:t>
            </w: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lang w:eastAsia="zh-CN"/>
              </w:rPr>
              <w:t>pH值</w:t>
            </w:r>
          </w:p>
        </w:tc>
        <w:tc>
          <w:tcPr>
            <w:tcW w:w="1399" w:type="dxa"/>
            <w:tcBorders>
              <w:tl2br w:val="nil"/>
              <w:tr2bl w:val="nil"/>
            </w:tcBorders>
            <w:vAlign w:val="center"/>
          </w:tcPr>
          <w:p>
            <w:pPr>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7.92</w:t>
            </w:r>
          </w:p>
        </w:tc>
        <w:tc>
          <w:tcPr>
            <w:tcW w:w="1365" w:type="dxa"/>
            <w:tcBorders>
              <w:tl2br w:val="nil"/>
              <w:tr2bl w:val="nil"/>
            </w:tcBorders>
            <w:vAlign w:val="center"/>
          </w:tcPr>
          <w:p>
            <w:pPr>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8.03</w:t>
            </w:r>
          </w:p>
        </w:tc>
        <w:tc>
          <w:tcPr>
            <w:tcW w:w="1449" w:type="dxa"/>
            <w:tcBorders>
              <w:tl2br w:val="nil"/>
              <w:tr2bl w:val="nil"/>
            </w:tcBorders>
            <w:vAlign w:val="center"/>
          </w:tcPr>
          <w:p>
            <w:pPr>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7.99</w:t>
            </w:r>
          </w:p>
        </w:tc>
        <w:tc>
          <w:tcPr>
            <w:tcW w:w="1332" w:type="dxa"/>
            <w:tcBorders>
              <w:tl2br w:val="nil"/>
              <w:tr2bl w:val="nil"/>
            </w:tcBorders>
            <w:vAlign w:val="center"/>
          </w:tcPr>
          <w:p>
            <w:pPr>
              <w:jc w:val="center"/>
              <w:rPr>
                <w:rFonts w:hint="default" w:ascii="Times New Roman" w:hAnsi="Times New Roman"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7.93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sz w:val="21"/>
                <w:szCs w:val="21"/>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eastAsia" w:ascii="Times New Roman" w:hAnsi="Times New Roman" w:cs="Times New Roman"/>
                <w:b/>
                <w:bCs/>
                <w:sz w:val="21"/>
                <w:szCs w:val="21"/>
                <w:lang w:eastAsia="zh-CN"/>
              </w:rPr>
              <w:t>悬浮物</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28</w:t>
            </w:r>
          </w:p>
        </w:tc>
        <w:tc>
          <w:tcPr>
            <w:tcW w:w="1365"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25</w:t>
            </w:r>
          </w:p>
        </w:tc>
        <w:tc>
          <w:tcPr>
            <w:tcW w:w="144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26</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eastAsia" w:ascii="Times New Roman" w:hAnsi="Times New Roman" w:cs="Times New Roman"/>
                <w:b/>
                <w:bCs/>
                <w:sz w:val="21"/>
                <w:szCs w:val="21"/>
                <w:lang w:val="en-US" w:eastAsia="zh-CN"/>
              </w:rPr>
              <w:t>氨氮</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1.87</w:t>
            </w:r>
          </w:p>
        </w:tc>
        <w:tc>
          <w:tcPr>
            <w:tcW w:w="1365"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1.88</w:t>
            </w:r>
          </w:p>
        </w:tc>
        <w:tc>
          <w:tcPr>
            <w:tcW w:w="144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1.91</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化学需氧量（mg/L）</w:t>
            </w:r>
          </w:p>
        </w:tc>
        <w:tc>
          <w:tcPr>
            <w:tcW w:w="139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31</w:t>
            </w:r>
          </w:p>
        </w:tc>
        <w:tc>
          <w:tcPr>
            <w:tcW w:w="1365"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33</w:t>
            </w:r>
          </w:p>
        </w:tc>
        <w:tc>
          <w:tcPr>
            <w:tcW w:w="1449" w:type="dxa"/>
            <w:tcBorders>
              <w:tl2br w:val="nil"/>
              <w:tr2bl w:val="nil"/>
            </w:tcBorders>
            <w:vAlign w:val="center"/>
          </w:tcPr>
          <w:p>
            <w:pPr>
              <w:tabs>
                <w:tab w:val="center" w:pos="3114"/>
                <w:tab w:val="left" w:pos="3870"/>
              </w:tabs>
              <w:jc w:val="center"/>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39</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p>
        </w:tc>
        <w:tc>
          <w:tcPr>
            <w:tcW w:w="2427" w:type="dxa"/>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全盐量</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1376</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1410</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1332</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p>
        </w:tc>
        <w:tc>
          <w:tcPr>
            <w:tcW w:w="2427" w:type="dxa"/>
            <w:tcBorders>
              <w:tl2br w:val="nil"/>
              <w:tr2bl w:val="nil"/>
            </w:tcBorders>
            <w:vAlign w:val="center"/>
          </w:tcPr>
          <w:p>
            <w:pPr>
              <w:jc w:val="center"/>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五日生化需氧量</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14.5</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15.3</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14.3</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34" w:type="dxa"/>
            <w:vMerge w:val="continue"/>
            <w:tcBorders>
              <w:tl2br w:val="nil"/>
              <w:tr2bl w:val="nil"/>
            </w:tcBorders>
            <w:vAlign w:val="center"/>
          </w:tcPr>
          <w:p>
            <w:pPr>
              <w:jc w:val="center"/>
              <w:rPr>
                <w:rFonts w:hint="default" w:ascii="Times New Roman" w:hAnsi="Times New Roman" w:eastAsia="宋体" w:cs="Times New Roman"/>
                <w:b/>
                <w:bCs/>
                <w:sz w:val="21"/>
                <w:szCs w:val="21"/>
                <w:highlight w:val="none"/>
                <w:lang w:eastAsia="zh-CN"/>
              </w:rPr>
            </w:pPr>
          </w:p>
        </w:tc>
        <w:tc>
          <w:tcPr>
            <w:tcW w:w="2427" w:type="dxa"/>
            <w:tcBorders>
              <w:tl2br w:val="nil"/>
              <w:tr2bl w:val="nil"/>
            </w:tcBorders>
            <w:vAlign w:val="center"/>
          </w:tcPr>
          <w:p>
            <w:pPr>
              <w:jc w:val="center"/>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硫酸盐</w:t>
            </w:r>
            <w:r>
              <w:rPr>
                <w:rFonts w:hint="default" w:ascii="Times New Roman" w:hAnsi="Times New Roman" w:eastAsia="宋体" w:cs="Times New Roman"/>
                <w:b/>
                <w:bCs/>
                <w:sz w:val="21"/>
                <w:szCs w:val="21"/>
                <w:highlight w:val="none"/>
                <w:lang w:val="en-US" w:eastAsia="zh-CN"/>
              </w:rPr>
              <w:t>（mg/L）</w:t>
            </w:r>
          </w:p>
        </w:tc>
        <w:tc>
          <w:tcPr>
            <w:tcW w:w="139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113</w:t>
            </w:r>
          </w:p>
        </w:tc>
        <w:tc>
          <w:tcPr>
            <w:tcW w:w="1365"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114</w:t>
            </w:r>
          </w:p>
        </w:tc>
        <w:tc>
          <w:tcPr>
            <w:tcW w:w="1449"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111</w:t>
            </w:r>
          </w:p>
        </w:tc>
        <w:tc>
          <w:tcPr>
            <w:tcW w:w="1332" w:type="dxa"/>
            <w:tcBorders>
              <w:tl2br w:val="nil"/>
              <w:tr2bl w:val="nil"/>
            </w:tcBorders>
            <w:vAlign w:val="center"/>
          </w:tcPr>
          <w:p>
            <w:pPr>
              <w:tabs>
                <w:tab w:val="center" w:pos="3114"/>
                <w:tab w:val="left" w:pos="3870"/>
              </w:tabs>
              <w:jc w:val="center"/>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3961" w:type="dxa"/>
            <w:gridSpan w:val="2"/>
            <w:tcBorders>
              <w:tl2br w:val="nil"/>
              <w:tr2bl w:val="nil"/>
            </w:tcBorders>
            <w:vAlign w:val="center"/>
          </w:tcPr>
          <w:p>
            <w:pPr>
              <w:jc w:val="center"/>
              <w:rPr>
                <w:rFonts w:hint="eastAsia" w:ascii="Times New Roman" w:hAnsi="Times New Roman" w:cs="Times New Roman"/>
                <w:b/>
                <w:bCs/>
                <w:sz w:val="21"/>
                <w:szCs w:val="21"/>
                <w:lang w:val="en-US" w:eastAsia="zh-CN"/>
              </w:rPr>
            </w:pPr>
            <w:r>
              <w:rPr>
                <w:rFonts w:hint="default" w:ascii="Times New Roman" w:hAnsi="Times New Roman" w:eastAsia="宋体" w:cs="Times New Roman"/>
                <w:b/>
                <w:bCs/>
                <w:sz w:val="21"/>
                <w:szCs w:val="21"/>
                <w:lang w:val="en-US" w:eastAsia="zh-CN"/>
              </w:rPr>
              <w:t>备注</w:t>
            </w:r>
          </w:p>
        </w:tc>
        <w:tc>
          <w:tcPr>
            <w:tcW w:w="5545" w:type="dxa"/>
            <w:gridSpan w:val="4"/>
            <w:tcBorders>
              <w:tl2br w:val="nil"/>
              <w:tr2bl w:val="nil"/>
            </w:tcBorders>
            <w:vAlign w:val="center"/>
          </w:tcPr>
          <w:p>
            <w:pPr>
              <w:jc w:val="center"/>
              <w:rPr>
                <w:rFonts w:hint="eastAsia" w:ascii="Times New Roman" w:hAnsi="Times New Roman" w:cs="Times New Roman"/>
                <w:kern w:val="2"/>
                <w:sz w:val="21"/>
                <w:szCs w:val="21"/>
                <w:highlight w:val="yellow"/>
                <w:lang w:val="en-US" w:eastAsia="zh-CN" w:bidi="ar-SA"/>
              </w:rPr>
            </w:pPr>
            <w:r>
              <w:rPr>
                <w:rFonts w:hint="default" w:ascii="Times New Roman" w:hAnsi="Times New Roman" w:eastAsia="宋体" w:cs="Times New Roman"/>
                <w:kern w:val="2"/>
                <w:sz w:val="21"/>
                <w:szCs w:val="21"/>
                <w:lang w:val="en-US" w:eastAsia="zh-CN" w:bidi="ar-SA"/>
              </w:rPr>
              <w:t>pH</w:t>
            </w: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无量纲。</w:t>
            </w:r>
          </w:p>
        </w:tc>
      </w:tr>
    </w:tbl>
    <w:p>
      <w:pPr>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eastAsiaTheme="minorEastAsia"/>
          <w:bCs/>
          <w:sz w:val="24"/>
          <w:szCs w:val="24"/>
          <w:highlight w:val="none"/>
        </w:rPr>
        <w:t>验收监测期间，该项目</w:t>
      </w:r>
      <w:r>
        <w:rPr>
          <w:rFonts w:hint="eastAsia" w:ascii="Times New Roman" w:hAnsi="Times New Roman" w:eastAsia="宋体" w:cs="Times New Roman"/>
          <w:sz w:val="24"/>
          <w:szCs w:val="24"/>
          <w:lang w:eastAsia="zh-CN"/>
        </w:rPr>
        <w:t>污水总排口</w:t>
      </w:r>
      <w:r>
        <w:rPr>
          <w:rFonts w:hint="eastAsia" w:ascii="Times New Roman" w:hAnsi="Times New Roman" w:eastAsia="宋体" w:cs="Times New Roman"/>
          <w:b w:val="0"/>
          <w:bCs w:val="0"/>
          <w:sz w:val="24"/>
          <w:szCs w:val="24"/>
          <w:lang w:eastAsia="zh-CN"/>
        </w:rPr>
        <w:t>中</w:t>
      </w:r>
      <w:r>
        <w:rPr>
          <w:rFonts w:hint="eastAsia" w:cs="Times New Roman"/>
          <w:b w:val="0"/>
          <w:bCs w:val="0"/>
          <w:kern w:val="2"/>
          <w:sz w:val="24"/>
          <w:szCs w:val="24"/>
          <w:highlight w:val="none"/>
          <w:lang w:val="en-US" w:eastAsia="zh-CN" w:bidi="ar-SA"/>
        </w:rPr>
        <w:t>两天测得</w:t>
      </w:r>
      <w:r>
        <w:rPr>
          <w:rFonts w:hint="default" w:ascii="Times New Roman" w:hAnsi="Times New Roman" w:eastAsia="宋体" w:cs="Times New Roman"/>
          <w:b w:val="0"/>
          <w:bCs w:val="0"/>
          <w:sz w:val="24"/>
          <w:szCs w:val="24"/>
          <w:lang w:eastAsia="zh-CN"/>
        </w:rPr>
        <w:t>pH值</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sz w:val="24"/>
          <w:szCs w:val="24"/>
          <w:lang w:eastAsia="zh-CN"/>
        </w:rPr>
        <w:t>范围为</w:t>
      </w:r>
      <w:r>
        <w:rPr>
          <w:rFonts w:hint="eastAsia" w:cs="Times New Roman"/>
          <w:b w:val="0"/>
          <w:bCs w:val="0"/>
          <w:sz w:val="24"/>
          <w:szCs w:val="24"/>
          <w:lang w:val="en-US" w:eastAsia="zh-CN"/>
        </w:rPr>
        <w:t>7.92-</w:t>
      </w:r>
      <w:r>
        <w:rPr>
          <w:rFonts w:hint="eastAsia" w:cs="Times New Roman"/>
          <w:b w:val="0"/>
          <w:bCs w:val="0"/>
          <w:kern w:val="2"/>
          <w:sz w:val="24"/>
          <w:szCs w:val="24"/>
          <w:highlight w:val="none"/>
          <w:lang w:val="en-US" w:eastAsia="zh-CN" w:bidi="ar-SA"/>
        </w:rPr>
        <w:t>8.10（无量纲）</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悬浮物</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28</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lang w:val="en-US" w:eastAsia="zh-CN"/>
        </w:rPr>
        <w:t>氨氮</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1.92</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化学需氧量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43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全盐量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1423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五日生化需氧量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15.3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硫酸盐</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sz w:val="24"/>
          <w:szCs w:val="24"/>
          <w:lang w:val="en-US" w:eastAsia="zh-CN"/>
        </w:rPr>
        <w:t>117</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lang w:eastAsia="zh-CN"/>
        </w:rPr>
        <w:t>满足</w:t>
      </w:r>
      <w:r>
        <w:rPr>
          <w:rFonts w:hint="default" w:ascii="Times New Roman" w:hAnsi="Times New Roman" w:eastAsia="宋体" w:cs="Times New Roman"/>
          <w:sz w:val="24"/>
          <w:szCs w:val="24"/>
        </w:rPr>
        <w:t>《硫酸工业污染物排放标准》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w:t>
      </w:r>
      <w:r>
        <w:rPr>
          <w:rFonts w:hint="eastAsia" w:cs="Times New Roman"/>
          <w:sz w:val="24"/>
          <w:szCs w:val="24"/>
          <w:lang w:eastAsia="zh-CN"/>
        </w:rPr>
        <w:t>及</w:t>
      </w:r>
      <w:r>
        <w:rPr>
          <w:rFonts w:hint="eastAsia" w:cs="Times New Roman"/>
          <w:b w:val="0"/>
          <w:bCs w:val="0"/>
          <w:sz w:val="24"/>
          <w:szCs w:val="24"/>
          <w:lang w:eastAsia="zh-CN"/>
        </w:rPr>
        <w:t>《污水排入城镇下水道水质标准》(CJ34</w:t>
      </w:r>
      <w:r>
        <w:rPr>
          <w:rFonts w:hint="eastAsia" w:cs="Times New Roman"/>
          <w:sz w:val="24"/>
          <w:szCs w:val="24"/>
          <w:lang w:eastAsia="zh-CN"/>
        </w:rPr>
        <w:t>3-2010)</w:t>
      </w:r>
      <w:r>
        <w:rPr>
          <w:rFonts w:hint="default" w:ascii="Times New Roman" w:hAnsi="Times New Roman" w:eastAsia="宋体" w:cs="Times New Roman"/>
          <w:sz w:val="24"/>
          <w:szCs w:val="24"/>
        </w:rPr>
        <w:t>表1中B等级标准</w:t>
      </w:r>
      <w:r>
        <w:rPr>
          <w:rFonts w:hint="eastAsia" w:ascii="Times New Roman" w:hAnsi="Times New Roman" w:eastAsia="宋体" w:cs="Times New Roman"/>
          <w:sz w:val="24"/>
          <w:szCs w:val="24"/>
          <w:lang w:eastAsia="zh-CN"/>
        </w:rPr>
        <w:t>要求。</w:t>
      </w:r>
    </w:p>
    <w:p>
      <w:pPr>
        <w:pStyle w:val="6"/>
        <w:rPr>
          <w:rFonts w:hint="eastAsia"/>
        </w:rPr>
      </w:pPr>
      <w:r>
        <w:rPr>
          <w:rFonts w:hint="eastAsia"/>
        </w:rPr>
        <w:t>5.</w:t>
      </w:r>
      <w:r>
        <w:rPr>
          <w:rFonts w:hint="eastAsia"/>
          <w:lang w:val="en-US" w:eastAsia="zh-CN"/>
        </w:rPr>
        <w:t>3</w:t>
      </w:r>
      <w:r>
        <w:rPr>
          <w:rFonts w:hint="eastAsia"/>
        </w:rPr>
        <w:t xml:space="preserve"> 噪声监测因子及监测结果评价</w:t>
      </w:r>
    </w:p>
    <w:p>
      <w:pPr>
        <w:pStyle w:val="7"/>
        <w:rPr>
          <w:rFonts w:hint="eastAsia" w:ascii="宋体" w:hAnsi="宋体" w:eastAsia="宋体" w:cs="宋体"/>
        </w:rPr>
      </w:pPr>
      <w:bookmarkStart w:id="126" w:name="_Toc20600"/>
      <w:bookmarkStart w:id="127" w:name="_Toc12229_WPSOffice_Level3"/>
      <w:r>
        <w:rPr>
          <w:rFonts w:hint="eastAsia" w:ascii="宋体" w:hAnsi="宋体" w:eastAsia="宋体" w:cs="宋体"/>
        </w:rPr>
        <w:t>5.</w:t>
      </w:r>
      <w:r>
        <w:rPr>
          <w:rFonts w:hint="eastAsia" w:ascii="宋体" w:hAnsi="宋体" w:cs="宋体"/>
          <w:lang w:val="en-US" w:eastAsia="zh-CN"/>
        </w:rPr>
        <w:t>3</w:t>
      </w:r>
      <w:r>
        <w:rPr>
          <w:rFonts w:hint="eastAsia" w:ascii="宋体" w:hAnsi="宋体" w:eastAsia="宋体" w:cs="宋体"/>
        </w:rPr>
        <w:t>.1监测点位、监测因子</w:t>
      </w:r>
      <w:bookmarkEnd w:id="126"/>
      <w:bookmarkEnd w:id="127"/>
    </w:p>
    <w:p>
      <w:pPr>
        <w:spacing w:line="480" w:lineRule="exact"/>
        <w:ind w:firstLine="480" w:firstLineChars="20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噪声监测布点及监测因子见表5-</w:t>
      </w:r>
      <w:r>
        <w:rPr>
          <w:rFonts w:hint="default" w:ascii="Times New Roman" w:hAnsi="Times New Roman" w:cs="Times New Roman"/>
          <w:b w:val="0"/>
          <w:bCs w:val="0"/>
          <w:sz w:val="24"/>
          <w:lang w:val="en-US" w:eastAsia="zh-CN"/>
        </w:rPr>
        <w:t>15</w:t>
      </w:r>
      <w:r>
        <w:rPr>
          <w:rFonts w:hint="default" w:ascii="Times New Roman" w:hAnsi="Times New Roman" w:eastAsia="宋体" w:cs="Times New Roman"/>
          <w:b w:val="0"/>
          <w:bCs w:val="0"/>
          <w:sz w:val="24"/>
        </w:rPr>
        <w:t>，监测点位见图5-</w:t>
      </w:r>
      <w:r>
        <w:rPr>
          <w:rFonts w:hint="default" w:ascii="Times New Roman" w:hAnsi="Times New Roman" w:cs="Times New Roman"/>
          <w:b w:val="0"/>
          <w:bCs w:val="0"/>
          <w:sz w:val="24"/>
          <w:lang w:val="en-US" w:eastAsia="zh-CN"/>
        </w:rPr>
        <w:t>1</w:t>
      </w:r>
      <w:r>
        <w:rPr>
          <w:rFonts w:hint="default" w:ascii="Times New Roman" w:hAnsi="Times New Roman" w:eastAsia="宋体" w:cs="Times New Roman"/>
          <w:b w:val="0"/>
          <w:bCs w:val="0"/>
          <w:sz w:val="24"/>
        </w:rPr>
        <w:t>。</w:t>
      </w:r>
    </w:p>
    <w:p>
      <w:pPr>
        <w:spacing w:line="480" w:lineRule="exact"/>
        <w:jc w:val="center"/>
        <w:rPr>
          <w:rFonts w:hint="default" w:ascii="Times New Roman" w:hAnsi="Times New Roman" w:eastAsia="宋体" w:cs="Times New Roman"/>
          <w:sz w:val="24"/>
        </w:rPr>
      </w:pPr>
      <w:bookmarkStart w:id="128" w:name="_Toc15783_WPSOffice_Level2"/>
      <w:r>
        <w:rPr>
          <w:rFonts w:hint="default" w:ascii="Times New Roman" w:hAnsi="Times New Roman" w:eastAsia="宋体" w:cs="Times New Roman"/>
          <w:sz w:val="24"/>
          <w:highlight w:val="none"/>
        </w:rPr>
        <w:t>表5-</w:t>
      </w:r>
      <w:r>
        <w:rPr>
          <w:rFonts w:hint="eastAsia" w:cs="Times New Roman"/>
          <w:sz w:val="24"/>
          <w:highlight w:val="none"/>
          <w:lang w:val="en-US" w:eastAsia="zh-CN"/>
        </w:rPr>
        <w:t>15</w:t>
      </w:r>
      <w:r>
        <w:rPr>
          <w:rFonts w:hint="default" w:ascii="Times New Roman" w:hAnsi="Times New Roman" w:eastAsia="宋体" w:cs="Times New Roman"/>
          <w:sz w:val="24"/>
          <w:highlight w:val="none"/>
        </w:rPr>
        <w:t xml:space="preserve">  噪声监</w:t>
      </w:r>
      <w:r>
        <w:rPr>
          <w:rFonts w:hint="default" w:ascii="Times New Roman" w:hAnsi="Times New Roman" w:eastAsia="宋体" w:cs="Times New Roman"/>
          <w:sz w:val="24"/>
        </w:rPr>
        <w:t>测点位及监测因子设置</w:t>
      </w:r>
      <w:bookmarkEnd w:id="128"/>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841"/>
        <w:gridCol w:w="3406"/>
        <w:gridCol w:w="25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5" w:type="dxa"/>
            <w:tcBorders>
              <w:tl2br w:val="nil"/>
              <w:tr2bl w:val="nil"/>
            </w:tcBorders>
            <w:vAlign w:val="center"/>
          </w:tcPr>
          <w:p>
            <w:pPr>
              <w:spacing w:line="280" w:lineRule="exact"/>
              <w:jc w:val="center"/>
              <w:rPr>
                <w:rFonts w:hint="default" w:ascii="Times New Roman" w:hAnsi="Times New Roman" w:cs="Times New Roman"/>
                <w:b/>
                <w:bCs/>
                <w:szCs w:val="21"/>
              </w:rPr>
            </w:pPr>
            <w:r>
              <w:rPr>
                <w:rFonts w:hint="default" w:ascii="Times New Roman" w:hAnsi="Times New Roman" w:cs="Times New Roman"/>
                <w:b/>
                <w:bCs/>
                <w:szCs w:val="21"/>
              </w:rPr>
              <w:t>编号</w:t>
            </w:r>
          </w:p>
        </w:tc>
        <w:tc>
          <w:tcPr>
            <w:tcW w:w="2841" w:type="dxa"/>
            <w:tcBorders>
              <w:tl2br w:val="nil"/>
              <w:tr2bl w:val="nil"/>
            </w:tcBorders>
            <w:vAlign w:val="center"/>
          </w:tcPr>
          <w:p>
            <w:pPr>
              <w:spacing w:line="280" w:lineRule="exact"/>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3406" w:type="dxa"/>
            <w:tcBorders>
              <w:tl2br w:val="nil"/>
              <w:tr2bl w:val="nil"/>
            </w:tcBorders>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2582" w:type="dxa"/>
            <w:tcBorders>
              <w:tl2br w:val="nil"/>
              <w:tr2bl w:val="nil"/>
            </w:tcBorders>
            <w:vAlign w:val="center"/>
          </w:tcPr>
          <w:p>
            <w:pPr>
              <w:spacing w:line="320" w:lineRule="exact"/>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5"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841"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北</w:t>
            </w:r>
            <w:r>
              <w:rPr>
                <w:rFonts w:hint="default" w:ascii="Times New Roman" w:hAnsi="Times New Roman" w:cs="Times New Roman"/>
                <w:color w:val="auto"/>
                <w:szCs w:val="21"/>
              </w:rPr>
              <w:t>厂界</w:t>
            </w:r>
          </w:p>
        </w:tc>
        <w:tc>
          <w:tcPr>
            <w:tcW w:w="3406" w:type="dxa"/>
            <w:vMerge w:val="restar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等效连续噪声级（Leq）</w:t>
            </w:r>
          </w:p>
        </w:tc>
        <w:tc>
          <w:tcPr>
            <w:tcW w:w="2582" w:type="dxa"/>
            <w:vMerge w:val="restar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r>
              <w:rPr>
                <w:rFonts w:hint="eastAsia" w:cs="Times New Roman"/>
                <w:color w:val="auto"/>
                <w:szCs w:val="21"/>
                <w:lang w:eastAsia="zh-CN"/>
              </w:rPr>
              <w:t>、夜间各</w:t>
            </w:r>
            <w:r>
              <w:rPr>
                <w:rFonts w:hint="default" w:ascii="Times New Roman" w:hAnsi="Times New Roman" w:cs="Times New Roman"/>
                <w:color w:val="auto"/>
                <w:szCs w:val="21"/>
              </w:rPr>
              <w:t>监测</w:t>
            </w:r>
            <w:r>
              <w:rPr>
                <w:rFonts w:hint="eastAsia" w:cs="Times New Roman"/>
                <w:color w:val="auto"/>
                <w:szCs w:val="21"/>
                <w:lang w:val="en-US" w:eastAsia="zh-CN"/>
              </w:rPr>
              <w:t>1</w:t>
            </w:r>
            <w:r>
              <w:rPr>
                <w:rFonts w:hint="default" w:ascii="Times New Roman" w:hAnsi="Times New Roman" w:cs="Times New Roman"/>
                <w:color w:val="auto"/>
                <w:szCs w:val="21"/>
              </w:rPr>
              <w:t>次，连续2天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5"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841"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西</w:t>
            </w:r>
            <w:r>
              <w:rPr>
                <w:rFonts w:hint="default" w:ascii="Times New Roman" w:hAnsi="Times New Roman" w:cs="Times New Roman"/>
                <w:color w:val="auto"/>
                <w:szCs w:val="21"/>
              </w:rPr>
              <w:t>厂界</w:t>
            </w:r>
          </w:p>
        </w:tc>
        <w:tc>
          <w:tcPr>
            <w:tcW w:w="3406" w:type="dxa"/>
            <w:vMerge w:val="continue"/>
            <w:tcBorders>
              <w:tl2br w:val="nil"/>
              <w:tr2bl w:val="nil"/>
            </w:tcBorders>
            <w:vAlign w:val="center"/>
          </w:tcPr>
          <w:p>
            <w:pPr>
              <w:spacing w:line="320" w:lineRule="exact"/>
              <w:jc w:val="center"/>
              <w:rPr>
                <w:rFonts w:hint="default" w:ascii="Times New Roman" w:hAnsi="Times New Roman" w:cs="Times New Roman"/>
                <w:color w:val="auto"/>
                <w:szCs w:val="21"/>
              </w:rPr>
            </w:pPr>
          </w:p>
        </w:tc>
        <w:tc>
          <w:tcPr>
            <w:tcW w:w="2582" w:type="dxa"/>
            <w:vMerge w:val="continue"/>
            <w:tcBorders>
              <w:tl2br w:val="nil"/>
              <w:tr2bl w:val="nil"/>
            </w:tcBorders>
            <w:vAlign w:val="center"/>
          </w:tcPr>
          <w:p>
            <w:pPr>
              <w:spacing w:line="320" w:lineRule="exact"/>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5"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841" w:type="dxa"/>
            <w:tcBorders>
              <w:tl2br w:val="nil"/>
              <w:tr2bl w:val="nil"/>
            </w:tcBorders>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南</w:t>
            </w:r>
            <w:r>
              <w:rPr>
                <w:rFonts w:hint="default" w:ascii="Times New Roman" w:hAnsi="Times New Roman" w:cs="Times New Roman"/>
                <w:color w:val="auto"/>
                <w:szCs w:val="21"/>
              </w:rPr>
              <w:t>厂界</w:t>
            </w:r>
          </w:p>
        </w:tc>
        <w:tc>
          <w:tcPr>
            <w:tcW w:w="3406" w:type="dxa"/>
            <w:vMerge w:val="continue"/>
            <w:tcBorders>
              <w:tl2br w:val="nil"/>
              <w:tr2bl w:val="nil"/>
            </w:tcBorders>
            <w:vAlign w:val="center"/>
          </w:tcPr>
          <w:p>
            <w:pPr>
              <w:spacing w:line="320" w:lineRule="exact"/>
              <w:jc w:val="center"/>
              <w:rPr>
                <w:rFonts w:hint="default" w:ascii="Times New Roman" w:hAnsi="Times New Roman" w:cs="Times New Roman"/>
                <w:color w:val="auto"/>
                <w:szCs w:val="21"/>
              </w:rPr>
            </w:pPr>
          </w:p>
        </w:tc>
        <w:tc>
          <w:tcPr>
            <w:tcW w:w="2582" w:type="dxa"/>
            <w:vMerge w:val="continue"/>
            <w:tcBorders>
              <w:tl2br w:val="nil"/>
              <w:tr2bl w:val="nil"/>
            </w:tcBorders>
            <w:vAlign w:val="center"/>
          </w:tcPr>
          <w:p>
            <w:pPr>
              <w:spacing w:line="320" w:lineRule="exact"/>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5" w:type="dxa"/>
            <w:tcBorders>
              <w:tl2br w:val="nil"/>
              <w:tr2bl w:val="nil"/>
            </w:tcBorders>
            <w:vAlign w:val="center"/>
          </w:tcPr>
          <w:p>
            <w:pPr>
              <w:spacing w:line="280" w:lineRule="exact"/>
              <w:jc w:val="center"/>
              <w:rPr>
                <w:rFonts w:hint="default" w:ascii="Times New Roman" w:hAnsi="Times New Roman" w:cs="Times New Roman"/>
                <w:szCs w:val="21"/>
              </w:rPr>
            </w:pPr>
            <w:r>
              <w:rPr>
                <w:rFonts w:hint="default" w:ascii="Times New Roman" w:hAnsi="Times New Roman" w:cs="Times New Roman"/>
                <w:szCs w:val="21"/>
              </w:rPr>
              <w:t>4#</w:t>
            </w:r>
          </w:p>
        </w:tc>
        <w:tc>
          <w:tcPr>
            <w:tcW w:w="2841" w:type="dxa"/>
            <w:tcBorders>
              <w:tl2br w:val="nil"/>
              <w:tr2bl w:val="nil"/>
            </w:tcBorders>
            <w:vAlign w:val="center"/>
          </w:tcPr>
          <w:p>
            <w:pPr>
              <w:spacing w:line="28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东</w:t>
            </w:r>
            <w:r>
              <w:rPr>
                <w:rFonts w:hint="default" w:ascii="Times New Roman" w:hAnsi="Times New Roman" w:cs="Times New Roman"/>
                <w:szCs w:val="21"/>
              </w:rPr>
              <w:t>厂界</w:t>
            </w:r>
          </w:p>
        </w:tc>
        <w:tc>
          <w:tcPr>
            <w:tcW w:w="3406" w:type="dxa"/>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2582" w:type="dxa"/>
            <w:vMerge w:val="continue"/>
            <w:tcBorders>
              <w:tl2br w:val="nil"/>
              <w:tr2bl w:val="nil"/>
            </w:tcBorders>
            <w:vAlign w:val="center"/>
          </w:tcPr>
          <w:p>
            <w:pPr>
              <w:spacing w:line="320" w:lineRule="exact"/>
              <w:jc w:val="center"/>
              <w:rPr>
                <w:rFonts w:hint="default" w:ascii="Times New Roman" w:hAnsi="Times New Roman" w:cs="Times New Roman"/>
                <w:szCs w:val="21"/>
              </w:rPr>
            </w:pPr>
          </w:p>
        </w:tc>
      </w:tr>
    </w:tbl>
    <w:p>
      <w:pPr>
        <w:pStyle w:val="7"/>
        <w:rPr>
          <w:rFonts w:hint="default"/>
        </w:rPr>
      </w:pPr>
      <w:bookmarkStart w:id="129" w:name="_Toc8289_WPSOffice_Level3"/>
      <w:bookmarkStart w:id="130" w:name="_Toc9904"/>
      <w:r>
        <w:rPr>
          <w:rFonts w:hint="default"/>
        </w:rPr>
        <w:t>5.</w:t>
      </w:r>
      <w:r>
        <w:rPr>
          <w:rFonts w:hint="eastAsia"/>
          <w:lang w:val="en-US" w:eastAsia="zh-CN"/>
        </w:rPr>
        <w:t>3</w:t>
      </w:r>
      <w:r>
        <w:rPr>
          <w:rFonts w:hint="default"/>
        </w:rPr>
        <w:t>.2 监测分析方法及仪器</w:t>
      </w:r>
      <w:bookmarkEnd w:id="129"/>
      <w:bookmarkEnd w:id="130"/>
    </w:p>
    <w:p>
      <w:pPr>
        <w:pStyle w:val="7"/>
        <w:rPr>
          <w:rFonts w:hint="default" w:ascii="Times New Roman" w:hAnsi="Times New Roman" w:eastAsia="宋体" w:cs="Times New Roman"/>
          <w:b w:val="0"/>
          <w:bCs w:val="0"/>
          <w:sz w:val="24"/>
        </w:rPr>
      </w:pPr>
      <w:r>
        <w:rPr>
          <w:rFonts w:hint="default" w:ascii="Times New Roman" w:hAnsi="Times New Roman" w:cs="Times New Roman"/>
          <w:b w:val="0"/>
          <w:bCs w:val="0"/>
          <w:sz w:val="24"/>
        </w:rPr>
        <w:t>监测分析方法及仪器见表5-</w:t>
      </w:r>
      <w:r>
        <w:rPr>
          <w:rFonts w:hint="eastAsia" w:cs="Times New Roman"/>
          <w:b w:val="0"/>
          <w:bCs w:val="0"/>
          <w:sz w:val="24"/>
          <w:lang w:val="en-US" w:eastAsia="zh-CN"/>
        </w:rPr>
        <w:t>16</w:t>
      </w:r>
      <w:r>
        <w:rPr>
          <w:rFonts w:hint="default" w:ascii="Times New Roman" w:hAnsi="Times New Roman" w:cs="Times New Roman"/>
          <w:b w:val="0"/>
          <w:bCs w:val="0"/>
          <w:sz w:val="24"/>
        </w:rPr>
        <w:t>。</w:t>
      </w:r>
    </w:p>
    <w:p>
      <w:pPr>
        <w:adjustRightInd w:val="0"/>
        <w:snapToGrid w:val="0"/>
        <w:spacing w:line="480" w:lineRule="exact"/>
        <w:ind w:firstLine="2880" w:firstLineChars="1200"/>
        <w:jc w:val="both"/>
        <w:rPr>
          <w:rFonts w:hint="default" w:ascii="Times New Roman" w:hAnsi="Times New Roman" w:eastAsia="宋体" w:cs="Times New Roman"/>
          <w:bCs/>
          <w:sz w:val="24"/>
        </w:rPr>
      </w:pPr>
      <w:r>
        <w:rPr>
          <w:rFonts w:hint="default" w:ascii="Times New Roman" w:hAnsi="Times New Roman" w:eastAsia="宋体" w:cs="Times New Roman"/>
          <w:bCs/>
          <w:sz w:val="24"/>
        </w:rPr>
        <w:t>表5-</w:t>
      </w:r>
      <w:r>
        <w:rPr>
          <w:rFonts w:hint="eastAsia" w:cs="Times New Roman"/>
          <w:bCs/>
          <w:sz w:val="24"/>
          <w:lang w:val="en-US" w:eastAsia="zh-CN"/>
        </w:rPr>
        <w:t>16</w:t>
      </w:r>
      <w:r>
        <w:rPr>
          <w:rFonts w:hint="default" w:ascii="Times New Roman" w:hAnsi="Times New Roman" w:eastAsia="宋体" w:cs="Times New Roman"/>
          <w:bCs/>
          <w:sz w:val="24"/>
        </w:rPr>
        <w:t>噪声监测、分析方法及仪器</w:t>
      </w:r>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817"/>
        <w:gridCol w:w="3586"/>
        <w:gridCol w:w="3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2" w:type="dxa"/>
            <w:tcBorders>
              <w:tl2br w:val="nil"/>
              <w:tr2bl w:val="nil"/>
            </w:tcBorders>
            <w:vAlign w:val="center"/>
          </w:tcPr>
          <w:p>
            <w:pPr>
              <w:widowControl/>
              <w:adjustRightInd w:val="0"/>
              <w:snapToGrid w:val="0"/>
              <w:spacing w:line="260" w:lineRule="exact"/>
              <w:jc w:val="center"/>
              <w:rPr>
                <w:b/>
                <w:bCs/>
                <w:kern w:val="0"/>
                <w:szCs w:val="21"/>
              </w:rPr>
            </w:pPr>
            <w:r>
              <w:rPr>
                <w:rFonts w:hAnsi="宋体"/>
                <w:b/>
                <w:bCs/>
                <w:kern w:val="0"/>
                <w:szCs w:val="21"/>
              </w:rPr>
              <w:t>项目名称</w:t>
            </w:r>
          </w:p>
        </w:tc>
        <w:tc>
          <w:tcPr>
            <w:tcW w:w="1817" w:type="dxa"/>
            <w:tcBorders>
              <w:tl2br w:val="nil"/>
              <w:tr2bl w:val="nil"/>
            </w:tcBorders>
            <w:vAlign w:val="center"/>
          </w:tcPr>
          <w:p>
            <w:pPr>
              <w:widowControl/>
              <w:adjustRightInd w:val="0"/>
              <w:snapToGrid w:val="0"/>
              <w:spacing w:line="260" w:lineRule="exact"/>
              <w:jc w:val="center"/>
              <w:rPr>
                <w:b/>
                <w:bCs/>
                <w:kern w:val="0"/>
                <w:szCs w:val="21"/>
              </w:rPr>
            </w:pPr>
            <w:r>
              <w:rPr>
                <w:rFonts w:hAnsi="宋体"/>
                <w:b/>
                <w:bCs/>
                <w:kern w:val="0"/>
                <w:szCs w:val="21"/>
              </w:rPr>
              <w:t>标准代号</w:t>
            </w:r>
          </w:p>
        </w:tc>
        <w:tc>
          <w:tcPr>
            <w:tcW w:w="3586" w:type="dxa"/>
            <w:tcBorders>
              <w:tl2br w:val="nil"/>
              <w:tr2bl w:val="nil"/>
            </w:tcBorders>
            <w:vAlign w:val="center"/>
          </w:tcPr>
          <w:p>
            <w:pPr>
              <w:widowControl/>
              <w:adjustRightInd w:val="0"/>
              <w:snapToGrid w:val="0"/>
              <w:spacing w:line="260" w:lineRule="exact"/>
              <w:jc w:val="center"/>
              <w:rPr>
                <w:b/>
                <w:bCs/>
                <w:kern w:val="0"/>
                <w:szCs w:val="21"/>
              </w:rPr>
            </w:pPr>
            <w:r>
              <w:rPr>
                <w:rFonts w:hAnsi="宋体"/>
                <w:b/>
                <w:bCs/>
                <w:kern w:val="0"/>
                <w:szCs w:val="21"/>
              </w:rPr>
              <w:t>标准方法</w:t>
            </w:r>
          </w:p>
        </w:tc>
        <w:tc>
          <w:tcPr>
            <w:tcW w:w="3119" w:type="dxa"/>
            <w:tcBorders>
              <w:tl2br w:val="nil"/>
              <w:tr2bl w:val="nil"/>
            </w:tcBorders>
            <w:vAlign w:val="center"/>
          </w:tcPr>
          <w:p>
            <w:pPr>
              <w:widowControl/>
              <w:adjustRightInd w:val="0"/>
              <w:snapToGrid w:val="0"/>
              <w:spacing w:line="260" w:lineRule="exact"/>
              <w:jc w:val="center"/>
              <w:rPr>
                <w:b/>
                <w:bCs/>
                <w:kern w:val="0"/>
                <w:szCs w:val="21"/>
              </w:rPr>
            </w:pPr>
            <w:r>
              <w:rPr>
                <w:rFonts w:hAnsi="宋体"/>
                <w:b/>
                <w:bCs/>
                <w:kern w:val="0"/>
                <w:szCs w:val="21"/>
              </w:rPr>
              <w:t>监测仪器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332" w:type="dxa"/>
            <w:tcBorders>
              <w:tl2br w:val="nil"/>
              <w:tr2bl w:val="nil"/>
            </w:tcBorders>
            <w:vAlign w:val="center"/>
          </w:tcPr>
          <w:p>
            <w:pPr>
              <w:adjustRightInd w:val="0"/>
              <w:snapToGrid w:val="0"/>
              <w:spacing w:line="300" w:lineRule="exact"/>
              <w:jc w:val="center"/>
              <w:rPr>
                <w:szCs w:val="21"/>
              </w:rPr>
            </w:pPr>
            <w:r>
              <w:rPr>
                <w:rFonts w:hint="eastAsia" w:hAnsi="宋体"/>
                <w:szCs w:val="21"/>
              </w:rPr>
              <w:t>厂界</w:t>
            </w:r>
            <w:r>
              <w:rPr>
                <w:rFonts w:hAnsi="宋体"/>
                <w:szCs w:val="21"/>
              </w:rPr>
              <w:t>噪声</w:t>
            </w:r>
          </w:p>
        </w:tc>
        <w:tc>
          <w:tcPr>
            <w:tcW w:w="1817" w:type="dxa"/>
            <w:tcBorders>
              <w:tl2br w:val="nil"/>
              <w:tr2bl w:val="nil"/>
            </w:tcBorders>
            <w:vAlign w:val="center"/>
          </w:tcPr>
          <w:p>
            <w:pPr>
              <w:widowControl/>
              <w:spacing w:line="300" w:lineRule="exact"/>
              <w:jc w:val="center"/>
              <w:rPr>
                <w:kern w:val="0"/>
                <w:szCs w:val="21"/>
              </w:rPr>
            </w:pPr>
            <w:r>
              <w:rPr>
                <w:szCs w:val="21"/>
              </w:rPr>
              <w:t>GB 12348-2008</w:t>
            </w:r>
          </w:p>
        </w:tc>
        <w:tc>
          <w:tcPr>
            <w:tcW w:w="3586" w:type="dxa"/>
            <w:tcBorders>
              <w:tl2br w:val="nil"/>
              <w:tr2bl w:val="nil"/>
            </w:tcBorders>
            <w:vAlign w:val="center"/>
          </w:tcPr>
          <w:p>
            <w:pPr>
              <w:widowControl/>
              <w:spacing w:line="300" w:lineRule="exact"/>
              <w:jc w:val="center"/>
              <w:rPr>
                <w:color w:val="auto"/>
                <w:kern w:val="0"/>
                <w:szCs w:val="21"/>
              </w:rPr>
            </w:pPr>
            <w:r>
              <w:rPr>
                <w:rFonts w:hAnsi="宋体"/>
                <w:color w:val="auto"/>
                <w:szCs w:val="21"/>
              </w:rPr>
              <w:t>工业企业厂界环境噪声排放标准</w:t>
            </w:r>
          </w:p>
        </w:tc>
        <w:tc>
          <w:tcPr>
            <w:tcW w:w="3119" w:type="dxa"/>
            <w:tcBorders>
              <w:tl2br w:val="nil"/>
              <w:tr2bl w:val="nil"/>
            </w:tcBorders>
            <w:vAlign w:val="center"/>
          </w:tcPr>
          <w:p>
            <w:pPr>
              <w:adjustRightInd w:val="0"/>
              <w:snapToGrid w:val="0"/>
              <w:spacing w:line="260" w:lineRule="exact"/>
              <w:jc w:val="center"/>
              <w:rPr>
                <w:rFonts w:hint="eastAsia" w:eastAsia="宋体"/>
                <w:color w:val="auto"/>
                <w:szCs w:val="21"/>
                <w:lang w:val="en-US" w:eastAsia="zh-CN"/>
              </w:rPr>
            </w:pPr>
            <w:r>
              <w:rPr>
                <w:rFonts w:hint="eastAsia" w:hAnsi="宋体"/>
                <w:color w:val="auto"/>
                <w:szCs w:val="21"/>
                <w:lang w:val="en-US" w:eastAsia="zh-CN"/>
              </w:rPr>
              <w:t>多功能声级计</w:t>
            </w:r>
            <w:r>
              <w:rPr>
                <w:rFonts w:hint="eastAsia" w:hAnsi="宋体"/>
                <w:color w:val="auto"/>
                <w:szCs w:val="21"/>
              </w:rPr>
              <w:t>AWA</w:t>
            </w:r>
            <w:r>
              <w:rPr>
                <w:rFonts w:hint="eastAsia" w:hAnsi="宋体"/>
                <w:color w:val="auto"/>
                <w:szCs w:val="21"/>
                <w:lang w:val="en-US" w:eastAsia="zh-CN"/>
              </w:rPr>
              <w:t>5688</w:t>
            </w:r>
          </w:p>
        </w:tc>
      </w:tr>
    </w:tbl>
    <w:p>
      <w:pPr>
        <w:pStyle w:val="7"/>
        <w:rPr>
          <w:rFonts w:hint="default"/>
        </w:rPr>
      </w:pPr>
      <w:bookmarkStart w:id="131" w:name="_Toc16216_WPSOffice_Level3"/>
      <w:bookmarkStart w:id="132" w:name="_Toc12275"/>
      <w:r>
        <w:rPr>
          <w:rFonts w:hint="default"/>
        </w:rPr>
        <w:t>5.</w:t>
      </w:r>
      <w:r>
        <w:rPr>
          <w:rFonts w:hint="eastAsia"/>
          <w:lang w:val="en-US" w:eastAsia="zh-CN"/>
        </w:rPr>
        <w:t>3</w:t>
      </w:r>
      <w:r>
        <w:rPr>
          <w:rFonts w:hint="default"/>
        </w:rPr>
        <w:t>.3 质量保证和质量控制</w:t>
      </w:r>
      <w:bookmarkEnd w:id="131"/>
      <w:bookmarkEnd w:id="132"/>
    </w:p>
    <w:p>
      <w:pPr>
        <w:autoSpaceDE w:val="0"/>
        <w:autoSpaceDN w:val="0"/>
        <w:adjustRightInd w:val="0"/>
        <w:spacing w:line="46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sz w:val="24"/>
        </w:rPr>
        <w:t>监测质量保证和质量控制按照</w:t>
      </w:r>
      <w:r>
        <w:rPr>
          <w:rFonts w:hint="default" w:ascii="Times New Roman" w:hAnsi="Times New Roman" w:cs="Times New Roman"/>
          <w:color w:val="auto"/>
          <w:sz w:val="24"/>
        </w:rPr>
        <w:t>《工业企业厂界环境噪声排放标准》（GB12348-2008）的要求进行。</w:t>
      </w:r>
    </w:p>
    <w:p>
      <w:pPr>
        <w:autoSpaceDE w:val="0"/>
        <w:autoSpaceDN w:val="0"/>
        <w:adjustRightInd w:val="0"/>
        <w:spacing w:line="46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1 \* GB2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⑴</w:t>
      </w:r>
      <w:r>
        <w:rPr>
          <w:rFonts w:hint="default" w:ascii="Times New Roman" w:hAnsi="Times New Roman" w:eastAsia="仿宋" w:cs="Times New Roman"/>
          <w:color w:val="auto"/>
          <w:sz w:val="24"/>
        </w:rPr>
        <w:fldChar w:fldCharType="end"/>
      </w:r>
      <w:r>
        <w:rPr>
          <w:rFonts w:hint="default" w:ascii="Times New Roman" w:hAnsi="Times New Roman" w:cs="Times New Roman"/>
          <w:color w:val="auto"/>
          <w:sz w:val="24"/>
        </w:rPr>
        <w:t>优先采用了国标监测分析方法，监测采样与测试分析人员均经国家考核合格并持证上岗</w:t>
      </w:r>
      <w:r>
        <w:rPr>
          <w:rFonts w:hint="default" w:ascii="Times New Roman" w:hAnsi="Times New Roman" w:cs="Times New Roman"/>
          <w:color w:val="auto"/>
          <w:sz w:val="24"/>
          <w:szCs w:val="24"/>
        </w:rPr>
        <w:t>，监测仪器经计量部门检定并在有效使用期内。</w:t>
      </w:r>
    </w:p>
    <w:p>
      <w:pPr>
        <w:autoSpaceDE w:val="0"/>
        <w:autoSpaceDN w:val="0"/>
        <w:adjustRightInd w:val="0"/>
        <w:spacing w:line="46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GB2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⑵</w:t>
      </w:r>
      <w:r>
        <w:rPr>
          <w:rFonts w:hint="default" w:ascii="Times New Roman" w:hAnsi="Times New Roman" w:eastAsia="仿宋" w:cs="Times New Roman"/>
          <w:color w:val="auto"/>
          <w:sz w:val="24"/>
          <w:szCs w:val="24"/>
        </w:rPr>
        <w:fldChar w:fldCharType="end"/>
      </w:r>
      <w:r>
        <w:rPr>
          <w:rFonts w:hint="default" w:ascii="Times New Roman" w:hAnsi="Times New Roman" w:cs="Times New Roman"/>
          <w:color w:val="auto"/>
          <w:sz w:val="24"/>
          <w:szCs w:val="24"/>
        </w:rPr>
        <w:t>测量时传声器加设了防风罩。</w:t>
      </w:r>
    </w:p>
    <w:p>
      <w:pPr>
        <w:autoSpaceDE w:val="0"/>
        <w:autoSpaceDN w:val="0"/>
        <w:adjustRightInd w:val="0"/>
        <w:spacing w:line="46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GB2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⑶</w:t>
      </w:r>
      <w:r>
        <w:rPr>
          <w:rFonts w:hint="default" w:ascii="Times New Roman" w:hAnsi="Times New Roman" w:eastAsia="仿宋" w:cs="Times New Roman"/>
          <w:color w:val="auto"/>
          <w:sz w:val="24"/>
          <w:szCs w:val="24"/>
        </w:rPr>
        <w:fldChar w:fldCharType="end"/>
      </w:r>
      <w:r>
        <w:rPr>
          <w:rFonts w:hint="default" w:ascii="Times New Roman" w:hAnsi="Times New Roman" w:cs="Times New Roman"/>
          <w:color w:val="auto"/>
          <w:sz w:val="24"/>
          <w:szCs w:val="24"/>
        </w:rPr>
        <w:t>测量时无雨雪、无雷电，测量时风速小于5m/s，天气条件满足监测要求。</w:t>
      </w:r>
    </w:p>
    <w:p>
      <w:pPr>
        <w:autoSpaceDE w:val="0"/>
        <w:autoSpaceDN w:val="0"/>
        <w:adjustRightInd w:val="0"/>
        <w:spacing w:line="46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GB2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⑷</w:t>
      </w:r>
      <w:r>
        <w:rPr>
          <w:rFonts w:hint="default" w:ascii="Times New Roman" w:hAnsi="Times New Roman" w:eastAsia="仿宋" w:cs="Times New Roman"/>
          <w:color w:val="auto"/>
          <w:sz w:val="24"/>
          <w:szCs w:val="24"/>
        </w:rPr>
        <w:fldChar w:fldCharType="end"/>
      </w:r>
      <w:r>
        <w:rPr>
          <w:rFonts w:hint="default" w:ascii="Times New Roman" w:hAnsi="Times New Roman" w:cs="Times New Roman"/>
          <w:color w:val="auto"/>
          <w:sz w:val="24"/>
          <w:szCs w:val="24"/>
        </w:rPr>
        <w:t>监测数据和技术报告执行三级审核制度。</w:t>
      </w:r>
    </w:p>
    <w:p>
      <w:pPr>
        <w:autoSpaceDE w:val="0"/>
        <w:autoSpaceDN w:val="0"/>
        <w:adjustRightInd w:val="0"/>
        <w:spacing w:line="46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5 \* GB2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⑸</w:t>
      </w:r>
      <w:r>
        <w:rPr>
          <w:rFonts w:hint="default" w:ascii="Times New Roman" w:hAnsi="Times New Roman" w:eastAsia="仿宋" w:cs="Times New Roman"/>
          <w:color w:val="auto"/>
          <w:sz w:val="24"/>
          <w:szCs w:val="24"/>
        </w:rPr>
        <w:fldChar w:fldCharType="end"/>
      </w:r>
      <w:r>
        <w:rPr>
          <w:rFonts w:hint="default" w:ascii="Times New Roman" w:hAnsi="Times New Roman" w:cs="Times New Roman"/>
          <w:color w:val="auto"/>
          <w:sz w:val="24"/>
          <w:szCs w:val="24"/>
        </w:rPr>
        <w:t>采样、测试分析质量保证和质量控制。</w:t>
      </w:r>
    </w:p>
    <w:p>
      <w:pPr>
        <w:autoSpaceDE w:val="0"/>
        <w:autoSpaceDN w:val="0"/>
        <w:adjustRightInd w:val="0"/>
        <w:spacing w:line="46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szCs w:val="24"/>
        </w:rPr>
        <w:t>声级计在测试前后用标准声源进行校准，测量前</w:t>
      </w:r>
      <w:r>
        <w:rPr>
          <w:rFonts w:hint="default" w:ascii="Times New Roman" w:hAnsi="Times New Roman" w:cs="Times New Roman"/>
          <w:color w:val="auto"/>
          <w:sz w:val="24"/>
        </w:rPr>
        <w:t>后仪器的灵敏度相差不大于0.5dB，满足要求。</w:t>
      </w:r>
    </w:p>
    <w:p>
      <w:pPr>
        <w:autoSpaceDE w:val="0"/>
        <w:autoSpaceDN w:val="0"/>
        <w:adjustRightInd w:val="0"/>
        <w:spacing w:line="460" w:lineRule="exact"/>
        <w:ind w:firstLine="480" w:firstLineChars="200"/>
        <w:jc w:val="left"/>
        <w:rPr>
          <w:rFonts w:hint="default" w:ascii="Times New Roman" w:hAnsi="Times New Roman" w:eastAsia="宋体" w:cs="Times New Roman"/>
          <w:sz w:val="24"/>
        </w:rPr>
      </w:pPr>
      <w:r>
        <w:rPr>
          <w:rFonts w:hint="default" w:ascii="Times New Roman" w:hAnsi="Times New Roman" w:cs="Times New Roman"/>
          <w:sz w:val="24"/>
        </w:rPr>
        <w:t>监测期间噪声监测仪校准情况见表5-</w:t>
      </w:r>
      <w:r>
        <w:rPr>
          <w:rFonts w:hint="eastAsia" w:cs="Times New Roman"/>
          <w:sz w:val="24"/>
          <w:lang w:val="en-US" w:eastAsia="zh-CN"/>
        </w:rPr>
        <w:t>17</w:t>
      </w:r>
      <w:r>
        <w:rPr>
          <w:rFonts w:hint="default" w:ascii="Times New Roman" w:hAnsi="Times New Roman" w:cs="Times New Roman"/>
          <w:sz w:val="24"/>
        </w:rPr>
        <w:t>。</w:t>
      </w:r>
      <w:bookmarkStart w:id="133" w:name="_Toc29851_WPSOffice_Level2"/>
    </w:p>
    <w:p>
      <w:pPr>
        <w:spacing w:line="480" w:lineRule="exact"/>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表5-</w:t>
      </w:r>
      <w:r>
        <w:rPr>
          <w:rFonts w:hint="eastAsia" w:cs="Times New Roman"/>
          <w:sz w:val="24"/>
          <w:highlight w:val="none"/>
          <w:lang w:val="en-US" w:eastAsia="zh-CN"/>
        </w:rPr>
        <w:t>17</w:t>
      </w:r>
      <w:r>
        <w:rPr>
          <w:rFonts w:hint="default" w:ascii="Times New Roman" w:hAnsi="Times New Roman" w:eastAsia="宋体" w:cs="Times New Roman"/>
          <w:sz w:val="24"/>
          <w:highlight w:val="none"/>
        </w:rPr>
        <w:t xml:space="preserve">  监测期间噪声监测仪校准情况</w:t>
      </w:r>
      <w:bookmarkEnd w:id="133"/>
    </w:p>
    <w:tbl>
      <w:tblPr>
        <w:tblStyle w:val="28"/>
        <w:tblW w:w="985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7"/>
        <w:gridCol w:w="1310"/>
        <w:gridCol w:w="1552"/>
        <w:gridCol w:w="1023"/>
        <w:gridCol w:w="1517"/>
        <w:gridCol w:w="1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7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b/>
                <w:bCs/>
                <w:color w:val="auto"/>
                <w:kern w:val="0"/>
                <w:szCs w:val="21"/>
              </w:rPr>
              <w:t>噪声仪型号与编号</w:t>
            </w:r>
          </w:p>
        </w:tc>
        <w:tc>
          <w:tcPr>
            <w:tcW w:w="1310" w:type="dxa"/>
            <w:tcBorders>
              <w:tl2br w:val="nil"/>
              <w:tr2bl w:val="nil"/>
            </w:tcBorders>
            <w:vAlign w:val="center"/>
          </w:tcPr>
          <w:p>
            <w:pPr>
              <w:widowControl/>
              <w:spacing w:line="300" w:lineRule="exact"/>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测量前</w:t>
            </w:r>
          </w:p>
          <w:p>
            <w:pPr>
              <w:widowControl/>
              <w:spacing w:line="300" w:lineRule="exact"/>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b/>
                <w:bCs/>
                <w:color w:val="auto"/>
                <w:kern w:val="0"/>
                <w:szCs w:val="21"/>
              </w:rPr>
              <w:t>[dB(A)]</w:t>
            </w:r>
          </w:p>
        </w:tc>
        <w:tc>
          <w:tcPr>
            <w:tcW w:w="1552" w:type="dxa"/>
            <w:tcBorders>
              <w:tl2br w:val="nil"/>
              <w:tr2bl w:val="nil"/>
            </w:tcBorders>
            <w:vAlign w:val="center"/>
          </w:tcPr>
          <w:p>
            <w:pPr>
              <w:widowControl/>
              <w:spacing w:line="300" w:lineRule="exact"/>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测量后</w:t>
            </w:r>
          </w:p>
          <w:p>
            <w:pPr>
              <w:widowControl/>
              <w:spacing w:line="300" w:lineRule="exact"/>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b/>
                <w:bCs/>
                <w:color w:val="auto"/>
                <w:kern w:val="0"/>
                <w:szCs w:val="21"/>
              </w:rPr>
              <w:t>[dB(A)]</w:t>
            </w:r>
          </w:p>
        </w:tc>
        <w:tc>
          <w:tcPr>
            <w:tcW w:w="1023"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b/>
                <w:bCs/>
                <w:color w:val="auto"/>
              </w:rPr>
              <w:t>差值</w:t>
            </w:r>
            <w:r>
              <w:rPr>
                <w:rFonts w:hint="default" w:ascii="Times New Roman" w:hAnsi="Times New Roman" w:cs="Times New Roman"/>
                <w:b/>
                <w:bCs/>
                <w:color w:val="auto"/>
                <w:kern w:val="0"/>
                <w:szCs w:val="21"/>
              </w:rPr>
              <w:t>[dB(A)]</w:t>
            </w:r>
          </w:p>
        </w:tc>
        <w:tc>
          <w:tcPr>
            <w:tcW w:w="151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b/>
                <w:bCs/>
                <w:color w:val="auto"/>
                <w:kern w:val="0"/>
                <w:szCs w:val="21"/>
              </w:rPr>
              <w:t>允许差值[dB(A)]</w:t>
            </w:r>
          </w:p>
        </w:tc>
        <w:tc>
          <w:tcPr>
            <w:tcW w:w="1875" w:type="dxa"/>
            <w:tcBorders>
              <w:tl2br w:val="nil"/>
              <w:tr2bl w:val="nil"/>
            </w:tcBorders>
            <w:vAlign w:val="center"/>
          </w:tcPr>
          <w:p>
            <w:pPr>
              <w:widowControl/>
              <w:spacing w:line="300" w:lineRule="exact"/>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是否</w:t>
            </w:r>
          </w:p>
          <w:p>
            <w:pPr>
              <w:widowControl/>
              <w:spacing w:line="300" w:lineRule="exact"/>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b/>
                <w:bCs/>
                <w:color w:val="auto"/>
                <w:kern w:val="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77" w:type="dxa"/>
            <w:tcBorders>
              <w:tl2br w:val="nil"/>
              <w:tr2bl w:val="nil"/>
            </w:tcBorders>
            <w:vAlign w:val="center"/>
          </w:tcPr>
          <w:p>
            <w:pPr>
              <w:widowControl/>
              <w:spacing w:line="300" w:lineRule="exact"/>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声级校准器AWA6221B</w:t>
            </w:r>
          </w:p>
        </w:tc>
        <w:tc>
          <w:tcPr>
            <w:tcW w:w="1310" w:type="dxa"/>
            <w:tcBorders>
              <w:tl2br w:val="nil"/>
              <w:tr2bl w:val="nil"/>
            </w:tcBorders>
            <w:vAlign w:val="center"/>
          </w:tcPr>
          <w:p>
            <w:pPr>
              <w:spacing w:line="360" w:lineRule="auto"/>
              <w:jc w:val="center"/>
              <w:rPr>
                <w:rFonts w:hint="default" w:ascii="Times New Roman" w:hAnsi="Times New Roman" w:cs="Times New Roman" w:eastAsiaTheme="minorEastAsia"/>
                <w:color w:val="auto"/>
                <w:kern w:val="0"/>
                <w:sz w:val="21"/>
                <w:szCs w:val="21"/>
                <w:highlight w:val="yellow"/>
                <w:lang w:val="en-US" w:eastAsia="zh-CN"/>
              </w:rPr>
            </w:pPr>
            <w:r>
              <w:rPr>
                <w:rFonts w:ascii="Times New Roman" w:hAnsi="Times New Roman"/>
                <w:color w:val="auto"/>
                <w:szCs w:val="21"/>
                <w:highlight w:val="none"/>
              </w:rPr>
              <w:t>9</w:t>
            </w:r>
            <w:r>
              <w:rPr>
                <w:rFonts w:hint="eastAsia" w:ascii="Times New Roman" w:hAnsi="Times New Roman"/>
                <w:color w:val="auto"/>
                <w:szCs w:val="21"/>
                <w:highlight w:val="none"/>
              </w:rPr>
              <w:t>3</w:t>
            </w:r>
            <w:r>
              <w:rPr>
                <w:rFonts w:hint="eastAsia" w:ascii="Times New Roman" w:hAnsi="Times New Roman"/>
                <w:color w:val="auto"/>
                <w:szCs w:val="21"/>
                <w:highlight w:val="none"/>
                <w:lang w:val="en-US" w:eastAsia="zh-CN"/>
              </w:rPr>
              <w:t>.8</w:t>
            </w:r>
          </w:p>
        </w:tc>
        <w:tc>
          <w:tcPr>
            <w:tcW w:w="1552" w:type="dxa"/>
            <w:tcBorders>
              <w:tl2br w:val="nil"/>
              <w:tr2bl w:val="nil"/>
            </w:tcBorders>
            <w:vAlign w:val="center"/>
          </w:tcPr>
          <w:p>
            <w:pPr>
              <w:spacing w:line="36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olor w:val="auto"/>
                <w:szCs w:val="21"/>
                <w:highlight w:val="none"/>
                <w:lang w:val="en-US" w:eastAsia="zh-CN"/>
              </w:rPr>
              <w:t>9</w:t>
            </w:r>
            <w:r>
              <w:rPr>
                <w:rFonts w:hint="eastAsia"/>
                <w:color w:val="auto"/>
                <w:szCs w:val="21"/>
                <w:highlight w:val="none"/>
                <w:lang w:val="en-US" w:eastAsia="zh-CN"/>
              </w:rPr>
              <w:t>3.8</w:t>
            </w:r>
          </w:p>
        </w:tc>
        <w:tc>
          <w:tcPr>
            <w:tcW w:w="1023"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0</w:t>
            </w:r>
          </w:p>
        </w:tc>
        <w:tc>
          <w:tcPr>
            <w:tcW w:w="151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≤0.5</w:t>
            </w:r>
          </w:p>
        </w:tc>
        <w:tc>
          <w:tcPr>
            <w:tcW w:w="1875"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77" w:type="dxa"/>
            <w:tcBorders>
              <w:tl2br w:val="nil"/>
              <w:tr2bl w:val="nil"/>
            </w:tcBorders>
            <w:vAlign w:val="center"/>
          </w:tcPr>
          <w:p>
            <w:pPr>
              <w:widowControl/>
              <w:spacing w:line="300" w:lineRule="exact"/>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声级校准器AWA6221B</w:t>
            </w:r>
          </w:p>
        </w:tc>
        <w:tc>
          <w:tcPr>
            <w:tcW w:w="1310" w:type="dxa"/>
            <w:tcBorders>
              <w:tl2br w:val="nil"/>
              <w:tr2bl w:val="nil"/>
            </w:tcBorders>
            <w:vAlign w:val="center"/>
          </w:tcPr>
          <w:p>
            <w:pPr>
              <w:spacing w:line="360" w:lineRule="auto"/>
              <w:jc w:val="center"/>
              <w:rPr>
                <w:rFonts w:hint="default" w:ascii="Times New Roman" w:hAnsi="Times New Roman" w:cs="Times New Roman" w:eastAsiaTheme="minorEastAsia"/>
                <w:color w:val="auto"/>
                <w:kern w:val="0"/>
                <w:sz w:val="21"/>
                <w:szCs w:val="21"/>
                <w:highlight w:val="yellow"/>
                <w:lang w:val="en-US" w:eastAsia="zh-CN"/>
              </w:rPr>
            </w:pPr>
            <w:r>
              <w:rPr>
                <w:rFonts w:ascii="Times New Roman" w:hAnsi="Times New Roman"/>
                <w:color w:val="auto"/>
                <w:szCs w:val="21"/>
                <w:highlight w:val="none"/>
              </w:rPr>
              <w:t>9</w:t>
            </w:r>
            <w:r>
              <w:rPr>
                <w:rFonts w:hint="eastAsia" w:ascii="Times New Roman" w:hAnsi="Times New Roman"/>
                <w:color w:val="auto"/>
                <w:szCs w:val="21"/>
                <w:highlight w:val="none"/>
              </w:rPr>
              <w:t>3</w:t>
            </w:r>
            <w:r>
              <w:rPr>
                <w:rFonts w:hint="eastAsia" w:ascii="Times New Roman" w:hAnsi="Times New Roman"/>
                <w:color w:val="auto"/>
                <w:szCs w:val="21"/>
                <w:highlight w:val="none"/>
                <w:lang w:val="en-US" w:eastAsia="zh-CN"/>
              </w:rPr>
              <w:t>.</w:t>
            </w:r>
            <w:r>
              <w:rPr>
                <w:rFonts w:hint="eastAsia"/>
                <w:color w:val="auto"/>
                <w:szCs w:val="21"/>
                <w:highlight w:val="none"/>
                <w:lang w:val="en-US" w:eastAsia="zh-CN"/>
              </w:rPr>
              <w:t>8</w:t>
            </w:r>
          </w:p>
        </w:tc>
        <w:tc>
          <w:tcPr>
            <w:tcW w:w="1552" w:type="dxa"/>
            <w:tcBorders>
              <w:tl2br w:val="nil"/>
              <w:tr2bl w:val="nil"/>
            </w:tcBorders>
            <w:vAlign w:val="center"/>
          </w:tcPr>
          <w:p>
            <w:pPr>
              <w:spacing w:line="360" w:lineRule="auto"/>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olor w:val="auto"/>
                <w:szCs w:val="21"/>
                <w:highlight w:val="none"/>
                <w:lang w:val="en-US" w:eastAsia="zh-CN"/>
              </w:rPr>
              <w:t>9</w:t>
            </w:r>
            <w:r>
              <w:rPr>
                <w:rFonts w:hint="eastAsia"/>
                <w:color w:val="auto"/>
                <w:szCs w:val="21"/>
                <w:highlight w:val="none"/>
                <w:lang w:val="en-US" w:eastAsia="zh-CN"/>
              </w:rPr>
              <w:t>3.8</w:t>
            </w:r>
          </w:p>
        </w:tc>
        <w:tc>
          <w:tcPr>
            <w:tcW w:w="1023"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0</w:t>
            </w:r>
          </w:p>
        </w:tc>
        <w:tc>
          <w:tcPr>
            <w:tcW w:w="151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≤0.5</w:t>
            </w:r>
          </w:p>
        </w:tc>
        <w:tc>
          <w:tcPr>
            <w:tcW w:w="1875"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77" w:type="dxa"/>
            <w:tcBorders>
              <w:tl2br w:val="nil"/>
              <w:tr2bl w:val="nil"/>
            </w:tcBorders>
            <w:vAlign w:val="center"/>
          </w:tcPr>
          <w:p>
            <w:pPr>
              <w:widowControl/>
              <w:spacing w:line="300" w:lineRule="exact"/>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声级校准器AWA6221B</w:t>
            </w:r>
          </w:p>
        </w:tc>
        <w:tc>
          <w:tcPr>
            <w:tcW w:w="1310" w:type="dxa"/>
            <w:tcBorders>
              <w:tl2br w:val="nil"/>
              <w:tr2bl w:val="nil"/>
            </w:tcBorders>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9</w:t>
            </w:r>
            <w:r>
              <w:rPr>
                <w:rFonts w:hint="eastAsia" w:ascii="Times New Roman" w:hAnsi="Times New Roman"/>
                <w:color w:val="auto"/>
                <w:szCs w:val="21"/>
                <w:highlight w:val="none"/>
              </w:rPr>
              <w:t>3</w:t>
            </w:r>
            <w:r>
              <w:rPr>
                <w:rFonts w:hint="eastAsia" w:ascii="Times New Roman" w:hAnsi="Times New Roman"/>
                <w:color w:val="auto"/>
                <w:szCs w:val="21"/>
                <w:highlight w:val="none"/>
                <w:lang w:val="en-US" w:eastAsia="zh-CN"/>
              </w:rPr>
              <w:t>.8</w:t>
            </w:r>
          </w:p>
        </w:tc>
        <w:tc>
          <w:tcPr>
            <w:tcW w:w="1552" w:type="dxa"/>
            <w:tcBorders>
              <w:tl2br w:val="nil"/>
              <w:tr2bl w:val="nil"/>
            </w:tcBorders>
            <w:vAlign w:val="center"/>
          </w:tcPr>
          <w:p>
            <w:pPr>
              <w:spacing w:line="360" w:lineRule="auto"/>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9</w:t>
            </w:r>
            <w:r>
              <w:rPr>
                <w:rFonts w:hint="eastAsia"/>
                <w:color w:val="auto"/>
                <w:szCs w:val="21"/>
                <w:highlight w:val="none"/>
                <w:lang w:val="en-US" w:eastAsia="zh-CN"/>
              </w:rPr>
              <w:t>3.8</w:t>
            </w:r>
          </w:p>
        </w:tc>
        <w:tc>
          <w:tcPr>
            <w:tcW w:w="1023" w:type="dxa"/>
            <w:tcBorders>
              <w:tl2br w:val="nil"/>
              <w:tr2bl w:val="nil"/>
            </w:tcBorders>
            <w:vAlign w:val="center"/>
          </w:tcPr>
          <w:p>
            <w:pPr>
              <w:widowControl/>
              <w:spacing w:line="300" w:lineRule="exact"/>
              <w:jc w:val="center"/>
              <w:rPr>
                <w:rFonts w:hint="eastAsia"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0</w:t>
            </w:r>
          </w:p>
        </w:tc>
        <w:tc>
          <w:tcPr>
            <w:tcW w:w="151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≤0.5</w:t>
            </w:r>
          </w:p>
        </w:tc>
        <w:tc>
          <w:tcPr>
            <w:tcW w:w="1875"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77" w:type="dxa"/>
            <w:tcBorders>
              <w:tl2br w:val="nil"/>
              <w:tr2bl w:val="nil"/>
            </w:tcBorders>
            <w:vAlign w:val="center"/>
          </w:tcPr>
          <w:p>
            <w:pPr>
              <w:widowControl/>
              <w:spacing w:line="300" w:lineRule="exact"/>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声级校准器AWA6221B</w:t>
            </w:r>
          </w:p>
        </w:tc>
        <w:tc>
          <w:tcPr>
            <w:tcW w:w="1310" w:type="dxa"/>
            <w:tcBorders>
              <w:tl2br w:val="nil"/>
              <w:tr2bl w:val="nil"/>
            </w:tcBorders>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9</w:t>
            </w:r>
            <w:r>
              <w:rPr>
                <w:rFonts w:hint="eastAsia" w:ascii="Times New Roman" w:hAnsi="Times New Roman"/>
                <w:color w:val="auto"/>
                <w:szCs w:val="21"/>
                <w:highlight w:val="none"/>
              </w:rPr>
              <w:t>3</w:t>
            </w:r>
            <w:r>
              <w:rPr>
                <w:rFonts w:hint="eastAsia" w:ascii="Times New Roman" w:hAnsi="Times New Roman"/>
                <w:color w:val="auto"/>
                <w:szCs w:val="21"/>
                <w:highlight w:val="none"/>
                <w:lang w:val="en-US" w:eastAsia="zh-CN"/>
              </w:rPr>
              <w:t>.</w:t>
            </w:r>
            <w:r>
              <w:rPr>
                <w:rFonts w:hint="eastAsia"/>
                <w:color w:val="auto"/>
                <w:szCs w:val="21"/>
                <w:highlight w:val="none"/>
                <w:lang w:val="en-US" w:eastAsia="zh-CN"/>
              </w:rPr>
              <w:t>8</w:t>
            </w:r>
          </w:p>
        </w:tc>
        <w:tc>
          <w:tcPr>
            <w:tcW w:w="1552" w:type="dxa"/>
            <w:tcBorders>
              <w:tl2br w:val="nil"/>
              <w:tr2bl w:val="nil"/>
            </w:tcBorders>
            <w:vAlign w:val="center"/>
          </w:tcPr>
          <w:p>
            <w:pPr>
              <w:spacing w:line="360" w:lineRule="auto"/>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9</w:t>
            </w:r>
            <w:r>
              <w:rPr>
                <w:rFonts w:hint="eastAsia"/>
                <w:color w:val="auto"/>
                <w:szCs w:val="21"/>
                <w:highlight w:val="none"/>
                <w:lang w:val="en-US" w:eastAsia="zh-CN"/>
              </w:rPr>
              <w:t>3.8</w:t>
            </w:r>
          </w:p>
        </w:tc>
        <w:tc>
          <w:tcPr>
            <w:tcW w:w="1023" w:type="dxa"/>
            <w:tcBorders>
              <w:tl2br w:val="nil"/>
              <w:tr2bl w:val="nil"/>
            </w:tcBorders>
            <w:vAlign w:val="center"/>
          </w:tcPr>
          <w:p>
            <w:pPr>
              <w:widowControl/>
              <w:spacing w:line="300" w:lineRule="exact"/>
              <w:jc w:val="center"/>
              <w:rPr>
                <w:rFonts w:hint="eastAsia"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0</w:t>
            </w:r>
          </w:p>
        </w:tc>
        <w:tc>
          <w:tcPr>
            <w:tcW w:w="1517"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≤0.5</w:t>
            </w:r>
          </w:p>
        </w:tc>
        <w:tc>
          <w:tcPr>
            <w:tcW w:w="1875" w:type="dxa"/>
            <w:tcBorders>
              <w:tl2br w:val="nil"/>
              <w:tr2bl w:val="nil"/>
            </w:tcBorders>
            <w:vAlign w:val="center"/>
          </w:tcPr>
          <w:p>
            <w:pPr>
              <w:widowControl/>
              <w:spacing w:line="300" w:lineRule="exact"/>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是</w:t>
            </w:r>
          </w:p>
        </w:tc>
      </w:tr>
    </w:tbl>
    <w:p>
      <w:pPr>
        <w:pStyle w:val="7"/>
        <w:pageBreakBefore w:val="0"/>
        <w:widowControl w:val="0"/>
        <w:kinsoku/>
        <w:wordWrap/>
        <w:overflowPunct/>
        <w:topLinePunct w:val="0"/>
        <w:autoSpaceDE/>
        <w:autoSpaceDN/>
        <w:bidi w:val="0"/>
        <w:adjustRightInd/>
        <w:snapToGrid/>
        <w:spacing w:before="6" w:after="6"/>
        <w:textAlignment w:val="auto"/>
        <w:rPr>
          <w:rFonts w:hint="eastAsia" w:ascii="宋体" w:hAnsi="宋体" w:eastAsia="宋体" w:cs="宋体"/>
        </w:rPr>
      </w:pPr>
      <w:bookmarkStart w:id="134" w:name="_Toc14397_WPSOffice_Level3"/>
      <w:bookmarkStart w:id="135" w:name="_Toc9622"/>
      <w:r>
        <w:rPr>
          <w:rFonts w:hint="eastAsia" w:ascii="宋体" w:hAnsi="宋体" w:eastAsia="宋体" w:cs="宋体"/>
        </w:rPr>
        <w:t>5.</w:t>
      </w:r>
      <w:r>
        <w:rPr>
          <w:rFonts w:hint="eastAsia" w:ascii="宋体" w:hAnsi="宋体" w:cs="宋体"/>
          <w:lang w:val="en-US" w:eastAsia="zh-CN"/>
        </w:rPr>
        <w:t>3</w:t>
      </w:r>
      <w:r>
        <w:rPr>
          <w:rFonts w:hint="eastAsia" w:ascii="宋体" w:hAnsi="宋体" w:eastAsia="宋体" w:cs="宋体"/>
        </w:rPr>
        <w:t>.4 验收监测评价标准</w:t>
      </w:r>
      <w:bookmarkEnd w:id="134"/>
      <w:bookmarkEnd w:id="135"/>
    </w:p>
    <w:p>
      <w:pPr>
        <w:pageBreakBefore w:val="0"/>
        <w:widowControl w:val="0"/>
        <w:kinsoku/>
        <w:wordWrap/>
        <w:overflowPunct/>
        <w:topLinePunct w:val="0"/>
        <w:autoSpaceDE/>
        <w:autoSpaceDN/>
        <w:bidi w:val="0"/>
        <w:adjustRightInd/>
        <w:snapToGrid/>
        <w:spacing w:before="6" w:after="6"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sz w:val="24"/>
        </w:rPr>
        <w:t>厂界噪声</w:t>
      </w:r>
      <w:r>
        <w:rPr>
          <w:rFonts w:hint="default" w:ascii="Times New Roman" w:hAnsi="Times New Roman" w:cs="Times New Roman"/>
          <w:color w:val="auto"/>
          <w:sz w:val="24"/>
        </w:rPr>
        <w:t>执行《工业企业厂界环境噪声排放标准》</w:t>
      </w:r>
      <w:r>
        <w:rPr>
          <w:rFonts w:hint="eastAsia" w:cs="Times New Roman"/>
          <w:color w:val="auto"/>
          <w:sz w:val="24"/>
          <w:lang w:eastAsia="zh-CN"/>
        </w:rPr>
        <w:t>（GB12348-2008）中3类标准</w:t>
      </w:r>
      <w:r>
        <w:rPr>
          <w:rFonts w:hint="default" w:ascii="Times New Roman" w:hAnsi="Times New Roman" w:cs="Times New Roman"/>
          <w:color w:val="auto"/>
          <w:sz w:val="24"/>
        </w:rPr>
        <w:t>，标准限值见表5-</w:t>
      </w:r>
      <w:r>
        <w:rPr>
          <w:rFonts w:hint="eastAsia" w:cs="Times New Roman"/>
          <w:color w:val="auto"/>
          <w:sz w:val="24"/>
          <w:lang w:val="en-US" w:eastAsia="zh-CN"/>
        </w:rPr>
        <w:t>18</w:t>
      </w:r>
      <w:r>
        <w:rPr>
          <w:rFonts w:hint="default" w:ascii="Times New Roman" w:hAnsi="Times New Roman" w:cs="Times New Roman"/>
          <w:color w:val="auto"/>
          <w:sz w:val="24"/>
        </w:rPr>
        <w:t>。</w:t>
      </w:r>
      <w:bookmarkStart w:id="136" w:name="_Toc19383_WPSOffice_Level2"/>
    </w:p>
    <w:p>
      <w:pPr>
        <w:spacing w:line="480" w:lineRule="exact"/>
        <w:jc w:val="center"/>
        <w:rPr>
          <w:rFonts w:hAnsi="黑体" w:eastAsia="黑体"/>
          <w:color w:val="auto"/>
          <w:sz w:val="24"/>
        </w:rPr>
      </w:pPr>
      <w:r>
        <w:rPr>
          <w:rFonts w:hint="default" w:ascii="Times New Roman" w:hAnsi="Times New Roman" w:eastAsia="宋体" w:cs="Times New Roman"/>
          <w:color w:val="auto"/>
          <w:sz w:val="24"/>
        </w:rPr>
        <w:t>表5-</w:t>
      </w:r>
      <w:r>
        <w:rPr>
          <w:rFonts w:hint="eastAsia" w:cs="Times New Roman"/>
          <w:color w:val="auto"/>
          <w:sz w:val="24"/>
          <w:lang w:val="en-US" w:eastAsia="zh-CN"/>
        </w:rPr>
        <w:t>18</w:t>
      </w:r>
      <w:r>
        <w:rPr>
          <w:rFonts w:hint="default" w:ascii="Times New Roman" w:hAnsi="Times New Roman" w:eastAsia="宋体" w:cs="Times New Roman"/>
          <w:color w:val="auto"/>
          <w:sz w:val="24"/>
        </w:rPr>
        <w:t xml:space="preserve">  噪声评价标准限值</w:t>
      </w:r>
      <w:bookmarkEnd w:id="136"/>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6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17" w:type="dxa"/>
            <w:tcBorders>
              <w:tl2br w:val="nil"/>
              <w:tr2bl w:val="nil"/>
            </w:tcBorders>
            <w:vAlign w:val="center"/>
          </w:tcPr>
          <w:p>
            <w:pPr>
              <w:spacing w:line="300" w:lineRule="atLeas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 目</w:t>
            </w:r>
          </w:p>
        </w:tc>
        <w:tc>
          <w:tcPr>
            <w:tcW w:w="6737" w:type="dxa"/>
            <w:tcBorders>
              <w:tl2br w:val="nil"/>
              <w:tr2bl w:val="nil"/>
            </w:tcBorders>
            <w:vAlign w:val="center"/>
          </w:tcPr>
          <w:p>
            <w:pPr>
              <w:spacing w:line="300" w:lineRule="atLeas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标准限值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117" w:type="dxa"/>
            <w:tcBorders>
              <w:tl2br w:val="nil"/>
              <w:tr2bl w:val="nil"/>
            </w:tcBorders>
            <w:vAlign w:val="center"/>
          </w:tcPr>
          <w:p>
            <w:pPr>
              <w:spacing w:line="30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厂界噪声</w:t>
            </w:r>
          </w:p>
        </w:tc>
        <w:tc>
          <w:tcPr>
            <w:tcW w:w="6737" w:type="dxa"/>
            <w:tcBorders>
              <w:tl2br w:val="nil"/>
              <w:tr2bl w:val="nil"/>
            </w:tcBorders>
            <w:vAlign w:val="center"/>
          </w:tcPr>
          <w:p>
            <w:pPr>
              <w:spacing w:line="300" w:lineRule="atLeast"/>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rPr>
              <w:t>昼间</w:t>
            </w:r>
            <w:r>
              <w:rPr>
                <w:rFonts w:hint="eastAsia" w:ascii="Times New Roman" w:hAnsi="Times New Roman" w:cs="Times New Roman" w:eastAsiaTheme="minorEastAsia"/>
                <w:color w:val="auto"/>
                <w:sz w:val="21"/>
                <w:szCs w:val="21"/>
                <w:lang w:val="en-US" w:eastAsia="zh-CN"/>
              </w:rPr>
              <w:t>6</w:t>
            </w:r>
            <w:r>
              <w:rPr>
                <w:rFonts w:hint="eastAsia" w:cs="Times New Roman" w:eastAsiaTheme="minorEastAsia"/>
                <w:color w:val="auto"/>
                <w:sz w:val="21"/>
                <w:szCs w:val="21"/>
                <w:lang w:val="en-US" w:eastAsia="zh-CN"/>
              </w:rPr>
              <w:t>5、夜间55</w:t>
            </w:r>
          </w:p>
        </w:tc>
      </w:tr>
    </w:tbl>
    <w:p>
      <w:pPr>
        <w:pStyle w:val="7"/>
        <w:rPr>
          <w:rFonts w:hint="eastAsia" w:ascii="宋体" w:hAnsi="宋体" w:eastAsia="宋体" w:cs="宋体"/>
        </w:rPr>
      </w:pPr>
      <w:bookmarkStart w:id="137" w:name="_Toc12501"/>
      <w:bookmarkStart w:id="138" w:name="_Toc5021_WPSOffice_Level3"/>
      <w:r>
        <w:rPr>
          <w:rFonts w:hint="eastAsia" w:ascii="宋体" w:hAnsi="宋体" w:eastAsia="宋体" w:cs="宋体"/>
        </w:rPr>
        <w:t>5.</w:t>
      </w:r>
      <w:r>
        <w:rPr>
          <w:rFonts w:hint="eastAsia" w:ascii="宋体" w:hAnsi="宋体" w:cs="宋体"/>
          <w:lang w:val="en-US" w:eastAsia="zh-CN"/>
        </w:rPr>
        <w:t>3</w:t>
      </w:r>
      <w:r>
        <w:rPr>
          <w:rFonts w:hint="eastAsia" w:ascii="宋体" w:hAnsi="宋体" w:eastAsia="宋体" w:cs="宋体"/>
        </w:rPr>
        <w:t>.5监测结果及评价</w:t>
      </w:r>
      <w:bookmarkEnd w:id="137"/>
      <w:bookmarkEnd w:id="138"/>
    </w:p>
    <w:p>
      <w:pPr>
        <w:pStyle w:val="15"/>
        <w:keepNext w:val="0"/>
        <w:keepLines w:val="0"/>
        <w:pageBreakBefore w:val="0"/>
        <w:widowControl w:val="0"/>
        <w:kinsoku/>
        <w:wordWrap/>
        <w:overflowPunct/>
        <w:topLinePunct w:val="0"/>
        <w:autoSpaceDE/>
        <w:autoSpaceDN/>
        <w:bidi w:val="0"/>
        <w:adjustRightInd/>
        <w:snapToGrid/>
        <w:spacing w:before="95" w:beforeLines="30" w:after="95" w:afterLines="30" w:line="480" w:lineRule="exact"/>
        <w:ind w:firstLine="480" w:firstLineChars="200"/>
        <w:textAlignment w:val="auto"/>
        <w:rPr>
          <w:rFonts w:ascii="Times New Roman" w:hAnsi="Times New Roman" w:cs="Times New Roman"/>
          <w:sz w:val="24"/>
          <w:szCs w:val="24"/>
          <w:highlight w:val="none"/>
        </w:rPr>
      </w:pPr>
      <w:r>
        <w:rPr>
          <w:rFonts w:hint="default" w:ascii="Times New Roman" w:hAnsi="Times New Roman" w:cs="Times New Roman"/>
          <w:sz w:val="24"/>
          <w:szCs w:val="24"/>
          <w:highlight w:val="none"/>
        </w:rPr>
        <w:t>噪声监测结果表5-</w:t>
      </w:r>
      <w:r>
        <w:rPr>
          <w:rFonts w:hint="eastAsia" w:ascii="Times New Roman" w:hAnsi="Times New Roman" w:cs="Times New Roman"/>
          <w:sz w:val="24"/>
          <w:szCs w:val="24"/>
          <w:highlight w:val="none"/>
          <w:lang w:val="en-US" w:eastAsia="zh-CN"/>
        </w:rPr>
        <w:t>19</w:t>
      </w:r>
      <w:r>
        <w:rPr>
          <w:rFonts w:hint="default" w:ascii="Times New Roman" w:hAnsi="Times New Roman" w:cs="Times New Roman"/>
          <w:sz w:val="24"/>
          <w:szCs w:val="24"/>
          <w:highlight w:val="none"/>
        </w:rPr>
        <w:t>。</w:t>
      </w:r>
    </w:p>
    <w:p>
      <w:pPr>
        <w:pStyle w:val="15"/>
        <w:spacing w:line="480" w:lineRule="exact"/>
        <w:ind w:firstLine="480" w:firstLineChars="200"/>
        <w:jc w:val="center"/>
        <w:rPr>
          <w:rFonts w:hint="default" w:ascii="Times New Roman" w:hAnsi="Times New Roman" w:cs="Times New Roman" w:eastAsiaTheme="minorEastAsia"/>
          <w:sz w:val="24"/>
          <w:szCs w:val="24"/>
          <w:highlight w:val="none"/>
        </w:rPr>
      </w:pPr>
      <w:bookmarkStart w:id="139" w:name="_Toc12264_WPSOffice_Level2"/>
      <w:r>
        <w:rPr>
          <w:rFonts w:hint="default" w:ascii="Times New Roman" w:hAnsi="Times New Roman" w:cs="Times New Roman" w:eastAsiaTheme="minorEastAsia"/>
          <w:sz w:val="24"/>
          <w:szCs w:val="24"/>
          <w:highlight w:val="none"/>
        </w:rPr>
        <w:t>表5-</w:t>
      </w:r>
      <w:r>
        <w:rPr>
          <w:rFonts w:hint="eastAsia" w:ascii="Times New Roman" w:hAnsi="Times New Roman" w:cs="Times New Roman" w:eastAsiaTheme="minorEastAsia"/>
          <w:sz w:val="24"/>
          <w:szCs w:val="24"/>
          <w:highlight w:val="none"/>
          <w:lang w:val="en-US" w:eastAsia="zh-CN"/>
        </w:rPr>
        <w:t>19</w:t>
      </w:r>
      <w:r>
        <w:rPr>
          <w:rFonts w:hint="default" w:ascii="Times New Roman" w:hAnsi="Times New Roman" w:cs="Times New Roman" w:eastAsiaTheme="minorEastAsia"/>
          <w:sz w:val="24"/>
          <w:szCs w:val="24"/>
          <w:highlight w:val="none"/>
        </w:rPr>
        <w:t xml:space="preserve">  厂界噪声监测结果  ［单位dB（A）］</w:t>
      </w:r>
      <w:bookmarkEnd w:id="139"/>
    </w:p>
    <w:tbl>
      <w:tblPr>
        <w:tblStyle w:val="28"/>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424"/>
        <w:gridCol w:w="1531"/>
        <w:gridCol w:w="1454"/>
        <w:gridCol w:w="1575"/>
        <w:gridCol w:w="2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vMerge w:val="restart"/>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监测日期</w:t>
            </w:r>
          </w:p>
        </w:tc>
        <w:tc>
          <w:tcPr>
            <w:tcW w:w="1424" w:type="dxa"/>
            <w:vMerge w:val="restart"/>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监测时间</w:t>
            </w:r>
          </w:p>
        </w:tc>
        <w:tc>
          <w:tcPr>
            <w:tcW w:w="6722" w:type="dxa"/>
            <w:gridSpan w:val="4"/>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监测点位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vMerge w:val="continue"/>
            <w:tcBorders>
              <w:tl2br w:val="nil"/>
              <w:tr2bl w:val="nil"/>
            </w:tcBorders>
            <w:vAlign w:val="center"/>
          </w:tcPr>
          <w:p>
            <w:pPr>
              <w:autoSpaceDE w:val="0"/>
              <w:autoSpaceDN w:val="0"/>
              <w:adjustRightInd w:val="0"/>
              <w:spacing w:line="300" w:lineRule="exact"/>
              <w:jc w:val="center"/>
              <w:rPr>
                <w:b/>
                <w:bCs/>
                <w:sz w:val="21"/>
                <w:szCs w:val="21"/>
                <w:highlight w:val="none"/>
              </w:rPr>
            </w:pPr>
          </w:p>
        </w:tc>
        <w:tc>
          <w:tcPr>
            <w:tcW w:w="1424" w:type="dxa"/>
            <w:vMerge w:val="continue"/>
            <w:tcBorders>
              <w:tl2br w:val="nil"/>
              <w:tr2bl w:val="nil"/>
            </w:tcBorders>
            <w:vAlign w:val="center"/>
          </w:tcPr>
          <w:p>
            <w:pPr>
              <w:autoSpaceDE w:val="0"/>
              <w:autoSpaceDN w:val="0"/>
              <w:adjustRightInd w:val="0"/>
              <w:spacing w:line="300" w:lineRule="exact"/>
              <w:jc w:val="center"/>
              <w:rPr>
                <w:b/>
                <w:bCs/>
                <w:sz w:val="21"/>
                <w:szCs w:val="21"/>
                <w:highlight w:val="none"/>
              </w:rPr>
            </w:pPr>
          </w:p>
        </w:tc>
        <w:tc>
          <w:tcPr>
            <w:tcW w:w="1531" w:type="dxa"/>
            <w:tcBorders>
              <w:tl2br w:val="nil"/>
              <w:tr2bl w:val="nil"/>
            </w:tcBorders>
            <w:vAlign w:val="center"/>
          </w:tcPr>
          <w:p>
            <w:pPr>
              <w:autoSpaceDE w:val="0"/>
              <w:autoSpaceDN w:val="0"/>
              <w:adjustRightInd w:val="0"/>
              <w:spacing w:line="300" w:lineRule="exact"/>
              <w:ind w:left="-42" w:leftChars="-20" w:right="-42" w:rightChars="-20"/>
              <w:jc w:val="center"/>
              <w:rPr>
                <w:b/>
                <w:bCs/>
                <w:sz w:val="21"/>
                <w:szCs w:val="21"/>
                <w:highlight w:val="none"/>
              </w:rPr>
            </w:pPr>
            <w:r>
              <w:rPr>
                <w:b/>
                <w:bCs/>
                <w:sz w:val="21"/>
                <w:szCs w:val="21"/>
                <w:highlight w:val="none"/>
              </w:rPr>
              <w:t>1#北厂界</w:t>
            </w:r>
          </w:p>
        </w:tc>
        <w:tc>
          <w:tcPr>
            <w:tcW w:w="1454" w:type="dxa"/>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2#西厂界</w:t>
            </w:r>
          </w:p>
        </w:tc>
        <w:tc>
          <w:tcPr>
            <w:tcW w:w="1575" w:type="dxa"/>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3#南厂界</w:t>
            </w:r>
          </w:p>
        </w:tc>
        <w:tc>
          <w:tcPr>
            <w:tcW w:w="2162" w:type="dxa"/>
            <w:tcBorders>
              <w:tl2br w:val="nil"/>
              <w:tr2bl w:val="nil"/>
            </w:tcBorders>
            <w:vAlign w:val="center"/>
          </w:tcPr>
          <w:p>
            <w:pPr>
              <w:autoSpaceDE w:val="0"/>
              <w:autoSpaceDN w:val="0"/>
              <w:adjustRightInd w:val="0"/>
              <w:spacing w:line="300" w:lineRule="exact"/>
              <w:jc w:val="center"/>
              <w:rPr>
                <w:b/>
                <w:bCs/>
                <w:sz w:val="21"/>
                <w:szCs w:val="21"/>
                <w:highlight w:val="none"/>
              </w:rPr>
            </w:pPr>
            <w:r>
              <w:rPr>
                <w:b/>
                <w:bCs/>
                <w:sz w:val="21"/>
                <w:szCs w:val="21"/>
                <w:highlight w:val="none"/>
              </w:rPr>
              <w:t>4#东厂界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708" w:type="dxa"/>
            <w:tcBorders>
              <w:tl2br w:val="nil"/>
              <w:tr2bl w:val="nil"/>
            </w:tcBorders>
            <w:vAlign w:val="center"/>
          </w:tcPr>
          <w:p>
            <w:pPr>
              <w:jc w:val="center"/>
              <w:rPr>
                <w:rFonts w:hint="default"/>
                <w:lang w:val="en-US" w:eastAsia="zh-CN"/>
              </w:rPr>
            </w:pPr>
            <w:r>
              <w:rPr>
                <w:rFonts w:hint="eastAsia" w:ascii="Times New Roman" w:hAnsi="Times New Roman" w:cs="Times New Roman" w:eastAsiaTheme="minorEastAsia"/>
                <w:b/>
                <w:bCs/>
                <w:color w:val="000000"/>
                <w:sz w:val="21"/>
                <w:szCs w:val="21"/>
                <w:highlight w:val="none"/>
                <w:lang w:val="en-US" w:eastAsia="zh-CN"/>
              </w:rPr>
              <w:t>2020.09.25</w:t>
            </w:r>
          </w:p>
        </w:tc>
        <w:tc>
          <w:tcPr>
            <w:tcW w:w="1424"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宋体" w:hAnsi="宋体" w:eastAsia="宋体" w:cs="宋体"/>
                <w:b/>
                <w:bCs/>
                <w:sz w:val="21"/>
                <w:szCs w:val="21"/>
              </w:rPr>
              <w:t>昼间</w:t>
            </w:r>
          </w:p>
        </w:tc>
        <w:tc>
          <w:tcPr>
            <w:tcW w:w="1531"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52.2</w:t>
            </w:r>
          </w:p>
        </w:tc>
        <w:tc>
          <w:tcPr>
            <w:tcW w:w="1454"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55.1</w:t>
            </w:r>
          </w:p>
        </w:tc>
        <w:tc>
          <w:tcPr>
            <w:tcW w:w="1575"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52.4</w:t>
            </w:r>
          </w:p>
        </w:tc>
        <w:tc>
          <w:tcPr>
            <w:tcW w:w="2162"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54.1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lang w:val="en-US" w:eastAsia="zh-CN"/>
              </w:rPr>
            </w:pPr>
            <w:r>
              <w:rPr>
                <w:rFonts w:hint="eastAsia" w:ascii="Times New Roman" w:hAnsi="Times New Roman" w:cs="Times New Roman" w:eastAsiaTheme="minorEastAsia"/>
                <w:b/>
                <w:bCs/>
                <w:color w:val="000000"/>
                <w:sz w:val="21"/>
                <w:szCs w:val="21"/>
                <w:highlight w:val="none"/>
                <w:lang w:val="en-US" w:eastAsia="zh-CN"/>
              </w:rPr>
              <w:t>2020.09.25</w:t>
            </w:r>
          </w:p>
        </w:tc>
        <w:tc>
          <w:tcPr>
            <w:tcW w:w="1424"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宋体" w:hAnsi="宋体" w:cs="宋体"/>
                <w:b/>
                <w:bCs/>
                <w:sz w:val="21"/>
                <w:szCs w:val="21"/>
                <w:lang w:val="en-US" w:eastAsia="zh-CN"/>
              </w:rPr>
              <w:t>夜</w:t>
            </w:r>
            <w:r>
              <w:rPr>
                <w:rFonts w:hint="eastAsia" w:ascii="宋体" w:hAnsi="宋体" w:eastAsia="宋体" w:cs="宋体"/>
                <w:b/>
                <w:bCs/>
                <w:sz w:val="21"/>
                <w:szCs w:val="21"/>
              </w:rPr>
              <w:t>间</w:t>
            </w:r>
          </w:p>
        </w:tc>
        <w:tc>
          <w:tcPr>
            <w:tcW w:w="1531"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45.1</w:t>
            </w:r>
          </w:p>
        </w:tc>
        <w:tc>
          <w:tcPr>
            <w:tcW w:w="1454"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46.1</w:t>
            </w:r>
          </w:p>
        </w:tc>
        <w:tc>
          <w:tcPr>
            <w:tcW w:w="1575"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42.5</w:t>
            </w:r>
          </w:p>
        </w:tc>
        <w:tc>
          <w:tcPr>
            <w:tcW w:w="2162" w:type="dxa"/>
            <w:tcBorders>
              <w:tl2br w:val="nil"/>
              <w:tr2bl w:val="nil"/>
            </w:tcBorders>
            <w:vAlign w:val="center"/>
          </w:tcPr>
          <w:p>
            <w:pPr>
              <w:jc w:val="center"/>
              <w:rPr>
                <w:rFonts w:hint="default" w:ascii="Times New Roman" w:hAnsi="Times New Roman" w:cs="Times New Roman" w:eastAsiaTheme="minorEastAsia"/>
                <w:color w:val="C00000"/>
                <w:sz w:val="21"/>
                <w:szCs w:val="21"/>
                <w:highlight w:val="none"/>
              </w:rPr>
            </w:pPr>
            <w:r>
              <w:rPr>
                <w:rFonts w:hint="eastAsia" w:ascii="Times New Roman" w:hAnsi="Times New Roman" w:cs="Times New Roman" w:eastAsiaTheme="minorEastAsia"/>
                <w:color w:val="auto"/>
                <w:sz w:val="21"/>
                <w:szCs w:val="21"/>
                <w:highlight w:val="none"/>
                <w:lang w:val="en-US" w:eastAsia="zh-CN"/>
              </w:rPr>
              <w:t>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tcBorders>
              <w:tl2br w:val="nil"/>
              <w:tr2bl w:val="nil"/>
            </w:tcBorders>
            <w:vAlign w:val="center"/>
          </w:tcPr>
          <w:p>
            <w:pPr>
              <w:jc w:val="center"/>
              <w:rPr>
                <w:rFonts w:hint="eastAsia" w:ascii="Times New Roman" w:hAnsi="Times New Roman" w:cs="Times New Roman" w:eastAsiaTheme="minorEastAsia"/>
                <w:b/>
                <w:bCs/>
                <w:color w:val="000000"/>
                <w:sz w:val="21"/>
                <w:szCs w:val="21"/>
                <w:highlight w:val="none"/>
                <w:lang w:val="en-US" w:eastAsia="zh-CN"/>
              </w:rPr>
            </w:pPr>
            <w:r>
              <w:rPr>
                <w:rFonts w:hint="eastAsia" w:ascii="Times New Roman" w:hAnsi="Times New Roman" w:cs="Times New Roman" w:eastAsiaTheme="minorEastAsia"/>
                <w:b/>
                <w:bCs/>
                <w:color w:val="000000"/>
                <w:sz w:val="21"/>
                <w:szCs w:val="21"/>
                <w:highlight w:val="none"/>
                <w:lang w:val="en-US" w:eastAsia="zh-CN"/>
              </w:rPr>
              <w:t>2020.09.26</w:t>
            </w:r>
          </w:p>
        </w:tc>
        <w:tc>
          <w:tcPr>
            <w:tcW w:w="1424"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昼间</w:t>
            </w:r>
          </w:p>
        </w:tc>
        <w:tc>
          <w:tcPr>
            <w:tcW w:w="1531"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52.3</w:t>
            </w:r>
          </w:p>
        </w:tc>
        <w:tc>
          <w:tcPr>
            <w:tcW w:w="1454"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54.6</w:t>
            </w:r>
          </w:p>
        </w:tc>
        <w:tc>
          <w:tcPr>
            <w:tcW w:w="1575"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52.4</w:t>
            </w:r>
          </w:p>
        </w:tc>
        <w:tc>
          <w:tcPr>
            <w:tcW w:w="2162"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tcBorders>
              <w:tl2br w:val="nil"/>
              <w:tr2bl w:val="nil"/>
            </w:tcBorders>
            <w:vAlign w:val="center"/>
          </w:tcPr>
          <w:p>
            <w:pPr>
              <w:jc w:val="center"/>
              <w:rPr>
                <w:rFonts w:hint="eastAsia" w:ascii="Times New Roman" w:hAnsi="Times New Roman" w:cs="Times New Roman" w:eastAsiaTheme="minorEastAsia"/>
                <w:b/>
                <w:bCs/>
                <w:color w:val="000000"/>
                <w:sz w:val="21"/>
                <w:szCs w:val="21"/>
                <w:highlight w:val="none"/>
                <w:lang w:val="en-US" w:eastAsia="zh-CN"/>
              </w:rPr>
            </w:pPr>
            <w:r>
              <w:rPr>
                <w:rFonts w:hint="eastAsia" w:ascii="Times New Roman" w:hAnsi="Times New Roman" w:cs="Times New Roman" w:eastAsiaTheme="minorEastAsia"/>
                <w:b/>
                <w:bCs/>
                <w:color w:val="000000"/>
                <w:sz w:val="21"/>
                <w:szCs w:val="21"/>
                <w:highlight w:val="none"/>
                <w:lang w:val="en-US" w:eastAsia="zh-CN"/>
              </w:rPr>
              <w:t>2020.09.26</w:t>
            </w:r>
          </w:p>
        </w:tc>
        <w:tc>
          <w:tcPr>
            <w:tcW w:w="1424"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cs="宋体"/>
                <w:b/>
                <w:bCs/>
                <w:sz w:val="21"/>
                <w:szCs w:val="21"/>
                <w:lang w:val="en-US" w:eastAsia="zh-CN"/>
              </w:rPr>
              <w:t>夜</w:t>
            </w:r>
            <w:r>
              <w:rPr>
                <w:rFonts w:hint="eastAsia" w:ascii="宋体" w:hAnsi="宋体" w:eastAsia="宋体" w:cs="宋体"/>
                <w:b/>
                <w:bCs/>
                <w:sz w:val="21"/>
                <w:szCs w:val="21"/>
              </w:rPr>
              <w:t>间</w:t>
            </w:r>
          </w:p>
        </w:tc>
        <w:tc>
          <w:tcPr>
            <w:tcW w:w="1531"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43.2</w:t>
            </w:r>
          </w:p>
        </w:tc>
        <w:tc>
          <w:tcPr>
            <w:tcW w:w="1454"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46.4</w:t>
            </w:r>
          </w:p>
        </w:tc>
        <w:tc>
          <w:tcPr>
            <w:tcW w:w="1575"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43.4</w:t>
            </w:r>
          </w:p>
        </w:tc>
        <w:tc>
          <w:tcPr>
            <w:tcW w:w="2162"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08" w:type="dxa"/>
            <w:tcBorders>
              <w:tl2br w:val="nil"/>
              <w:tr2bl w:val="nil"/>
            </w:tcBorders>
            <w:vAlign w:val="center"/>
          </w:tcPr>
          <w:p>
            <w:pPr>
              <w:autoSpaceDE w:val="0"/>
              <w:autoSpaceDN w:val="0"/>
              <w:adjustRightInd w:val="0"/>
              <w:spacing w:line="300" w:lineRule="exact"/>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标准限值</w:t>
            </w:r>
          </w:p>
        </w:tc>
        <w:tc>
          <w:tcPr>
            <w:tcW w:w="8146" w:type="dxa"/>
            <w:gridSpan w:val="5"/>
            <w:tcBorders>
              <w:tl2br w:val="nil"/>
              <w:tr2bl w:val="nil"/>
            </w:tcBorders>
            <w:vAlign w:val="center"/>
          </w:tcPr>
          <w:p>
            <w:pPr>
              <w:autoSpaceDE w:val="0"/>
              <w:autoSpaceDN w:val="0"/>
              <w:adjustRightInd w:val="0"/>
              <w:spacing w:line="300" w:lineRule="exact"/>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昼间6</w:t>
            </w:r>
            <w:r>
              <w:rPr>
                <w:rFonts w:hint="eastAsia" w:cs="Times New Roman" w:eastAsiaTheme="minorEastAsia"/>
                <w:color w:val="auto"/>
                <w:sz w:val="21"/>
                <w:szCs w:val="21"/>
                <w:highlight w:val="none"/>
                <w:lang w:val="en-US" w:eastAsia="zh-CN"/>
              </w:rPr>
              <w:t>5</w:t>
            </w:r>
            <w:r>
              <w:rPr>
                <w:rFonts w:hint="eastAsia" w:cs="Times New Roman" w:eastAsiaTheme="minorEastAsia"/>
                <w:color w:val="auto"/>
                <w:sz w:val="21"/>
                <w:szCs w:val="21"/>
                <w:highlight w:val="none"/>
                <w:lang w:eastAsia="zh-CN"/>
              </w:rPr>
              <w:t>、夜间</w:t>
            </w:r>
            <w:r>
              <w:rPr>
                <w:rFonts w:hint="eastAsia" w:cs="Times New Roman" w:eastAsiaTheme="minorEastAsia"/>
                <w:color w:val="auto"/>
                <w:sz w:val="21"/>
                <w:szCs w:val="21"/>
                <w:highlight w:val="none"/>
                <w:lang w:val="en-US" w:eastAsia="zh-CN"/>
              </w:rPr>
              <w:t>55</w:t>
            </w:r>
          </w:p>
        </w:tc>
      </w:tr>
    </w:tbl>
    <w:p>
      <w:pPr>
        <w:autoSpaceDE w:val="0"/>
        <w:autoSpaceDN w:val="0"/>
        <w:adjustRightInd w:val="0"/>
        <w:spacing w:before="78" w:beforeLines="25" w:line="500" w:lineRule="exact"/>
        <w:ind w:firstLine="480" w:firstLineChars="200"/>
        <w:rPr>
          <w:rFonts w:hint="eastAsia"/>
          <w:lang w:val="en-US" w:eastAsia="zh-CN"/>
        </w:rPr>
      </w:pPr>
      <w:r>
        <w:rPr>
          <w:rFonts w:hint="default" w:ascii="Times New Roman" w:hAnsi="Times New Roman" w:cs="Times New Roman" w:eastAsiaTheme="minorEastAsia"/>
          <w:sz w:val="24"/>
          <w:szCs w:val="24"/>
          <w:highlight w:val="none"/>
        </w:rPr>
        <w:t>验收监测期间，</w:t>
      </w:r>
      <w:r>
        <w:rPr>
          <w:rFonts w:hint="eastAsia" w:cs="Times New Roman" w:eastAsiaTheme="minorEastAsia"/>
          <w:sz w:val="24"/>
          <w:szCs w:val="24"/>
          <w:highlight w:val="none"/>
          <w:lang w:eastAsia="zh-CN"/>
        </w:rPr>
        <w:t>北、西、南、东四</w:t>
      </w:r>
      <w:r>
        <w:rPr>
          <w:rFonts w:hint="default" w:ascii="Times New Roman" w:hAnsi="Times New Roman" w:cs="Times New Roman" w:eastAsiaTheme="minorEastAsia"/>
          <w:sz w:val="24"/>
          <w:szCs w:val="24"/>
          <w:highlight w:val="none"/>
        </w:rPr>
        <w:t>个厂界</w:t>
      </w:r>
      <w:r>
        <w:rPr>
          <w:rFonts w:hint="eastAsia" w:hAnsi="宋体"/>
          <w:color w:val="000000"/>
          <w:sz w:val="24"/>
          <w:szCs w:val="24"/>
          <w:lang w:val="zh-CN"/>
        </w:rPr>
        <w:t>昼间噪声最大监测值为</w:t>
      </w:r>
      <w:r>
        <w:rPr>
          <w:rFonts w:hint="eastAsia" w:ascii="Times New Roman" w:hAnsi="Times New Roman" w:cs="Times New Roman" w:eastAsiaTheme="minorEastAsia"/>
          <w:color w:val="auto"/>
          <w:sz w:val="24"/>
          <w:szCs w:val="24"/>
          <w:highlight w:val="none"/>
          <w:lang w:val="en-US" w:eastAsia="zh-CN"/>
        </w:rPr>
        <w:t>为5</w:t>
      </w:r>
      <w:r>
        <w:rPr>
          <w:rFonts w:hint="eastAsia" w:cs="Times New Roman" w:eastAsiaTheme="minorEastAsia"/>
          <w:color w:val="auto"/>
          <w:sz w:val="24"/>
          <w:szCs w:val="24"/>
          <w:highlight w:val="none"/>
          <w:lang w:val="en-US" w:eastAsia="zh-CN"/>
        </w:rPr>
        <w:t>5.2</w:t>
      </w:r>
      <w:r>
        <w:rPr>
          <w:rFonts w:hint="default" w:ascii="Times New Roman" w:hAnsi="Times New Roman" w:cs="Times New Roman" w:eastAsiaTheme="minorEastAsia"/>
          <w:color w:val="auto"/>
          <w:sz w:val="24"/>
          <w:szCs w:val="24"/>
          <w:highlight w:val="none"/>
        </w:rPr>
        <w:t>dB（A）</w:t>
      </w:r>
      <w:r>
        <w:rPr>
          <w:rFonts w:hint="eastAsia" w:ascii="Times New Roman" w:hAnsi="Times New Roman" w:cs="Times New Roman" w:eastAsiaTheme="minorEastAsia"/>
          <w:color w:val="auto"/>
          <w:sz w:val="24"/>
          <w:szCs w:val="24"/>
          <w:highlight w:val="none"/>
          <w:lang w:eastAsia="zh-CN"/>
        </w:rPr>
        <w:t>，</w:t>
      </w:r>
      <w:r>
        <w:rPr>
          <w:rFonts w:hint="eastAsia" w:hAnsi="宋体"/>
          <w:color w:val="000000"/>
          <w:sz w:val="24"/>
          <w:szCs w:val="24"/>
          <w:lang w:val="zh-CN"/>
        </w:rPr>
        <w:t>夜间噪声最大监测值为</w:t>
      </w:r>
      <w:r>
        <w:rPr>
          <w:rFonts w:hint="eastAsia" w:ascii="Times New Roman" w:hAnsi="Times New Roman" w:cs="Times New Roman" w:eastAsiaTheme="minorEastAsia"/>
          <w:color w:val="auto"/>
          <w:sz w:val="24"/>
          <w:szCs w:val="24"/>
          <w:highlight w:val="none"/>
          <w:lang w:val="en-US" w:eastAsia="zh-CN"/>
        </w:rPr>
        <w:t>为</w:t>
      </w:r>
      <w:r>
        <w:rPr>
          <w:rFonts w:hint="eastAsia" w:cs="Times New Roman" w:eastAsiaTheme="minorEastAsia"/>
          <w:color w:val="auto"/>
          <w:sz w:val="24"/>
          <w:szCs w:val="24"/>
          <w:highlight w:val="none"/>
          <w:lang w:val="en-US" w:eastAsia="zh-CN"/>
        </w:rPr>
        <w:t>46.4</w:t>
      </w:r>
      <w:r>
        <w:rPr>
          <w:rFonts w:hint="default" w:ascii="Times New Roman" w:hAnsi="Times New Roman" w:cs="Times New Roman" w:eastAsiaTheme="minorEastAsia"/>
          <w:color w:val="auto"/>
          <w:sz w:val="24"/>
          <w:szCs w:val="24"/>
          <w:highlight w:val="none"/>
        </w:rPr>
        <w:t>dB（A）</w:t>
      </w:r>
      <w:r>
        <w:rPr>
          <w:rFonts w:hint="eastAsia"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满足《工业企业厂界环境噪声排放标准》（GB12348-2008）</w:t>
      </w:r>
      <w:r>
        <w:rPr>
          <w:rFonts w:hint="eastAsia" w:ascii="宋体" w:hAnsi="宋体" w:eastAsia="宋体" w:cs="宋体"/>
          <w:sz w:val="24"/>
          <w:szCs w:val="24"/>
          <w:lang w:val="en-US" w:eastAsia="zh-CN"/>
        </w:rPr>
        <w:t>表1</w:t>
      </w:r>
      <w:r>
        <w:rPr>
          <w:rFonts w:hint="default" w:ascii="Times New Roman" w:hAnsi="Times New Roman" w:cs="Times New Roman" w:eastAsiaTheme="minorEastAsia"/>
          <w:color w:val="auto"/>
          <w:sz w:val="24"/>
          <w:szCs w:val="24"/>
          <w:highlight w:val="none"/>
        </w:rPr>
        <w:t>中</w:t>
      </w:r>
      <w:r>
        <w:rPr>
          <w:rFonts w:hint="eastAsia"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类标准限值要</w:t>
      </w:r>
      <w:r>
        <w:rPr>
          <w:rFonts w:hint="default" w:ascii="Times New Roman" w:hAnsi="Times New Roman" w:cs="Times New Roman" w:eastAsiaTheme="minorEastAsia"/>
          <w:sz w:val="24"/>
          <w:szCs w:val="24"/>
          <w:highlight w:val="none"/>
        </w:rPr>
        <w:t>求。</w:t>
      </w:r>
    </w:p>
    <w:p>
      <w:pPr>
        <w:pStyle w:val="2"/>
        <w:rPr>
          <w:rFonts w:hint="eastAsia"/>
          <w:lang w:val="en-US" w:eastAsia="zh-CN"/>
        </w:rPr>
      </w:pPr>
    </w:p>
    <w:p>
      <w:pPr>
        <w:rPr>
          <w:rFonts w:hint="eastAsia"/>
          <w:lang w:val="en-US" w:eastAsia="zh-CN"/>
        </w:rPr>
        <w:sectPr>
          <w:headerReference r:id="rId8"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5"/>
        <w:jc w:val="center"/>
        <w:rPr>
          <w:rFonts w:hint="default"/>
        </w:rPr>
      </w:pPr>
      <w:bookmarkStart w:id="140" w:name="_Toc10578"/>
      <w:bookmarkStart w:id="141" w:name="_Toc21049"/>
      <w:bookmarkStart w:id="142" w:name="_Toc32338_WPSOffice_Level1"/>
      <w:r>
        <w:rPr>
          <w:rFonts w:hint="default"/>
        </w:rPr>
        <w:t>第</w:t>
      </w:r>
      <w:r>
        <w:rPr>
          <w:rFonts w:hint="eastAsia"/>
          <w:lang w:val="en-US" w:eastAsia="zh-CN"/>
        </w:rPr>
        <w:t>六</w:t>
      </w:r>
      <w:r>
        <w:rPr>
          <w:rFonts w:hint="default"/>
        </w:rPr>
        <w:t>章 环境管理调查</w:t>
      </w:r>
      <w:bookmarkEnd w:id="140"/>
      <w:bookmarkEnd w:id="141"/>
      <w:bookmarkEnd w:id="142"/>
    </w:p>
    <w:p>
      <w:pPr>
        <w:pStyle w:val="6"/>
        <w:rPr>
          <w:rFonts w:hint="eastAsia"/>
        </w:rPr>
      </w:pPr>
      <w:bookmarkStart w:id="143" w:name="_Toc14954_WPSOffice_Level2"/>
      <w:bookmarkStart w:id="144" w:name="_Toc5410"/>
      <w:r>
        <w:rPr>
          <w:rFonts w:hint="eastAsia"/>
        </w:rPr>
        <w:t>6.1 环保设施的管理、运行及维护检查</w:t>
      </w:r>
      <w:bookmarkEnd w:id="143"/>
      <w:bookmarkEnd w:id="144"/>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公司建立</w:t>
      </w:r>
      <w:r>
        <w:rPr>
          <w:rFonts w:hint="default" w:ascii="Times New Roman" w:hAnsi="Times New Roman" w:cs="Times New Roman"/>
          <w:sz w:val="24"/>
          <w:lang w:eastAsia="zh-CN"/>
        </w:rPr>
        <w:t>了</w:t>
      </w:r>
      <w:r>
        <w:rPr>
          <w:rFonts w:hint="default" w:ascii="Times New Roman" w:hAnsi="Times New Roman" w:cs="Times New Roman"/>
          <w:sz w:val="24"/>
        </w:rPr>
        <w:t>健全的环保机构，加强环境管理工作，开展厂内环境监测、监督，并把环保工作纳入生产管理。根据《关于进一步规范和加强企业环境管理的意见》（淄环发[2010]60号文），结合项目生产工艺特点、排污性质，从环境保护的角度出发，建立、健全环保机构和加强环境监测管理，设有环保设施管理、检查及维护人员，定期对各环保设施进行检查、维护，现场核查在用的各类环保设施均处于正常运行状态。</w:t>
      </w:r>
    </w:p>
    <w:p>
      <w:pPr>
        <w:pStyle w:val="6"/>
        <w:rPr>
          <w:rFonts w:hint="eastAsia"/>
        </w:rPr>
      </w:pPr>
      <w:bookmarkStart w:id="145" w:name="_Toc9456_WPSOffice_Level2"/>
      <w:bookmarkStart w:id="146" w:name="_Toc9741"/>
      <w:r>
        <w:rPr>
          <w:rFonts w:hint="eastAsia"/>
        </w:rPr>
        <w:t>6.2 环保投资核查</w:t>
      </w:r>
      <w:bookmarkEnd w:id="145"/>
      <w:bookmarkEnd w:id="146"/>
    </w:p>
    <w:p>
      <w:pPr>
        <w:spacing w:line="500" w:lineRule="exact"/>
        <w:ind w:firstLine="482"/>
        <w:rPr>
          <w:rFonts w:hint="default" w:ascii="Times New Roman" w:hAnsi="Times New Roman" w:cs="Times New Roman"/>
          <w:sz w:val="24"/>
        </w:rPr>
      </w:pPr>
      <w:r>
        <w:rPr>
          <w:rFonts w:hint="default" w:ascii="Times New Roman" w:hAnsi="Times New Roman" w:cs="Times New Roman"/>
          <w:sz w:val="24"/>
        </w:rPr>
        <w:t>项目概算环</w:t>
      </w:r>
      <w:r>
        <w:rPr>
          <w:rFonts w:hint="default" w:ascii="Times New Roman" w:hAnsi="Times New Roman" w:cs="Times New Roman"/>
          <w:color w:val="auto"/>
          <w:sz w:val="24"/>
        </w:rPr>
        <w:t>保</w:t>
      </w:r>
      <w:r>
        <w:rPr>
          <w:rFonts w:hint="eastAsia" w:cs="Times New Roman"/>
          <w:color w:val="auto"/>
          <w:sz w:val="24"/>
          <w:lang w:eastAsia="zh-CN"/>
        </w:rPr>
        <w:t>投资8249.42万元</w:t>
      </w:r>
      <w:r>
        <w:rPr>
          <w:rFonts w:hint="default" w:ascii="Times New Roman" w:hAnsi="Times New Roman" w:cs="Times New Roman"/>
          <w:color w:val="auto"/>
          <w:sz w:val="24"/>
        </w:rPr>
        <w:t>，实际环保投资为</w:t>
      </w:r>
      <w:r>
        <w:rPr>
          <w:rFonts w:hint="eastAsia" w:cs="Times New Roman"/>
          <w:color w:val="auto"/>
          <w:sz w:val="24"/>
          <w:lang w:val="en-US" w:eastAsia="zh-CN"/>
        </w:rPr>
        <w:t>350</w:t>
      </w:r>
      <w:r>
        <w:rPr>
          <w:rFonts w:hint="default" w:ascii="Times New Roman" w:hAnsi="Times New Roman" w:cs="Times New Roman"/>
          <w:color w:val="auto"/>
          <w:sz w:val="24"/>
        </w:rPr>
        <w:t>万元。项</w:t>
      </w:r>
      <w:r>
        <w:rPr>
          <w:rFonts w:hint="default" w:ascii="Times New Roman" w:hAnsi="Times New Roman" w:cs="Times New Roman"/>
          <w:sz w:val="24"/>
        </w:rPr>
        <w:t>目实际环保投资与概算投资对比情况见表6-1。</w:t>
      </w:r>
    </w:p>
    <w:p>
      <w:pPr>
        <w:spacing w:line="480" w:lineRule="exact"/>
        <w:jc w:val="center"/>
        <w:rPr>
          <w:rFonts w:hint="default" w:ascii="Times New Roman" w:hAnsi="Times New Roman" w:eastAsia="宋体" w:cs="Times New Roman"/>
          <w:sz w:val="24"/>
        </w:rPr>
      </w:pPr>
      <w:bookmarkStart w:id="147" w:name="_Toc2706_WPSOffice_Level2"/>
      <w:r>
        <w:rPr>
          <w:rFonts w:hint="default" w:ascii="Times New Roman" w:hAnsi="Times New Roman" w:eastAsia="宋体" w:cs="Times New Roman"/>
          <w:sz w:val="24"/>
        </w:rPr>
        <w:t>表6-1  项目实际环保投资情况</w:t>
      </w:r>
      <w:bookmarkEnd w:id="147"/>
    </w:p>
    <w:tbl>
      <w:tblPr>
        <w:tblStyle w:val="28"/>
        <w:tblW w:w="985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099"/>
        <w:gridCol w:w="4847"/>
        <w:gridCol w:w="216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099"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环保项目</w:t>
            </w:r>
          </w:p>
        </w:tc>
        <w:tc>
          <w:tcPr>
            <w:tcW w:w="4847"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环保设备</w:t>
            </w:r>
          </w:p>
        </w:tc>
        <w:tc>
          <w:tcPr>
            <w:tcW w:w="2169" w:type="dxa"/>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环保投资（万元）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39" w:type="dxa"/>
            <w:vMerge w:val="restart"/>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2099"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r>
              <w:rPr>
                <w:rFonts w:hint="default" w:ascii="Times New Roman" w:hAnsi="Times New Roman" w:eastAsia="宋体" w:cs="Times New Roman"/>
                <w:color w:val="auto"/>
                <w:sz w:val="21"/>
                <w:szCs w:val="21"/>
              </w:rPr>
              <w:t>处理控制</w:t>
            </w:r>
          </w:p>
        </w:tc>
        <w:tc>
          <w:tcPr>
            <w:tcW w:w="4847" w:type="dxa"/>
            <w:vAlign w:val="center"/>
          </w:tcPr>
          <w:p>
            <w:pPr>
              <w:jc w:val="center"/>
              <w:rPr>
                <w:rFonts w:hint="default" w:ascii="Times New Roman" w:hAnsi="Times New Roman" w:eastAsia="宋体" w:cs="Times New Roman"/>
                <w:color w:val="auto"/>
                <w:sz w:val="21"/>
                <w:szCs w:val="21"/>
                <w:lang w:val="en-US" w:eastAsia="zh-CN"/>
              </w:rPr>
            </w:pPr>
            <w:r>
              <w:rPr>
                <w:rFonts w:hint="eastAsia" w:ascii="宋体" w:hAnsi="宋体" w:cs="宋体"/>
                <w:kern w:val="0"/>
                <w:szCs w:val="21"/>
              </w:rPr>
              <w:t>二吸塔尾气吸收及在线监测</w:t>
            </w:r>
          </w:p>
        </w:tc>
        <w:tc>
          <w:tcPr>
            <w:tcW w:w="216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2099" w:type="dxa"/>
            <w:vMerge w:val="continue"/>
            <w:vAlign w:val="center"/>
          </w:tcPr>
          <w:p>
            <w:pPr>
              <w:jc w:val="center"/>
              <w:rPr>
                <w:rFonts w:hint="default" w:ascii="Times New Roman" w:hAnsi="Times New Roman" w:eastAsia="宋体" w:cs="Times New Roman"/>
                <w:color w:val="auto"/>
                <w:sz w:val="21"/>
                <w:szCs w:val="21"/>
                <w:lang w:eastAsia="zh-CN"/>
              </w:rPr>
            </w:pPr>
          </w:p>
        </w:tc>
        <w:tc>
          <w:tcPr>
            <w:tcW w:w="4847" w:type="dxa"/>
            <w:vAlign w:val="center"/>
          </w:tcPr>
          <w:p>
            <w:pPr>
              <w:jc w:val="center"/>
              <w:rPr>
                <w:rFonts w:hint="eastAsia" w:eastAsia="宋体" w:cs="Times New Roman"/>
                <w:color w:val="auto"/>
                <w:sz w:val="21"/>
                <w:szCs w:val="21"/>
                <w:lang w:val="en-US" w:eastAsia="zh-CN"/>
              </w:rPr>
            </w:pPr>
            <w:r>
              <w:rPr>
                <w:rFonts w:hint="eastAsia" w:ascii="宋体" w:hAnsi="宋体" w:cs="宋体"/>
                <w:kern w:val="0"/>
                <w:szCs w:val="21"/>
              </w:rPr>
              <w:t>尾气管道输送系统</w:t>
            </w:r>
          </w:p>
        </w:tc>
        <w:tc>
          <w:tcPr>
            <w:tcW w:w="2169"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2099"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w:t>
            </w:r>
            <w:r>
              <w:rPr>
                <w:rFonts w:hint="eastAsia" w:cs="Times New Roman"/>
                <w:color w:val="auto"/>
                <w:sz w:val="21"/>
                <w:szCs w:val="21"/>
                <w:lang w:eastAsia="zh-CN"/>
              </w:rPr>
              <w:t>水</w:t>
            </w:r>
            <w:r>
              <w:rPr>
                <w:rFonts w:hint="default" w:ascii="Times New Roman" w:hAnsi="Times New Roman" w:eastAsia="宋体" w:cs="Times New Roman"/>
                <w:color w:val="auto"/>
                <w:sz w:val="21"/>
                <w:szCs w:val="21"/>
              </w:rPr>
              <w:t>处理控制</w:t>
            </w:r>
          </w:p>
        </w:tc>
        <w:tc>
          <w:tcPr>
            <w:tcW w:w="4847" w:type="dxa"/>
            <w:vAlign w:val="center"/>
          </w:tcPr>
          <w:p>
            <w:pPr>
              <w:jc w:val="center"/>
              <w:rPr>
                <w:rFonts w:hint="eastAsia" w:cs="Times New Roman"/>
                <w:color w:val="auto"/>
                <w:sz w:val="21"/>
                <w:szCs w:val="21"/>
                <w:lang w:val="en-US" w:eastAsia="zh-CN"/>
              </w:rPr>
            </w:pPr>
            <w:r>
              <w:rPr>
                <w:rFonts w:hint="eastAsia" w:ascii="宋体" w:hAnsi="宋体" w:cs="宋体"/>
                <w:kern w:val="0"/>
                <w:szCs w:val="21"/>
              </w:rPr>
              <w:t>污水管网、事故废水导排系统</w:t>
            </w:r>
          </w:p>
        </w:tc>
        <w:tc>
          <w:tcPr>
            <w:tcW w:w="2169"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209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噪声处理控制</w:t>
            </w:r>
          </w:p>
        </w:tc>
        <w:tc>
          <w:tcPr>
            <w:tcW w:w="4847" w:type="dxa"/>
            <w:vAlign w:val="center"/>
          </w:tcPr>
          <w:p>
            <w:pPr>
              <w:jc w:val="center"/>
              <w:rPr>
                <w:rFonts w:hint="default" w:ascii="Times New Roman" w:hAnsi="Times New Roman" w:eastAsia="宋体" w:cs="Times New Roman"/>
                <w:color w:val="auto"/>
                <w:sz w:val="21"/>
                <w:szCs w:val="21"/>
                <w:lang w:eastAsia="zh-CN"/>
              </w:rPr>
            </w:pPr>
            <w:r>
              <w:rPr>
                <w:rFonts w:hint="eastAsia" w:ascii="宋体" w:hAnsi="宋体" w:cs="宋体"/>
                <w:kern w:val="0"/>
                <w:szCs w:val="21"/>
              </w:rPr>
              <w:t>设备基础减震、降噪、声屏障</w:t>
            </w:r>
          </w:p>
        </w:tc>
        <w:tc>
          <w:tcPr>
            <w:tcW w:w="216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209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固废</w:t>
            </w:r>
            <w:r>
              <w:rPr>
                <w:rFonts w:hint="default" w:ascii="Times New Roman" w:hAnsi="Times New Roman" w:eastAsia="宋体" w:cs="Times New Roman"/>
                <w:color w:val="auto"/>
                <w:sz w:val="21"/>
                <w:szCs w:val="21"/>
              </w:rPr>
              <w:t>处理控制</w:t>
            </w:r>
          </w:p>
        </w:tc>
        <w:tc>
          <w:tcPr>
            <w:tcW w:w="4847"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垃圾桶、危</w:t>
            </w:r>
            <w:r>
              <w:rPr>
                <w:rFonts w:hint="eastAsia" w:cs="Times New Roman"/>
                <w:color w:val="auto"/>
                <w:sz w:val="21"/>
                <w:szCs w:val="21"/>
                <w:lang w:eastAsia="zh-CN"/>
              </w:rPr>
              <w:t>废库防腐防渗</w:t>
            </w:r>
          </w:p>
        </w:tc>
        <w:tc>
          <w:tcPr>
            <w:tcW w:w="216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2099" w:type="dxa"/>
            <w:vAlign w:val="center"/>
          </w:tcPr>
          <w:p>
            <w:pPr>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绿化</w:t>
            </w:r>
          </w:p>
        </w:tc>
        <w:tc>
          <w:tcPr>
            <w:tcW w:w="4847" w:type="dxa"/>
            <w:vAlign w:val="center"/>
          </w:tcPr>
          <w:p>
            <w:pPr>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厂区绿化</w:t>
            </w:r>
          </w:p>
        </w:tc>
        <w:tc>
          <w:tcPr>
            <w:tcW w:w="2169" w:type="dxa"/>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5"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2169"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w:t>
            </w:r>
          </w:p>
        </w:tc>
      </w:tr>
    </w:tbl>
    <w:p>
      <w:pPr>
        <w:pStyle w:val="6"/>
        <w:rPr>
          <w:rFonts w:hint="eastAsia" w:ascii="宋体" w:hAnsi="宋体" w:eastAsia="宋体" w:cs="宋体"/>
        </w:rPr>
      </w:pPr>
      <w:bookmarkStart w:id="148" w:name="_Toc14765"/>
      <w:bookmarkStart w:id="149" w:name="_Toc30912_WPSOffice_Level2"/>
      <w:r>
        <w:rPr>
          <w:rFonts w:hint="eastAsia" w:ascii="宋体" w:hAnsi="宋体" w:eastAsia="宋体" w:cs="宋体"/>
        </w:rPr>
        <w:t>6.3 固废核查</w:t>
      </w:r>
      <w:bookmarkEnd w:id="148"/>
      <w:bookmarkEnd w:id="149"/>
    </w:p>
    <w:p>
      <w:pPr>
        <w:spacing w:line="360" w:lineRule="auto"/>
        <w:ind w:firstLine="480" w:firstLineChars="200"/>
        <w:rPr>
          <w:rFonts w:hint="eastAsia" w:ascii="宋体" w:hAnsi="宋体" w:eastAsia="宋体" w:cs="宋体"/>
          <w:color w:val="C00000"/>
          <w:sz w:val="24"/>
          <w:szCs w:val="24"/>
          <w:lang w:eastAsia="zh-CN"/>
        </w:rPr>
      </w:pPr>
      <w:bookmarkStart w:id="150" w:name="_Toc25003"/>
      <w:bookmarkStart w:id="151" w:name="_Toc4882"/>
      <w:bookmarkStart w:id="152" w:name="_Toc17443_WPSOffice_Level1"/>
      <w:r>
        <w:rPr>
          <w:rFonts w:hint="eastAsia" w:ascii="宋体" w:hAnsi="宋体" w:eastAsia="宋体" w:cs="宋体"/>
          <w:sz w:val="24"/>
          <w:szCs w:val="24"/>
        </w:rPr>
        <w:t>本项目产生的固体废物包括一般固废</w:t>
      </w:r>
      <w:r>
        <w:rPr>
          <w:rFonts w:hint="eastAsia" w:ascii="宋体" w:hAnsi="宋体" w:eastAsia="宋体" w:cs="宋体"/>
          <w:sz w:val="24"/>
          <w:szCs w:val="24"/>
          <w:lang w:eastAsia="zh-CN"/>
        </w:rPr>
        <w:t>、危险固废和职工生活垃圾</w:t>
      </w:r>
      <w:r>
        <w:rPr>
          <w:rFonts w:hint="eastAsia" w:ascii="宋体" w:hAnsi="宋体" w:cs="宋体"/>
          <w:sz w:val="24"/>
          <w:szCs w:val="24"/>
          <w:lang w:eastAsia="zh-CN"/>
        </w:rPr>
        <w:t>。</w:t>
      </w:r>
    </w:p>
    <w:p>
      <w:pPr>
        <w:spacing w:line="360" w:lineRule="auto"/>
        <w:ind w:left="1200" w:hanging="1200" w:hangingChars="500"/>
        <w:jc w:val="left"/>
        <w:rPr>
          <w:rFonts w:hint="eastAsia" w:ascii="宋体" w:hAnsi="宋体" w:eastAsia="宋体" w:cs="宋体"/>
          <w:sz w:val="24"/>
          <w:szCs w:val="24"/>
          <w:lang w:eastAsia="zh-CN"/>
        </w:rPr>
      </w:pPr>
      <w:r>
        <w:rPr>
          <w:rFonts w:hint="eastAsia" w:ascii="宋体" w:hAnsi="宋体" w:eastAsia="宋体" w:cs="宋体"/>
          <w:sz w:val="24"/>
          <w:szCs w:val="24"/>
        </w:rPr>
        <w:t>一般固废：</w:t>
      </w:r>
      <w:r>
        <w:rPr>
          <w:rFonts w:hint="eastAsia" w:ascii="宋体" w:hAnsi="宋体"/>
          <w:sz w:val="24"/>
        </w:rPr>
        <w:t>空气过滤器过滤和除雾器除雾过程产生</w:t>
      </w:r>
      <w:r>
        <w:rPr>
          <w:rFonts w:hint="eastAsia" w:ascii="宋体" w:hAnsi="宋体"/>
          <w:sz w:val="24"/>
          <w:lang w:eastAsia="zh-CN"/>
        </w:rPr>
        <w:t>的</w:t>
      </w:r>
      <w:r>
        <w:rPr>
          <w:rFonts w:hint="eastAsia" w:hAnsi="宋体"/>
          <w:color w:val="000000"/>
          <w:sz w:val="24"/>
          <w:szCs w:val="24"/>
        </w:rPr>
        <w:t>废滤芯、</w:t>
      </w:r>
      <w:r>
        <w:rPr>
          <w:rFonts w:hint="eastAsia" w:hAnsi="宋体"/>
          <w:color w:val="000000"/>
          <w:sz w:val="24"/>
          <w:szCs w:val="24"/>
          <w:lang w:eastAsia="zh-CN"/>
        </w:rPr>
        <w:t>废</w:t>
      </w:r>
      <w:r>
        <w:rPr>
          <w:rFonts w:hint="eastAsia" w:hAnsi="宋体"/>
          <w:color w:val="000000"/>
          <w:sz w:val="24"/>
          <w:szCs w:val="24"/>
        </w:rPr>
        <w:t>滤网由厂家定期更换</w:t>
      </w:r>
      <w:r>
        <w:rPr>
          <w:rFonts w:hint="eastAsia" w:hAnsi="宋体"/>
          <w:color w:val="000000"/>
          <w:sz w:val="24"/>
          <w:szCs w:val="24"/>
          <w:lang w:eastAsia="zh-CN"/>
        </w:rPr>
        <w:t>。</w:t>
      </w:r>
    </w:p>
    <w:p>
      <w:pPr>
        <w:spacing w:line="360" w:lineRule="auto"/>
        <w:ind w:left="1200" w:hanging="1200" w:hangingChars="500"/>
        <w:rPr>
          <w:rFonts w:hint="eastAsia" w:ascii="宋体" w:hAnsi="宋体" w:eastAsia="宋体" w:cs="宋体"/>
          <w:color w:val="auto"/>
          <w:sz w:val="24"/>
          <w:szCs w:val="24"/>
          <w:lang w:eastAsia="zh-CN"/>
        </w:rPr>
      </w:pPr>
      <w:r>
        <w:rPr>
          <w:rFonts w:hint="eastAsia" w:ascii="宋体" w:hAnsi="宋体" w:eastAsia="宋体" w:cs="宋体"/>
          <w:sz w:val="24"/>
          <w:szCs w:val="24"/>
        </w:rPr>
        <w:t>危险固废：</w:t>
      </w:r>
      <w:r>
        <w:rPr>
          <w:rFonts w:hint="eastAsia" w:ascii="宋体" w:hAnsi="宋体"/>
          <w:sz w:val="24"/>
        </w:rPr>
        <w:t>转化工段产生</w:t>
      </w:r>
      <w:r>
        <w:rPr>
          <w:rFonts w:hint="eastAsia" w:ascii="宋体" w:hAnsi="宋体"/>
          <w:sz w:val="24"/>
          <w:lang w:eastAsia="zh-CN"/>
        </w:rPr>
        <w:t>的</w:t>
      </w:r>
      <w:r>
        <w:rPr>
          <w:rFonts w:hint="eastAsia" w:hAnsi="宋体"/>
          <w:color w:val="000000"/>
          <w:sz w:val="24"/>
          <w:szCs w:val="24"/>
        </w:rPr>
        <w:t>废催化剂、</w:t>
      </w:r>
      <w:r>
        <w:rPr>
          <w:rFonts w:hint="eastAsia" w:ascii="宋体" w:hAnsi="宋体"/>
          <w:sz w:val="24"/>
        </w:rPr>
        <w:t>脱盐水制备</w:t>
      </w:r>
      <w:r>
        <w:rPr>
          <w:rFonts w:hint="eastAsia" w:ascii="宋体" w:hAnsi="宋体"/>
          <w:sz w:val="24"/>
          <w:lang w:eastAsia="zh-CN"/>
        </w:rPr>
        <w:t>采用</w:t>
      </w:r>
      <w:r>
        <w:rPr>
          <w:rFonts w:hint="eastAsia" w:ascii="宋体" w:hAnsi="宋体"/>
          <w:sz w:val="24"/>
        </w:rPr>
        <w:t>反渗透+阴阳离子交换</w:t>
      </w:r>
      <w:r>
        <w:rPr>
          <w:rFonts w:hint="eastAsia" w:ascii="宋体" w:hAnsi="宋体"/>
          <w:sz w:val="24"/>
          <w:lang w:eastAsia="zh-CN"/>
        </w:rPr>
        <w:t>定期更换下来的</w:t>
      </w:r>
      <w:r>
        <w:rPr>
          <w:rFonts w:hint="eastAsia" w:hAnsi="宋体"/>
          <w:color w:val="000000"/>
          <w:sz w:val="24"/>
          <w:szCs w:val="24"/>
        </w:rPr>
        <w:t>废离子树脂、污水处理</w:t>
      </w:r>
      <w:r>
        <w:rPr>
          <w:rFonts w:hint="eastAsia" w:hAnsi="宋体"/>
          <w:color w:val="000000"/>
          <w:sz w:val="24"/>
          <w:szCs w:val="24"/>
          <w:lang w:eastAsia="zh-CN"/>
        </w:rPr>
        <w:t>站产生的</w:t>
      </w:r>
      <w:r>
        <w:rPr>
          <w:rFonts w:hint="eastAsia" w:hAnsi="宋体"/>
          <w:color w:val="000000"/>
          <w:sz w:val="24"/>
          <w:szCs w:val="24"/>
        </w:rPr>
        <w:t>污泥和</w:t>
      </w:r>
      <w:r>
        <w:rPr>
          <w:rFonts w:hint="eastAsia" w:ascii="宋体" w:hAnsi="宋体"/>
          <w:sz w:val="24"/>
        </w:rPr>
        <w:t>溶液净化装置中</w:t>
      </w:r>
      <w:r>
        <w:rPr>
          <w:rFonts w:hint="eastAsia" w:ascii="宋体" w:hAnsi="宋体"/>
          <w:sz w:val="24"/>
          <w:lang w:eastAsia="zh-CN"/>
        </w:rPr>
        <w:t>产生的</w:t>
      </w:r>
      <w:r>
        <w:rPr>
          <w:rFonts w:hint="eastAsia" w:hAnsi="宋体"/>
          <w:color w:val="000000"/>
          <w:sz w:val="24"/>
          <w:szCs w:val="24"/>
        </w:rPr>
        <w:t>废活性炭</w:t>
      </w:r>
      <w:r>
        <w:rPr>
          <w:rFonts w:hint="eastAsia" w:ascii="宋体" w:hAnsi="宋体" w:eastAsia="宋体" w:cs="宋体"/>
          <w:sz w:val="24"/>
          <w:szCs w:val="24"/>
        </w:rPr>
        <w:t>定期委托具有危废处置资质</w:t>
      </w:r>
      <w:r>
        <w:rPr>
          <w:rFonts w:hint="eastAsia" w:ascii="宋体" w:hAnsi="宋体" w:cs="宋体"/>
          <w:sz w:val="24"/>
          <w:szCs w:val="24"/>
          <w:lang w:eastAsia="zh-CN"/>
        </w:rPr>
        <w:t>的</w:t>
      </w:r>
      <w:r>
        <w:rPr>
          <w:rFonts w:hint="eastAsia" w:cs="Times New Roman"/>
          <w:sz w:val="24"/>
          <w:szCs w:val="24"/>
          <w:lang w:eastAsia="zh-CN"/>
        </w:rPr>
        <w:t>德州泉润环境资源有限公司</w:t>
      </w:r>
      <w:r>
        <w:rPr>
          <w:rFonts w:hint="eastAsia" w:ascii="宋体" w:hAnsi="宋体" w:eastAsia="宋体" w:cs="宋体"/>
          <w:sz w:val="24"/>
          <w:szCs w:val="24"/>
        </w:rPr>
        <w:t>处理。</w:t>
      </w:r>
    </w:p>
    <w:p>
      <w:pPr>
        <w:pStyle w:val="2"/>
        <w:ind w:left="0" w:leftChars="0" w:firstLine="0" w:firstLineChars="0"/>
        <w:rPr>
          <w:rFonts w:hint="eastAsia"/>
          <w:sz w:val="24"/>
          <w:szCs w:val="24"/>
          <w:lang w:eastAsia="zh-CN"/>
        </w:rPr>
      </w:pPr>
      <w:r>
        <w:rPr>
          <w:rFonts w:hint="eastAsia" w:ascii="宋体" w:hAnsi="宋体" w:eastAsia="宋体" w:cs="宋体"/>
          <w:color w:val="auto"/>
          <w:sz w:val="24"/>
          <w:szCs w:val="24"/>
          <w:lang w:val="en-US" w:eastAsia="zh-CN"/>
        </w:rPr>
        <w:t>职工生活垃圾：</w:t>
      </w:r>
      <w:r>
        <w:rPr>
          <w:rFonts w:hint="eastAsia" w:hAnsi="宋体"/>
          <w:color w:val="000000"/>
          <w:szCs w:val="21"/>
        </w:rPr>
        <w:t>由厂区垃圾桶收集</w:t>
      </w:r>
      <w:r>
        <w:rPr>
          <w:rFonts w:hint="eastAsia" w:hAnsi="宋体"/>
          <w:color w:val="000000"/>
          <w:szCs w:val="21"/>
          <w:lang w:eastAsia="zh-CN"/>
        </w:rPr>
        <w:t>后</w:t>
      </w:r>
      <w:r>
        <w:rPr>
          <w:rFonts w:hint="eastAsia" w:hAnsi="宋体"/>
          <w:color w:val="000000"/>
        </w:rPr>
        <w:t>由环卫部门定期清运。</w:t>
      </w:r>
    </w:p>
    <w:p>
      <w:pPr>
        <w:pStyle w:val="5"/>
        <w:jc w:val="center"/>
      </w:pPr>
      <w:r>
        <w:rPr>
          <w:rFonts w:hint="eastAsia"/>
        </w:rPr>
        <w:t>第</w:t>
      </w:r>
      <w:r>
        <w:rPr>
          <w:rFonts w:hint="eastAsia"/>
          <w:lang w:val="en-US" w:eastAsia="zh-CN"/>
        </w:rPr>
        <w:t>七</w:t>
      </w:r>
      <w:r>
        <w:rPr>
          <w:rFonts w:hint="eastAsia"/>
          <w:highlight w:val="none"/>
        </w:rPr>
        <w:t>章  环评批复</w:t>
      </w:r>
      <w:r>
        <w:rPr>
          <w:rFonts w:hint="eastAsia"/>
        </w:rPr>
        <w:t>落实情况检查内容</w:t>
      </w:r>
      <w:bookmarkEnd w:id="150"/>
      <w:bookmarkEnd w:id="151"/>
      <w:bookmarkEnd w:id="152"/>
    </w:p>
    <w:tbl>
      <w:tblPr>
        <w:tblStyle w:val="28"/>
        <w:tblW w:w="99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4247"/>
        <w:gridCol w:w="4378"/>
        <w:gridCol w:w="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439" w:type="dxa"/>
            <w:tcBorders>
              <w:tl2br w:val="nil"/>
              <w:tr2bl w:val="nil"/>
            </w:tcBorders>
            <w:vAlign w:val="center"/>
          </w:tcPr>
          <w:p>
            <w:pPr>
              <w:pStyle w:val="19"/>
              <w:pBdr>
                <w:bottom w:val="none" w:color="auto" w:sz="0" w:space="0"/>
              </w:pBdr>
              <w:tabs>
                <w:tab w:val="left" w:pos="420"/>
              </w:tabs>
              <w:snapToGrid/>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247" w:type="dxa"/>
            <w:tcBorders>
              <w:tl2br w:val="nil"/>
              <w:tr2bl w:val="nil"/>
            </w:tcBorders>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环评批复要求</w:t>
            </w: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淄环审[2016]52号</w:t>
            </w:r>
            <w:r>
              <w:rPr>
                <w:rFonts w:hint="default" w:ascii="Times New Roman" w:hAnsi="Times New Roman" w:eastAsia="宋体" w:cs="Times New Roman"/>
                <w:b/>
                <w:bCs/>
                <w:color w:val="auto"/>
                <w:sz w:val="21"/>
                <w:szCs w:val="21"/>
                <w:lang w:eastAsia="zh-CN"/>
              </w:rPr>
              <w:t>）</w:t>
            </w:r>
          </w:p>
        </w:tc>
        <w:tc>
          <w:tcPr>
            <w:tcW w:w="4378" w:type="dxa"/>
            <w:tcBorders>
              <w:tl2br w:val="nil"/>
              <w:tr2bl w:val="nil"/>
            </w:tcBorders>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实际建设情况</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72"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47" w:type="dxa"/>
            <w:tcBorders>
              <w:tl2br w:val="nil"/>
              <w:tr2bl w:val="nil"/>
            </w:tcBorders>
            <w:vAlign w:val="center"/>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项目运营期有组织废气主要为二吸塔尾气</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经除雾器+湍流脱硫塔石灰乳碱液喷淋吸收后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经60m排气筒排放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 xml:space="preserve">、硫酸雾、单位产品基准排放量达到《硫酸工业污染物排放标准》 </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表6、表7排放限值要求;NOx达到《大气污染物综合排放标准》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GB16297-1996</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表2排放限值要求</w:t>
            </w:r>
            <w:r>
              <w:rPr>
                <w:rFonts w:hint="eastAsia" w:ascii="Times New Roman" w:hAnsi="Times New Roman" w:eastAsia="宋体" w:cs="Times New Roman"/>
                <w:sz w:val="21"/>
                <w:szCs w:val="21"/>
                <w:lang w:eastAsia="zh-CN"/>
              </w:rPr>
              <w:t>。</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加强精细化管理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采用密封性好的设备、采用密闭装卸和进料系统等减少无组织废气排放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确保厂界无异味。</w:t>
            </w:r>
            <w:r>
              <w:rPr>
                <w:rFonts w:hint="eastAsia" w:ascii="Times New Roman" w:hAnsi="Times New Roman" w:eastAsia="宋体" w:cs="Times New Roman"/>
                <w:sz w:val="21"/>
                <w:szCs w:val="21"/>
                <w:lang w:eastAsia="zh-CN"/>
              </w:rPr>
              <w:t>无组织废气排放</w:t>
            </w: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、硫酸雾确保达到《硫酸工业污染排放标准》（</w:t>
            </w:r>
            <w:r>
              <w:rPr>
                <w:rFonts w:hint="eastAsia" w:ascii="Times New Roman" w:hAnsi="Times New Roman" w:eastAsia="宋体" w:cs="Times New Roman"/>
                <w:sz w:val="21"/>
                <w:szCs w:val="21"/>
                <w:lang w:val="en-US" w:eastAsia="zh-CN"/>
              </w:rPr>
              <w:t>GB26132-2010</w:t>
            </w:r>
            <w:r>
              <w:rPr>
                <w:rFonts w:hint="eastAsia" w:ascii="Times New Roman" w:hAnsi="Times New Roman" w:eastAsia="宋体" w:cs="Times New Roman"/>
                <w:sz w:val="21"/>
                <w:szCs w:val="21"/>
                <w:lang w:eastAsia="zh-CN"/>
              </w:rPr>
              <w:t>）表</w:t>
            </w:r>
            <w:r>
              <w:rPr>
                <w:rFonts w:hint="eastAsia" w:ascii="Times New Roman" w:hAnsi="Times New Roman" w:eastAsia="宋体" w:cs="Times New Roman"/>
                <w:sz w:val="21"/>
                <w:szCs w:val="21"/>
                <w:lang w:val="en-US" w:eastAsia="zh-CN"/>
              </w:rPr>
              <w:t>8排放限值要求；颗粒物确保达到《山东省固定源大气污染源综合排放标准》（DB37/1996-2011）标准要求。</w:t>
            </w:r>
          </w:p>
          <w:p>
            <w:pPr>
              <w:spacing w:line="360" w:lineRule="auto"/>
              <w:ind w:firstLine="420" w:firstLineChars="200"/>
              <w:rPr>
                <w:rFonts w:hint="default" w:ascii="Times New Roman" w:hAnsi="Times New Roman" w:eastAsia="宋体" w:cs="Times New Roman"/>
                <w:color w:val="C00000"/>
                <w:sz w:val="21"/>
                <w:szCs w:val="21"/>
                <w:lang w:eastAsia="zh-CN"/>
              </w:rPr>
            </w:pPr>
          </w:p>
        </w:tc>
        <w:tc>
          <w:tcPr>
            <w:tcW w:w="4378" w:type="dxa"/>
            <w:tcBorders>
              <w:tl2br w:val="nil"/>
              <w:tr2bl w:val="nil"/>
            </w:tcBorders>
            <w:vAlign w:val="center"/>
          </w:tcPr>
          <w:p>
            <w:pPr>
              <w:spacing w:line="360" w:lineRule="auto"/>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color w:val="auto"/>
                <w:kern w:val="2"/>
                <w:sz w:val="21"/>
                <w:szCs w:val="21"/>
                <w:highlight w:val="none"/>
                <w:lang w:val="en-US" w:eastAsia="zh-CN" w:bidi="ar-SA"/>
              </w:rPr>
              <w:t>经现场检测</w:t>
            </w:r>
            <w:r>
              <w:rPr>
                <w:rFonts w:hint="default" w:ascii="Times New Roman" w:hAnsi="Times New Roman" w:eastAsia="宋体" w:cs="Times New Roman"/>
                <w:color w:val="auto"/>
                <w:sz w:val="21"/>
                <w:szCs w:val="21"/>
                <w:highlight w:val="none"/>
              </w:rPr>
              <w:t>项</w:t>
            </w:r>
            <w:r>
              <w:rPr>
                <w:rFonts w:hint="default" w:ascii="Times New Roman" w:hAnsi="Times New Roman" w:eastAsia="宋体" w:cs="Times New Roman"/>
                <w:sz w:val="21"/>
                <w:szCs w:val="21"/>
                <w:highlight w:val="none"/>
              </w:rPr>
              <w:t>目运营期有</w:t>
            </w:r>
            <w:r>
              <w:rPr>
                <w:rFonts w:hint="default" w:ascii="Times New Roman" w:hAnsi="Times New Roman" w:eastAsia="宋体" w:cs="Times New Roman"/>
                <w:sz w:val="21"/>
                <w:szCs w:val="21"/>
              </w:rPr>
              <w:t>组织废气主要为二吸塔尾气</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经除雾器</w:t>
            </w:r>
            <w:r>
              <w:rPr>
                <w:rFonts w:hint="default" w:ascii="Times New Roman" w:hAnsi="Times New Roman" w:eastAsia="宋体" w:cs="Times New Roman"/>
                <w:sz w:val="21"/>
                <w:szCs w:val="21"/>
                <w:lang w:eastAsia="zh-CN"/>
              </w:rPr>
              <w:t>除雾</w:t>
            </w:r>
            <w:r>
              <w:rPr>
                <w:rFonts w:hint="default" w:ascii="Times New Roman" w:hAnsi="Times New Roman" w:eastAsia="宋体" w:cs="Times New Roman"/>
                <w:sz w:val="21"/>
                <w:szCs w:val="21"/>
              </w:rPr>
              <w:t>+湍流脱硫塔</w:t>
            </w:r>
            <w:r>
              <w:rPr>
                <w:rFonts w:hint="default" w:ascii="Times New Roman" w:hAnsi="Times New Roman" w:eastAsia="宋体" w:cs="Times New Roman"/>
                <w:sz w:val="21"/>
                <w:szCs w:val="21"/>
                <w:lang w:eastAsia="zh-CN"/>
              </w:rPr>
              <w:t>离子液脱硫吸收</w:t>
            </w:r>
            <w:r>
              <w:rPr>
                <w:rFonts w:hint="default" w:ascii="Times New Roman" w:hAnsi="Times New Roman" w:eastAsia="宋体" w:cs="Times New Roman"/>
                <w:sz w:val="21"/>
                <w:szCs w:val="21"/>
              </w:rPr>
              <w:t>后</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经60m排气筒排放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bCs/>
                <w:sz w:val="21"/>
                <w:szCs w:val="21"/>
                <w:highlight w:val="none"/>
                <w:lang w:eastAsia="zh-CN"/>
              </w:rPr>
              <w:t>有</w:t>
            </w:r>
            <w:r>
              <w:rPr>
                <w:rFonts w:hint="default" w:ascii="Times New Roman" w:hAnsi="Times New Roman" w:eastAsia="宋体" w:cs="Times New Roman"/>
                <w:bCs/>
                <w:sz w:val="21"/>
                <w:szCs w:val="21"/>
                <w:highlight w:val="none"/>
              </w:rPr>
              <w:t>组织</w:t>
            </w:r>
            <w:r>
              <w:rPr>
                <w:rFonts w:hint="default" w:ascii="Times New Roman" w:hAnsi="Times New Roman" w:eastAsia="宋体" w:cs="Times New Roman"/>
                <w:sz w:val="21"/>
                <w:szCs w:val="21"/>
                <w:highlight w:val="none"/>
                <w:lang w:val="en-US" w:eastAsia="zh-CN"/>
              </w:rPr>
              <w:t>二氧化硫、硫酸雾、氮氧化物</w:t>
            </w:r>
            <w:r>
              <w:rPr>
                <w:rFonts w:hint="default" w:ascii="Times New Roman" w:hAnsi="Times New Roman" w:eastAsia="宋体" w:cs="Times New Roman"/>
                <w:bCs/>
                <w:kern w:val="2"/>
                <w:sz w:val="21"/>
                <w:szCs w:val="21"/>
                <w:highlight w:val="none"/>
                <w:lang w:val="en-US" w:eastAsia="zh-CN" w:bidi="ar-SA"/>
              </w:rPr>
              <w:t>两天测得</w:t>
            </w:r>
            <w:r>
              <w:rPr>
                <w:rFonts w:hint="default" w:ascii="Times New Roman" w:hAnsi="Times New Roman" w:eastAsia="宋体" w:cs="Times New Roman"/>
                <w:sz w:val="21"/>
                <w:szCs w:val="21"/>
                <w:highlight w:val="none"/>
              </w:rPr>
              <w:t>最大排放浓度</w:t>
            </w:r>
            <w:r>
              <w:rPr>
                <w:rFonts w:hint="eastAsia" w:cs="Times New Roman"/>
                <w:sz w:val="21"/>
                <w:szCs w:val="21"/>
                <w:highlight w:val="none"/>
                <w:lang w:eastAsia="zh-CN"/>
              </w:rPr>
              <w:t>分别</w:t>
            </w:r>
            <w:r>
              <w:rPr>
                <w:rFonts w:hint="default" w:ascii="Times New Roman" w:hAnsi="Times New Roman" w:eastAsia="宋体" w:cs="Times New Roman"/>
                <w:color w:val="auto"/>
                <w:sz w:val="21"/>
                <w:szCs w:val="21"/>
                <w:highlight w:val="none"/>
              </w:rPr>
              <w:t>为：</w:t>
            </w:r>
            <w:r>
              <w:rPr>
                <w:rFonts w:hint="default"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4.82</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sz w:val="21"/>
                <w:szCs w:val="21"/>
              </w:rPr>
              <w:t>二氧化硫、氮氧化物排放浓度均满足山东省《区域性大气污染物综合排放标准》（DB37/2376-2019）表1中重点控制区标准要求，硫酸雾和二氧化硫排放浓度同时满足《硫酸工业污染物排放标准》（GB26132-2010）表6中标准要求，氮氧化物排放浓度同时满足</w:t>
            </w:r>
            <w:r>
              <w:rPr>
                <w:rFonts w:hint="eastAsia" w:cs="Times New Roman"/>
                <w:sz w:val="21"/>
                <w:szCs w:val="21"/>
                <w:lang w:eastAsia="zh-CN"/>
              </w:rPr>
              <w:t>山东省《锅炉大气污染物排放标准》</w:t>
            </w:r>
            <w:r>
              <w:rPr>
                <w:rFonts w:hint="default" w:ascii="Times New Roman" w:hAnsi="Times New Roman" w:eastAsia="宋体" w:cs="Times New Roman"/>
                <w:sz w:val="21"/>
                <w:szCs w:val="21"/>
              </w:rPr>
              <w:t>（DB37/2374-2018）相关标准要求。</w:t>
            </w:r>
          </w:p>
          <w:p>
            <w:pPr>
              <w:pStyle w:val="76"/>
              <w:spacing w:before="0" w:beforeAutospacing="0" w:after="0" w:afterAutospacing="0" w:line="490" w:lineRule="exact"/>
              <w:ind w:firstLine="420" w:firstLineChars="200"/>
              <w:jc w:val="both"/>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加强精细化管理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采用密封性好的设备、采用密闭装卸和进料系统等减少无组织废气排放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确保厂界无异味。厂界无组织颗粒物、硫酸雾、二氧化硫</w:t>
            </w:r>
            <w:r>
              <w:rPr>
                <w:rFonts w:hint="default" w:ascii="Times New Roman" w:hAnsi="Times New Roman" w:eastAsia="宋体" w:cs="Times New Roman"/>
                <w:bCs/>
                <w:kern w:val="2"/>
                <w:sz w:val="21"/>
                <w:szCs w:val="21"/>
                <w:highlight w:val="none"/>
                <w:lang w:val="en-US" w:eastAsia="zh-CN" w:bidi="ar-SA"/>
              </w:rPr>
              <w:t>两天测得</w:t>
            </w:r>
            <w:r>
              <w:rPr>
                <w:rFonts w:hint="default" w:ascii="Times New Roman" w:hAnsi="Times New Roman" w:eastAsia="宋体" w:cs="Times New Roman"/>
                <w:sz w:val="21"/>
                <w:szCs w:val="21"/>
                <w:highlight w:val="none"/>
              </w:rPr>
              <w:t>最大排放浓度</w:t>
            </w:r>
            <w:r>
              <w:rPr>
                <w:rFonts w:hint="default" w:ascii="Times New Roman" w:hAnsi="Times New Roman" w:eastAsia="宋体" w:cs="Times New Roman"/>
                <w:color w:val="auto"/>
                <w:sz w:val="21"/>
                <w:szCs w:val="21"/>
                <w:highlight w:val="none"/>
              </w:rPr>
              <w:t>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rPr>
              <w:t>0.450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、0.29mg/m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、0.331mg/m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，各类污染物厂界无组织浓度均达到了《大气污染物综合排放标准》（GB16297-1996）表2中标准要求，厂界无组织硫酸雾、二氧化硫浓度同时满足《硫酸工业污染物排放标准》（GB26132-2010）表8中标准要求。</w:t>
            </w:r>
          </w:p>
          <w:p>
            <w:pPr>
              <w:spacing w:line="360" w:lineRule="auto"/>
              <w:ind w:firstLine="400" w:firstLineChars="200"/>
              <w:rPr>
                <w:rFonts w:hint="default" w:ascii="Times New Roman" w:hAnsi="Times New Roman" w:eastAsia="宋体" w:cs="Times New Roman"/>
                <w:color w:val="C00000"/>
                <w:spacing w:val="-5"/>
                <w:sz w:val="21"/>
                <w:szCs w:val="21"/>
                <w:lang w:eastAsia="zh-CN"/>
              </w:rPr>
            </w:pP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72"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4247" w:type="dxa"/>
            <w:tcBorders>
              <w:tl2br w:val="nil"/>
              <w:tr2bl w:val="nil"/>
            </w:tcBorders>
            <w:vAlign w:val="center"/>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该项目施工期间要按照“清污分流、雨污分流、分质处理、循环利用”原则规划、建设厂区排水系统</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优化污水处理方案建立和完善污水收集设施</w:t>
            </w:r>
            <w:r>
              <w:rPr>
                <w:rFonts w:hint="eastAsia" w:ascii="Times New Roman" w:hAnsi="Times New Roman" w:eastAsia="宋体" w:cs="Times New Roman"/>
                <w:sz w:val="21"/>
                <w:szCs w:val="21"/>
                <w:lang w:eastAsia="zh-CN"/>
              </w:rPr>
              <w:t>。</w:t>
            </w:r>
          </w:p>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项目运营期车</w:t>
            </w:r>
            <w:r>
              <w:rPr>
                <w:rFonts w:hint="eastAsia" w:ascii="Times New Roman" w:hAnsi="Times New Roman" w:eastAsia="宋体" w:cs="Times New Roman"/>
                <w:sz w:val="21"/>
                <w:szCs w:val="21"/>
                <w:lang w:eastAsia="zh-CN"/>
              </w:rPr>
              <w:t>间</w:t>
            </w:r>
            <w:r>
              <w:rPr>
                <w:rFonts w:hint="default" w:ascii="Times New Roman" w:hAnsi="Times New Roman" w:eastAsia="宋体" w:cs="Times New Roman"/>
                <w:sz w:val="21"/>
                <w:szCs w:val="21"/>
              </w:rPr>
              <w:t>地面冲洗水、初期雨水经厂内污水处置设施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采用酸碱中和+絮凝沉淀工艺处理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达到《硫酸工业污染物排放标准》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与生活污水一起排入山东民基化工有限公司污水处理站处理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达到《污水排入城镇下水道水质标准》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CJ343-2010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表1中B级标准后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排入市政污水管网</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进入光大水务(淄博)有限公司进行深度处理</w:t>
            </w:r>
            <w:r>
              <w:rPr>
                <w:rFonts w:hint="eastAsia" w:ascii="Times New Roman" w:hAnsi="Times New Roman" w:eastAsia="宋体" w:cs="Times New Roman"/>
                <w:sz w:val="21"/>
                <w:szCs w:val="21"/>
                <w:lang w:eastAsia="zh-CN"/>
              </w:rPr>
              <w:t>。</w:t>
            </w:r>
          </w:p>
          <w:p>
            <w:pPr>
              <w:spacing w:line="360" w:lineRule="auto"/>
              <w:ind w:firstLine="420" w:firstLineChars="200"/>
              <w:rPr>
                <w:rFonts w:hint="default" w:ascii="Times New Roman" w:hAnsi="Times New Roman" w:eastAsia="宋体" w:cs="Times New Roman"/>
                <w:color w:val="C00000"/>
                <w:sz w:val="21"/>
                <w:szCs w:val="21"/>
                <w:lang w:eastAsia="zh-CN"/>
              </w:rPr>
            </w:pPr>
          </w:p>
        </w:tc>
        <w:tc>
          <w:tcPr>
            <w:tcW w:w="4378" w:type="dxa"/>
            <w:tcBorders>
              <w:tl2br w:val="nil"/>
              <w:tr2bl w:val="nil"/>
            </w:tcBorders>
            <w:vAlign w:val="center"/>
          </w:tcPr>
          <w:p>
            <w:pPr>
              <w:spacing w:line="360" w:lineRule="auto"/>
              <w:ind w:firstLine="420" w:firstLineChars="200"/>
              <w:rPr>
                <w:rFonts w:hint="eastAsia" w:ascii="Times New Roman" w:hAnsi="Times New Roman" w:eastAsia="宋体" w:cs="Times New Roman"/>
                <w:sz w:val="21"/>
                <w:szCs w:val="21"/>
                <w:lang w:eastAsia="zh-CN"/>
              </w:rPr>
            </w:pPr>
            <w:r>
              <w:rPr>
                <w:rFonts w:hint="eastAsia" w:cs="Times New Roman"/>
                <w:sz w:val="21"/>
                <w:szCs w:val="21"/>
                <w:lang w:eastAsia="zh-CN"/>
              </w:rPr>
              <w:t>经调查</w:t>
            </w:r>
            <w:r>
              <w:rPr>
                <w:rFonts w:hint="default" w:ascii="Times New Roman" w:hAnsi="Times New Roman" w:eastAsia="宋体" w:cs="Times New Roman"/>
                <w:sz w:val="21"/>
                <w:szCs w:val="21"/>
              </w:rPr>
              <w:t>项目施工期间按照“清污分流、雨污分流、分质处理、循环利用”原则规划、建设厂区排水系统</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优化污水处理方案建立和完善污水收集设施</w:t>
            </w:r>
            <w:r>
              <w:rPr>
                <w:rFonts w:hint="eastAsia" w:ascii="Times New Roman" w:hAnsi="Times New Roman" w:eastAsia="宋体" w:cs="Times New Roman"/>
                <w:sz w:val="21"/>
                <w:szCs w:val="21"/>
                <w:lang w:eastAsia="zh-CN"/>
              </w:rPr>
              <w:t>。</w:t>
            </w:r>
          </w:p>
          <w:p>
            <w:pPr>
              <w:spacing w:line="360" w:lineRule="auto"/>
              <w:ind w:firstLine="420" w:firstLineChars="200"/>
              <w:rPr>
                <w:rFonts w:hint="eastAsia" w:ascii="Times New Roman" w:hAnsi="Times New Roman" w:eastAsia="宋体" w:cs="Times New Roman"/>
                <w:sz w:val="21"/>
                <w:szCs w:val="21"/>
                <w:lang w:eastAsia="zh-CN"/>
              </w:rPr>
            </w:pPr>
            <w:r>
              <w:rPr>
                <w:rFonts w:hint="eastAsia" w:cs="Times New Roman"/>
                <w:sz w:val="21"/>
                <w:szCs w:val="21"/>
                <w:lang w:eastAsia="zh-CN"/>
              </w:rPr>
              <w:t>经检测</w:t>
            </w:r>
            <w:r>
              <w:rPr>
                <w:rFonts w:hint="default" w:ascii="Times New Roman" w:hAnsi="Times New Roman" w:eastAsia="宋体" w:cs="Times New Roman"/>
                <w:sz w:val="21"/>
                <w:szCs w:val="21"/>
              </w:rPr>
              <w:t>项目运营期</w:t>
            </w:r>
            <w:r>
              <w:rPr>
                <w:rFonts w:hint="eastAsia" w:ascii="宋体" w:hAnsi="宋体"/>
                <w:sz w:val="21"/>
                <w:szCs w:val="21"/>
              </w:rPr>
              <w:t>脱盐水系统排水</w:t>
            </w:r>
            <w:r>
              <w:rPr>
                <w:rFonts w:hint="eastAsia" w:ascii="宋体" w:hAnsi="宋体"/>
                <w:sz w:val="21"/>
                <w:szCs w:val="21"/>
                <w:lang w:eastAsia="zh-CN"/>
              </w:rPr>
              <w:t>、</w:t>
            </w:r>
            <w:r>
              <w:rPr>
                <w:rFonts w:hint="eastAsia" w:ascii="宋体" w:hAnsi="宋体"/>
                <w:sz w:val="21"/>
                <w:szCs w:val="21"/>
              </w:rPr>
              <w:t>循环冷却系统排水</w:t>
            </w:r>
            <w:r>
              <w:rPr>
                <w:rFonts w:hint="eastAsia" w:ascii="宋体" w:hAnsi="宋体"/>
                <w:sz w:val="21"/>
                <w:szCs w:val="21"/>
                <w:lang w:eastAsia="zh-CN"/>
              </w:rPr>
              <w:t>、</w:t>
            </w:r>
            <w:r>
              <w:rPr>
                <w:rFonts w:hint="eastAsia" w:ascii="宋体" w:hAnsi="宋体"/>
                <w:sz w:val="21"/>
                <w:szCs w:val="21"/>
              </w:rPr>
              <w:t>余热回收系统排污水依托民基化工雨水管网</w:t>
            </w:r>
            <w:r>
              <w:rPr>
                <w:rFonts w:hint="eastAsia" w:ascii="宋体" w:hAnsi="宋体"/>
                <w:sz w:val="21"/>
                <w:szCs w:val="21"/>
                <w:lang w:eastAsia="zh-CN"/>
              </w:rPr>
              <w:t>；</w:t>
            </w:r>
            <w:r>
              <w:rPr>
                <w:rFonts w:hint="default" w:ascii="Times New Roman" w:hAnsi="Times New Roman" w:eastAsia="宋体" w:cs="Times New Roman"/>
                <w:sz w:val="21"/>
                <w:szCs w:val="21"/>
              </w:rPr>
              <w:t>车</w:t>
            </w:r>
            <w:r>
              <w:rPr>
                <w:rFonts w:hint="eastAsia" w:ascii="Times New Roman" w:hAnsi="Times New Roman" w:eastAsia="宋体" w:cs="Times New Roman"/>
                <w:sz w:val="21"/>
                <w:szCs w:val="21"/>
                <w:lang w:eastAsia="zh-CN"/>
              </w:rPr>
              <w:t>间</w:t>
            </w:r>
            <w:r>
              <w:rPr>
                <w:rFonts w:hint="default" w:ascii="Times New Roman" w:hAnsi="Times New Roman" w:eastAsia="宋体" w:cs="Times New Roman"/>
                <w:sz w:val="21"/>
                <w:szCs w:val="21"/>
              </w:rPr>
              <w:t>地面冲洗水、初期雨水经厂内污水处置设施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采用酸碱中和+絮凝沉淀工艺处理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达到《硫酸工业污染物排放标准》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表2限值要求后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与生活污水一起排入山东民基</w:t>
            </w:r>
            <w:r>
              <w:rPr>
                <w:rFonts w:hint="eastAsia" w:cs="Times New Roman"/>
                <w:sz w:val="21"/>
                <w:szCs w:val="21"/>
                <w:lang w:eastAsia="zh-CN"/>
              </w:rPr>
              <w:t>新材料科技</w:t>
            </w:r>
            <w:r>
              <w:rPr>
                <w:rFonts w:hint="default" w:ascii="Times New Roman" w:hAnsi="Times New Roman" w:eastAsia="宋体" w:cs="Times New Roman"/>
                <w:sz w:val="21"/>
                <w:szCs w:val="21"/>
              </w:rPr>
              <w:t>有限公司污水处理站处理</w:t>
            </w:r>
            <w:r>
              <w:rPr>
                <w:rFonts w:hint="eastAsia" w:ascii="Times New Roman" w:hAnsi="Times New Roman" w:eastAsia="宋体" w:cs="Times New Roman"/>
                <w:sz w:val="21"/>
                <w:szCs w:val="21"/>
                <w:lang w:eastAsia="zh-CN"/>
              </w:rPr>
              <w:t>，</w:t>
            </w:r>
            <w:r>
              <w:rPr>
                <w:rFonts w:hint="default" w:ascii="Times New Roman" w:hAnsi="Times New Roman" w:cs="Times New Roman" w:eastAsiaTheme="minorEastAsia"/>
                <w:bCs/>
                <w:sz w:val="21"/>
                <w:szCs w:val="21"/>
                <w:highlight w:val="none"/>
              </w:rPr>
              <w:t>项目</w:t>
            </w:r>
            <w:r>
              <w:rPr>
                <w:rFonts w:hint="eastAsia" w:ascii="Times New Roman" w:hAnsi="Times New Roman" w:eastAsia="宋体" w:cs="Times New Roman"/>
                <w:sz w:val="21"/>
                <w:szCs w:val="21"/>
                <w:lang w:eastAsia="zh-CN"/>
              </w:rPr>
              <w:t>污水总排口</w:t>
            </w:r>
            <w:r>
              <w:rPr>
                <w:rFonts w:hint="eastAsia" w:ascii="Times New Roman" w:hAnsi="Times New Roman" w:eastAsia="宋体" w:cs="Times New Roman"/>
                <w:b w:val="0"/>
                <w:bCs w:val="0"/>
                <w:sz w:val="21"/>
                <w:szCs w:val="21"/>
                <w:lang w:eastAsia="zh-CN"/>
              </w:rPr>
              <w:t>中</w:t>
            </w:r>
            <w:r>
              <w:rPr>
                <w:rFonts w:hint="eastAsia" w:cs="Times New Roman"/>
                <w:b w:val="0"/>
                <w:bCs w:val="0"/>
                <w:kern w:val="2"/>
                <w:sz w:val="21"/>
                <w:szCs w:val="21"/>
                <w:highlight w:val="none"/>
                <w:lang w:val="en-US" w:eastAsia="zh-CN" w:bidi="ar-SA"/>
              </w:rPr>
              <w:t>两天测得</w:t>
            </w:r>
            <w:r>
              <w:rPr>
                <w:rFonts w:hint="default" w:ascii="Times New Roman" w:hAnsi="Times New Roman" w:eastAsia="宋体" w:cs="Times New Roman"/>
                <w:b w:val="0"/>
                <w:bCs w:val="0"/>
                <w:sz w:val="21"/>
                <w:szCs w:val="21"/>
                <w:lang w:eastAsia="zh-CN"/>
              </w:rPr>
              <w:t>pH值</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sz w:val="21"/>
                <w:szCs w:val="21"/>
                <w:lang w:eastAsia="zh-CN"/>
              </w:rPr>
              <w:t>范围为</w:t>
            </w:r>
            <w:r>
              <w:rPr>
                <w:rFonts w:hint="eastAsia" w:cs="Times New Roman"/>
                <w:b w:val="0"/>
                <w:bCs w:val="0"/>
                <w:sz w:val="21"/>
                <w:szCs w:val="21"/>
                <w:lang w:val="en-US" w:eastAsia="zh-CN"/>
              </w:rPr>
              <w:t>7.92-</w:t>
            </w:r>
            <w:r>
              <w:rPr>
                <w:rFonts w:hint="eastAsia" w:cs="Times New Roman"/>
                <w:b w:val="0"/>
                <w:bCs w:val="0"/>
                <w:kern w:val="2"/>
                <w:sz w:val="21"/>
                <w:szCs w:val="21"/>
                <w:highlight w:val="none"/>
                <w:lang w:val="en-US" w:eastAsia="zh-CN" w:bidi="ar-SA"/>
              </w:rPr>
              <w:t>8.10（无量纲）</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悬浮物</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kern w:val="2"/>
                <w:sz w:val="21"/>
                <w:szCs w:val="21"/>
                <w:highlight w:val="none"/>
                <w:lang w:val="en-US" w:eastAsia="zh-CN" w:bidi="ar-SA"/>
              </w:rPr>
              <w:t>28</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cs="Times New Roman"/>
                <w:b w:val="0"/>
                <w:bCs w:val="0"/>
                <w:sz w:val="21"/>
                <w:szCs w:val="21"/>
                <w:lang w:val="en-US" w:eastAsia="zh-CN"/>
              </w:rPr>
              <w:t>氨氮</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kern w:val="2"/>
                <w:sz w:val="21"/>
                <w:szCs w:val="21"/>
                <w:highlight w:val="none"/>
                <w:lang w:val="en-US" w:eastAsia="zh-CN" w:bidi="ar-SA"/>
              </w:rPr>
              <w:t>1.92</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default" w:ascii="Times New Roman" w:hAnsi="Times New Roman" w:eastAsia="宋体" w:cs="Times New Roman"/>
                <w:b w:val="0"/>
                <w:bCs w:val="0"/>
                <w:sz w:val="21"/>
                <w:szCs w:val="21"/>
                <w:highlight w:val="none"/>
                <w:lang w:val="en-US" w:eastAsia="zh-CN"/>
              </w:rPr>
              <w:t>化学需氧量</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kern w:val="2"/>
                <w:sz w:val="21"/>
                <w:szCs w:val="21"/>
                <w:highlight w:val="none"/>
                <w:lang w:val="en-US" w:eastAsia="zh-CN" w:bidi="ar-SA"/>
              </w:rPr>
              <w:t>43</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全盐量</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kern w:val="2"/>
                <w:sz w:val="21"/>
                <w:szCs w:val="21"/>
                <w:highlight w:val="none"/>
                <w:lang w:val="en-US" w:eastAsia="zh-CN" w:bidi="ar-SA"/>
              </w:rPr>
              <w:t>1423</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五日生化需氧量</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kern w:val="2"/>
                <w:sz w:val="21"/>
                <w:szCs w:val="21"/>
                <w:highlight w:val="none"/>
                <w:lang w:val="en-US" w:eastAsia="zh-CN" w:bidi="ar-SA"/>
              </w:rPr>
              <w:t>15.3</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硫酸盐</w:t>
            </w:r>
            <w:r>
              <w:rPr>
                <w:rFonts w:hint="eastAsia" w:ascii="Times New Roman" w:hAnsi="Times New Roman" w:eastAsia="宋体" w:cs="Times New Roman"/>
                <w:b w:val="0"/>
                <w:bCs w:val="0"/>
                <w:sz w:val="21"/>
                <w:szCs w:val="21"/>
                <w:lang w:eastAsia="zh-CN"/>
              </w:rPr>
              <w:t>最大</w:t>
            </w:r>
            <w:r>
              <w:rPr>
                <w:rFonts w:hint="default" w:ascii="Times New Roman" w:hAnsi="Times New Roman" w:eastAsia="宋体" w:cs="Times New Roman"/>
                <w:b w:val="0"/>
                <w:bCs w:val="0"/>
                <w:sz w:val="21"/>
                <w:szCs w:val="21"/>
              </w:rPr>
              <w:t>排放</w:t>
            </w:r>
            <w:r>
              <w:rPr>
                <w:rFonts w:hint="eastAsia" w:ascii="Times New Roman" w:hAnsi="Times New Roman" w:eastAsia="宋体" w:cs="Times New Roman"/>
                <w:b w:val="0"/>
                <w:bCs w:val="0"/>
                <w:sz w:val="21"/>
                <w:szCs w:val="21"/>
                <w:lang w:eastAsia="zh-CN"/>
              </w:rPr>
              <w:t>浓度</w:t>
            </w:r>
            <w:r>
              <w:rPr>
                <w:rFonts w:hint="eastAsia" w:cs="Times New Roman"/>
                <w:b w:val="0"/>
                <w:bCs w:val="0"/>
                <w:sz w:val="21"/>
                <w:szCs w:val="21"/>
                <w:lang w:val="en-US" w:eastAsia="zh-CN"/>
              </w:rPr>
              <w:t>117</w:t>
            </w:r>
            <w:r>
              <w:rPr>
                <w:rFonts w:hint="default" w:ascii="Times New Roman" w:hAnsi="Times New Roman" w:eastAsia="宋体" w:cs="Times New Roman"/>
                <w:b w:val="0"/>
                <w:bCs w:val="0"/>
                <w:sz w:val="21"/>
                <w:szCs w:val="21"/>
                <w:highlight w:val="none"/>
                <w:lang w:val="en-US" w:eastAsia="zh-CN"/>
              </w:rPr>
              <w:t>mg/L</w:t>
            </w:r>
            <w:r>
              <w:rPr>
                <w:rFonts w:hint="eastAsia" w:ascii="Times New Roman" w:hAnsi="Times New Roman" w:eastAsia="宋体" w:cs="Times New Roman"/>
                <w:b w:val="0"/>
                <w:bCs w:val="0"/>
                <w:sz w:val="21"/>
                <w:szCs w:val="21"/>
                <w:highlight w:val="none"/>
                <w:lang w:val="en-US" w:eastAsia="zh-CN"/>
              </w:rPr>
              <w:t>，</w:t>
            </w:r>
            <w:r>
              <w:rPr>
                <w:rFonts w:hint="eastAsia" w:ascii="Times New Roman" w:hAnsi="Times New Roman" w:eastAsia="宋体" w:cs="Times New Roman"/>
                <w:b w:val="0"/>
                <w:bCs w:val="0"/>
                <w:sz w:val="21"/>
                <w:szCs w:val="21"/>
                <w:lang w:eastAsia="zh-CN"/>
              </w:rPr>
              <w:t>满足</w:t>
            </w:r>
            <w:r>
              <w:rPr>
                <w:rFonts w:hint="default" w:ascii="Times New Roman" w:hAnsi="Times New Roman" w:eastAsia="宋体" w:cs="Times New Roman"/>
                <w:sz w:val="21"/>
                <w:szCs w:val="21"/>
              </w:rPr>
              <w:t>《硫酸工业污染物排放标准》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GB26132-2010</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表2限值</w:t>
            </w:r>
            <w:r>
              <w:rPr>
                <w:rFonts w:hint="eastAsia" w:cs="Times New Roman"/>
                <w:sz w:val="21"/>
                <w:szCs w:val="21"/>
                <w:lang w:eastAsia="zh-CN"/>
              </w:rPr>
              <w:t>及</w:t>
            </w:r>
            <w:r>
              <w:rPr>
                <w:rFonts w:hint="eastAsia" w:cs="Times New Roman"/>
                <w:b w:val="0"/>
                <w:bCs w:val="0"/>
                <w:sz w:val="21"/>
                <w:szCs w:val="21"/>
                <w:lang w:eastAsia="zh-CN"/>
              </w:rPr>
              <w:t>《污水排入城镇下水道水质标准》(CJ34</w:t>
            </w:r>
            <w:r>
              <w:rPr>
                <w:rFonts w:hint="eastAsia" w:cs="Times New Roman"/>
                <w:sz w:val="21"/>
                <w:szCs w:val="21"/>
                <w:lang w:eastAsia="zh-CN"/>
              </w:rPr>
              <w:t>3-2010)</w:t>
            </w:r>
            <w:r>
              <w:rPr>
                <w:rFonts w:hint="default" w:ascii="Times New Roman" w:hAnsi="Times New Roman" w:eastAsia="宋体" w:cs="Times New Roman"/>
                <w:sz w:val="21"/>
                <w:szCs w:val="21"/>
              </w:rPr>
              <w:t>表1中B等级标准</w:t>
            </w:r>
            <w:r>
              <w:rPr>
                <w:rFonts w:hint="eastAsia" w:ascii="Times New Roman" w:hAnsi="Times New Roman" w:eastAsia="宋体" w:cs="Times New Roman"/>
                <w:sz w:val="21"/>
                <w:szCs w:val="21"/>
                <w:lang w:eastAsia="zh-CN"/>
              </w:rPr>
              <w:t>要求。</w:t>
            </w:r>
          </w:p>
          <w:p>
            <w:pPr>
              <w:spacing w:line="360" w:lineRule="auto"/>
              <w:ind w:firstLine="400" w:firstLineChars="200"/>
              <w:rPr>
                <w:rFonts w:hint="default" w:ascii="Times New Roman" w:hAnsi="Times New Roman" w:eastAsia="宋体" w:cs="Times New Roman"/>
                <w:color w:val="C00000"/>
                <w:spacing w:val="-5"/>
                <w:sz w:val="21"/>
                <w:szCs w:val="21"/>
                <w:lang w:eastAsia="zh-CN"/>
              </w:rPr>
            </w:pP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48"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4247" w:type="dxa"/>
            <w:tcBorders>
              <w:tl2br w:val="nil"/>
              <w:tr2bl w:val="nil"/>
            </w:tcBorders>
            <w:vAlign w:val="top"/>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严格控制施工时间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合理布局</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优先选用低噪音先进设备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对主要噪声源采取有效减震、隔音、消声等措施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确保施工期和运营期噪声排放分别符合《建筑施工场界环境噪声排放标准》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GB12523-2011</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标准要求和《工业企业厂界环境噪声排放标准》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GB12348-2008</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2类功能区标准要求</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严防噪声扰民</w:t>
            </w:r>
            <w:r>
              <w:rPr>
                <w:rFonts w:hint="eastAsia" w:ascii="Times New Roman" w:hAnsi="Times New Roman" w:eastAsia="宋体" w:cs="Times New Roman"/>
                <w:sz w:val="21"/>
                <w:szCs w:val="21"/>
                <w:lang w:eastAsia="zh-CN"/>
              </w:rPr>
              <w:t>。</w:t>
            </w:r>
          </w:p>
          <w:p>
            <w:pPr>
              <w:spacing w:line="360" w:lineRule="auto"/>
              <w:ind w:firstLine="420" w:firstLineChars="200"/>
              <w:jc w:val="both"/>
              <w:rPr>
                <w:rFonts w:hint="default" w:ascii="Times New Roman" w:hAnsi="Times New Roman" w:eastAsia="宋体" w:cs="Times New Roman"/>
                <w:color w:val="C00000"/>
                <w:sz w:val="21"/>
                <w:szCs w:val="21"/>
                <w:lang w:eastAsia="zh-CN"/>
              </w:rPr>
            </w:pPr>
          </w:p>
        </w:tc>
        <w:tc>
          <w:tcPr>
            <w:tcW w:w="4378" w:type="dxa"/>
            <w:tcBorders>
              <w:tl2br w:val="nil"/>
              <w:tr2bl w:val="nil"/>
            </w:tcBorders>
            <w:vAlign w:val="top"/>
          </w:tcPr>
          <w:p>
            <w:pPr>
              <w:spacing w:line="360" w:lineRule="auto"/>
              <w:ind w:firstLine="420" w:firstLineChars="200"/>
              <w:jc w:val="both"/>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b w:val="0"/>
                <w:bCs w:val="0"/>
                <w:color w:val="auto"/>
                <w:kern w:val="2"/>
                <w:sz w:val="21"/>
                <w:szCs w:val="21"/>
                <w:highlight w:val="none"/>
                <w:lang w:val="en-US" w:eastAsia="zh-CN" w:bidi="ar-SA"/>
              </w:rPr>
              <w:t>经现场</w:t>
            </w:r>
            <w:r>
              <w:rPr>
                <w:rFonts w:hint="eastAsia" w:ascii="Times New Roman" w:hAnsi="Times New Roman" w:eastAsia="宋体" w:cs="Times New Roman"/>
                <w:b w:val="0"/>
                <w:bCs w:val="0"/>
                <w:color w:val="auto"/>
                <w:kern w:val="2"/>
                <w:sz w:val="21"/>
                <w:szCs w:val="21"/>
                <w:highlight w:val="none"/>
                <w:lang w:val="en-US" w:eastAsia="zh-CN" w:bidi="ar-SA"/>
              </w:rPr>
              <w:t>检测</w:t>
            </w:r>
            <w:r>
              <w:rPr>
                <w:rFonts w:hint="default" w:ascii="Times New Roman" w:hAnsi="Times New Roman" w:eastAsia="宋体" w:cs="Times New Roman"/>
                <w:b w:val="0"/>
                <w:bCs w:val="0"/>
                <w:color w:val="auto"/>
                <w:kern w:val="2"/>
                <w:sz w:val="21"/>
                <w:szCs w:val="21"/>
                <w:highlight w:val="none"/>
                <w:lang w:val="en-US" w:eastAsia="zh-CN" w:bidi="ar-SA"/>
              </w:rPr>
              <w:t>企业</w:t>
            </w:r>
            <w:r>
              <w:rPr>
                <w:rFonts w:hint="default" w:ascii="Times New Roman" w:hAnsi="Times New Roman" w:eastAsia="宋体" w:cs="Times New Roman"/>
                <w:color w:val="auto"/>
                <w:sz w:val="21"/>
                <w:szCs w:val="21"/>
              </w:rPr>
              <w:t>选用低噪声设备,合理布局,并采取隔声、吸声、消声、减震等综合管理措施。营运期厂界噪声</w:t>
            </w:r>
            <w:r>
              <w:rPr>
                <w:rFonts w:hint="default" w:ascii="Times New Roman" w:hAnsi="Times New Roman" w:eastAsia="宋体" w:cs="Times New Roman"/>
                <w:color w:val="auto"/>
                <w:sz w:val="21"/>
                <w:szCs w:val="21"/>
                <w:lang w:val="en-US" w:eastAsia="zh-CN"/>
              </w:rPr>
              <w:t>昼间最大值为</w:t>
            </w:r>
            <w:r>
              <w:rPr>
                <w:rFonts w:hint="default" w:ascii="Times New Roman" w:hAnsi="Times New Roman" w:eastAsia="宋体" w:cs="Times New Roman"/>
                <w:color w:val="auto"/>
                <w:sz w:val="21"/>
                <w:szCs w:val="21"/>
                <w:highlight w:val="none"/>
                <w:lang w:val="en-US" w:eastAsia="zh-CN"/>
              </w:rPr>
              <w:t>56.4</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间最大值为</w:t>
            </w:r>
            <w:r>
              <w:rPr>
                <w:rFonts w:hint="eastAsia" w:cs="Times New Roman"/>
                <w:color w:val="auto"/>
                <w:sz w:val="21"/>
                <w:szCs w:val="21"/>
                <w:highlight w:val="none"/>
                <w:lang w:val="en-US" w:eastAsia="zh-CN"/>
              </w:rPr>
              <w:t>46.4</w:t>
            </w:r>
            <w:r>
              <w:rPr>
                <w:rFonts w:hint="default" w:ascii="Times New Roman" w:hAnsi="Times New Roman" w:eastAsia="宋体" w:cs="Times New Roman"/>
                <w:color w:val="auto"/>
                <w:sz w:val="21"/>
                <w:szCs w:val="21"/>
                <w:highlight w:val="none"/>
              </w:rPr>
              <w:t>dB（A）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符合</w:t>
            </w:r>
            <w:r>
              <w:rPr>
                <w:rFonts w:hint="default" w:ascii="Times New Roman" w:hAnsi="Times New Roman" w:eastAsia="宋体" w:cs="Times New Roman"/>
                <w:color w:val="auto"/>
                <w:sz w:val="21"/>
                <w:szCs w:val="21"/>
              </w:rPr>
              <w:t>《工业企业厂界环境噪声排放标准》(GB12348-2008)中</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w:t>
            </w:r>
            <w:r>
              <w:rPr>
                <w:rFonts w:hint="default" w:ascii="Times New Roman" w:hAnsi="Times New Roman" w:eastAsia="宋体" w:cs="Times New Roman"/>
                <w:sz w:val="21"/>
                <w:szCs w:val="21"/>
              </w:rPr>
              <w:t>功能区</w:t>
            </w:r>
            <w:r>
              <w:rPr>
                <w:rFonts w:hint="default" w:ascii="Times New Roman" w:hAnsi="Times New Roman" w:eastAsia="宋体" w:cs="Times New Roman"/>
                <w:color w:val="auto"/>
                <w:sz w:val="21"/>
                <w:szCs w:val="21"/>
              </w:rPr>
              <w:t>标准(昼/夜6</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同时符合</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w:t>
            </w:r>
            <w:r>
              <w:rPr>
                <w:rFonts w:hint="default" w:ascii="Times New Roman" w:hAnsi="Times New Roman" w:eastAsia="宋体" w:cs="Times New Roman"/>
                <w:sz w:val="21"/>
                <w:szCs w:val="21"/>
              </w:rPr>
              <w:t>功能区</w:t>
            </w:r>
            <w:r>
              <w:rPr>
                <w:rFonts w:hint="default" w:ascii="Times New Roman" w:hAnsi="Times New Roman" w:eastAsia="宋体" w:cs="Times New Roman"/>
                <w:color w:val="auto"/>
                <w:sz w:val="21"/>
                <w:szCs w:val="21"/>
              </w:rPr>
              <w:t>标准(昼/夜6</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highlight w:val="none"/>
              </w:rPr>
              <w:t>dB（A）</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247" w:type="dxa"/>
            <w:tcBorders>
              <w:tl2br w:val="nil"/>
              <w:tr2bl w:val="nil"/>
            </w:tcBorders>
            <w:vAlign w:val="center"/>
          </w:tcPr>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固体废物按“资源化、减量化、无害化”原则及相关法规规定</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建设配套完善的固体废物收集装置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分类收集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综合利用。焚硫炉炉渣、脱硫石膏外售建材公司综合利用;生活垃圾定期由环卫部门统一处理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执行《一般工业固体废物储存、处置场污染控制标准》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GB18599-2001</w:t>
            </w:r>
            <w:r>
              <w:rPr>
                <w:rFonts w:hint="eastAsia" w:asciiTheme="minorEastAsia" w:hAnsiTheme="minorEastAsia" w:eastAsiaTheme="minorEastAsia" w:cstheme="minorEastAsia"/>
                <w:sz w:val="21"/>
                <w:szCs w:val="21"/>
              </w:rPr>
              <w:t>)</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 xml:space="preserve">废催化剂、污水处理设施污泥、 废离子树脂和反渗透膜处理执行《危险废物贮存污染控制标准》 </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GB18597-2001</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、《危险废物转移联单管理办法》</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妥善处置</w:t>
            </w:r>
            <w:r>
              <w:rPr>
                <w:rFonts w:hint="eastAsia" w:ascii="Times New Roman" w:hAnsi="Times New Roman" w:eastAsia="宋体" w:cs="Times New Roman"/>
                <w:sz w:val="21"/>
                <w:szCs w:val="21"/>
                <w:lang w:eastAsia="zh-CN"/>
              </w:rPr>
              <w:t>。</w:t>
            </w:r>
          </w:p>
        </w:tc>
        <w:tc>
          <w:tcPr>
            <w:tcW w:w="4378" w:type="dxa"/>
            <w:tcBorders>
              <w:tl2br w:val="nil"/>
              <w:tr2bl w:val="nil"/>
            </w:tcBorders>
            <w:vAlign w:val="center"/>
          </w:tcPr>
          <w:p>
            <w:pPr>
              <w:spacing w:line="360" w:lineRule="auto"/>
              <w:ind w:firstLine="42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调查</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sz w:val="21"/>
                <w:szCs w:val="21"/>
              </w:rPr>
              <w:t>固体废物按“资源化、减量化、无害化”原则及相关法规规定</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建设配套完善的固体废物收集装置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分类收集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综合利用。焚硫炉炉渣、脱硫石膏外售建材公司综合利用;生活垃圾定期由环卫部门统一处理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执行《一般工业固体废物储存、处置场污染控制标准》</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GB18599-2001</w:t>
            </w:r>
            <w:r>
              <w:rPr>
                <w:rFonts w:hint="eastAsia" w:asciiTheme="minorEastAsia" w:hAnsiTheme="minorEastAsia" w:eastAsiaTheme="minorEastAsia" w:cstheme="minorEastAsia"/>
                <w:sz w:val="21"/>
                <w:szCs w:val="21"/>
              </w:rPr>
              <w:t>)</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 xml:space="preserve">废催化剂、污水处理设施污泥、 废离子树脂和反渗透膜处理执行《危险废物贮存污染控制标准》 </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GB18597-2001</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、《危险废物转移联单管理办法》</w:t>
            </w:r>
            <w:r>
              <w:rPr>
                <w:rFonts w:hint="eastAsia" w:ascii="Times New Roman" w:hAnsi="Times New Roman" w:eastAsia="宋体" w:cs="Times New Roman"/>
                <w:sz w:val="21"/>
                <w:szCs w:val="21"/>
                <w:lang w:eastAsia="zh-CN"/>
              </w:rPr>
              <w:t>，</w:t>
            </w:r>
            <w:r>
              <w:rPr>
                <w:rFonts w:hint="eastAsia" w:cs="Times New Roman"/>
                <w:sz w:val="21"/>
                <w:szCs w:val="21"/>
                <w:lang w:eastAsia="zh-CN"/>
              </w:rPr>
              <w:t>委托</w:t>
            </w:r>
            <w:r>
              <w:rPr>
                <w:rFonts w:hint="eastAsia" w:ascii="宋体" w:hAnsi="宋体" w:eastAsia="宋体" w:cs="宋体"/>
                <w:sz w:val="21"/>
                <w:szCs w:val="21"/>
              </w:rPr>
              <w:t>具有危废处置资质</w:t>
            </w:r>
            <w:r>
              <w:rPr>
                <w:rFonts w:hint="eastAsia" w:ascii="宋体" w:hAnsi="宋体" w:cs="宋体"/>
                <w:sz w:val="21"/>
                <w:szCs w:val="21"/>
                <w:lang w:eastAsia="zh-CN"/>
              </w:rPr>
              <w:t>的</w:t>
            </w:r>
            <w:r>
              <w:rPr>
                <w:rFonts w:hint="eastAsia" w:cs="Times New Roman"/>
                <w:sz w:val="21"/>
                <w:szCs w:val="21"/>
                <w:lang w:eastAsia="zh-CN"/>
              </w:rPr>
              <w:t>德州泉润环境资源有限公司处理</w:t>
            </w:r>
            <w:r>
              <w:rPr>
                <w:rFonts w:hint="eastAsia" w:ascii="Times New Roman" w:hAnsi="Times New Roman" w:eastAsia="宋体" w:cs="Times New Roman"/>
                <w:sz w:val="21"/>
                <w:szCs w:val="21"/>
                <w:lang w:eastAsia="zh-CN"/>
              </w:rPr>
              <w:t>。</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247" w:type="dxa"/>
            <w:tcBorders>
              <w:tl2br w:val="nil"/>
              <w:tr2bl w:val="nil"/>
            </w:tcBorders>
            <w:vAlign w:val="top"/>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根据环境风险评价、环境应急预案和厂区实际现状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要熟练掌握厂区的所有风险源及相应的应急措施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在主要风险源安装预警和检测装置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建设相配套的事故应急设施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配备足够应急物资、设备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在非事故状态下不得占用</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并定期进行维修保养</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在厂区总排口安装电磁切断阀</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每年定期举行应急演练;加强环境风险管理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对风险评价实行动态管理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保证事故发生时立即进入应急状态</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确保环境安全。</w:t>
            </w:r>
          </w:p>
        </w:tc>
        <w:tc>
          <w:tcPr>
            <w:tcW w:w="4378" w:type="dxa"/>
            <w:tcBorders>
              <w:tl2br w:val="nil"/>
              <w:tr2bl w:val="nil"/>
            </w:tcBorders>
            <w:vAlign w:val="top"/>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b w:val="0"/>
                <w:bCs w:val="0"/>
                <w:color w:val="auto"/>
                <w:kern w:val="2"/>
                <w:sz w:val="21"/>
                <w:szCs w:val="21"/>
                <w:highlight w:val="none"/>
                <w:lang w:val="en-US" w:eastAsia="zh-CN" w:bidi="ar-SA"/>
              </w:rPr>
              <w:t>经现场调查企业能</w:t>
            </w:r>
            <w:r>
              <w:rPr>
                <w:rFonts w:hint="default" w:ascii="Times New Roman" w:hAnsi="Times New Roman" w:eastAsia="宋体" w:cs="Times New Roman"/>
                <w:sz w:val="21"/>
                <w:szCs w:val="21"/>
              </w:rPr>
              <w:t>根据环境风险评价、环境应急预案和厂区实际现状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熟练掌握厂区的所有风险源及相应的应急措施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在主要风险源安装预警和检测装置</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建设相配套的事故应急设施</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配备足够应急物资、设备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在非事故状态下不占用</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并定期进行维修保养</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在厂区总排口安装电磁切断阀</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每年定期举行应急演练;加强环境风险管理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对风险评价实行动态管理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保证事故发生时立即进入应急状态</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确保环境安全。</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10"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247" w:type="dxa"/>
            <w:tcBorders>
              <w:tl2br w:val="nil"/>
              <w:tr2bl w:val="nil"/>
            </w:tcBorders>
            <w:vAlign w:val="center"/>
          </w:tcPr>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加强环保宣传教育</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制定环保管理制度</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严格落实《关于进一步规范和加强企业环境管理的意见》</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淄环发[2010]60号</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 xml:space="preserve"> 并作为环保验收必要条件</w:t>
            </w:r>
            <w:r>
              <w:rPr>
                <w:rFonts w:hint="eastAsia" w:ascii="Times New Roman" w:hAnsi="Times New Roman" w:eastAsia="宋体" w:cs="Times New Roman"/>
                <w:sz w:val="21"/>
                <w:szCs w:val="21"/>
                <w:lang w:eastAsia="zh-CN"/>
              </w:rPr>
              <w:t>。</w:t>
            </w:r>
          </w:p>
        </w:tc>
        <w:tc>
          <w:tcPr>
            <w:tcW w:w="4378" w:type="dxa"/>
            <w:tcBorders>
              <w:tl2br w:val="nil"/>
              <w:tr2bl w:val="nil"/>
            </w:tcBorders>
            <w:vAlign w:val="center"/>
          </w:tcPr>
          <w:p>
            <w:pPr>
              <w:autoSpaceDE w:val="0"/>
              <w:autoSpaceDN w:val="0"/>
              <w:adjustRightInd w:val="0"/>
              <w:spacing w:before="78" w:beforeLines="25"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kern w:val="2"/>
                <w:sz w:val="21"/>
                <w:szCs w:val="21"/>
                <w:highlight w:val="none"/>
                <w:lang w:val="en-US" w:eastAsia="zh-CN" w:bidi="ar-SA"/>
              </w:rPr>
              <w:t>经调查企业已</w:t>
            </w:r>
            <w:r>
              <w:rPr>
                <w:rFonts w:hint="default" w:ascii="Times New Roman" w:hAnsi="Times New Roman" w:eastAsia="宋体" w:cs="Times New Roman"/>
                <w:sz w:val="21"/>
                <w:szCs w:val="21"/>
              </w:rPr>
              <w:t>加强环保宣传教育</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制定</w:t>
            </w:r>
            <w:r>
              <w:rPr>
                <w:rFonts w:hint="eastAsia" w:cs="Times New Roman"/>
                <w:sz w:val="21"/>
                <w:szCs w:val="21"/>
                <w:lang w:eastAsia="zh-CN"/>
              </w:rPr>
              <w:t>了</w:t>
            </w:r>
            <w:r>
              <w:rPr>
                <w:rFonts w:hint="default" w:ascii="Times New Roman" w:hAnsi="Times New Roman" w:eastAsia="宋体" w:cs="Times New Roman"/>
                <w:sz w:val="21"/>
                <w:szCs w:val="21"/>
              </w:rPr>
              <w:t>环保管理制度</w:t>
            </w:r>
            <w:r>
              <w:rPr>
                <w:rFonts w:hint="eastAsia" w:ascii="Times New Roman" w:hAnsi="Times New Roman" w:eastAsia="宋体" w:cs="Times New Roman"/>
                <w:sz w:val="21"/>
                <w:szCs w:val="21"/>
                <w:lang w:eastAsia="zh-CN"/>
              </w:rPr>
              <w:t>，</w:t>
            </w:r>
            <w:r>
              <w:rPr>
                <w:rFonts w:hint="eastAsia" w:ascii="宋体"/>
                <w:sz w:val="21"/>
                <w:szCs w:val="21"/>
              </w:rPr>
              <w:t>建立</w:t>
            </w:r>
            <w:r>
              <w:rPr>
                <w:rFonts w:hint="eastAsia" w:ascii="宋体"/>
                <w:sz w:val="21"/>
                <w:szCs w:val="21"/>
                <w:lang w:eastAsia="zh-CN"/>
              </w:rPr>
              <w:t>了</w:t>
            </w:r>
            <w:r>
              <w:rPr>
                <w:rFonts w:hint="eastAsia" w:ascii="宋体"/>
                <w:sz w:val="21"/>
                <w:szCs w:val="21"/>
              </w:rPr>
              <w:t>健全的环保机构，加强环境管理工作，开展厂内环境监测、监督，并把环保工作纳入生产管理</w:t>
            </w:r>
            <w:r>
              <w:rPr>
                <w:rFonts w:hint="eastAsia" w:ascii="宋体"/>
                <w:sz w:val="21"/>
                <w:szCs w:val="21"/>
                <w:lang w:eastAsia="zh-CN"/>
              </w:rPr>
              <w:t>，</w:t>
            </w:r>
            <w:r>
              <w:rPr>
                <w:rFonts w:hint="default" w:ascii="Times New Roman" w:hAnsi="Times New Roman" w:eastAsia="宋体" w:cs="Times New Roman"/>
                <w:sz w:val="21"/>
                <w:szCs w:val="21"/>
              </w:rPr>
              <w:t>严格落实并</w:t>
            </w:r>
            <w:r>
              <w:rPr>
                <w:rFonts w:hint="eastAsia" w:ascii="Times New Roman" w:hAnsi="Times New Roman" w:eastAsia="宋体" w:cs="Times New Roman"/>
                <w:sz w:val="21"/>
                <w:szCs w:val="21"/>
                <w:lang w:eastAsia="zh-CN"/>
              </w:rPr>
              <w:t>把</w:t>
            </w:r>
            <w:r>
              <w:rPr>
                <w:rFonts w:hint="default" w:ascii="Times New Roman" w:hAnsi="Times New Roman" w:eastAsia="宋体" w:cs="Times New Roman"/>
                <w:sz w:val="21"/>
                <w:szCs w:val="21"/>
              </w:rPr>
              <w:t>《关于进一步规范和加强企业环境管理的意见》</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淄环发[2010]60号</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 xml:space="preserve"> 作为环保验收必要条件</w:t>
            </w:r>
            <w:r>
              <w:rPr>
                <w:rFonts w:hint="eastAsia" w:ascii="Times New Roman" w:hAnsi="Times New Roman" w:eastAsia="宋体" w:cs="Times New Roman"/>
                <w:sz w:val="21"/>
                <w:szCs w:val="21"/>
                <w:lang w:eastAsia="zh-CN"/>
              </w:rPr>
              <w:t>。</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3"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4247" w:type="dxa"/>
            <w:tcBorders>
              <w:tl2br w:val="nil"/>
              <w:tr2bl w:val="nil"/>
            </w:tcBorders>
            <w:vAlign w:val="center"/>
          </w:tcPr>
          <w:p>
            <w:pPr>
              <w:spacing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项目建成后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确保二氧化硫、氮氧化物排放总量控制在82吨/年、53.6吨/年以内</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确保化学需氧量、氨氮排放总量</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内控指标</w:t>
            </w:r>
            <w:r>
              <w:rPr>
                <w:rFonts w:hint="eastAsia" w:asciiTheme="minorEastAsia" w:hAnsiTheme="minorEastAsia" w:eastAsiaTheme="minorEastAsia" w:cstheme="minorEastAsia"/>
                <w:sz w:val="21"/>
                <w:szCs w:val="21"/>
              </w:rPr>
              <w:t>)</w:t>
            </w:r>
            <w:r>
              <w:rPr>
                <w:rFonts w:hint="default" w:ascii="Times New Roman" w:hAnsi="Times New Roman" w:eastAsia="宋体" w:cs="Times New Roman"/>
                <w:sz w:val="21"/>
                <w:szCs w:val="21"/>
              </w:rPr>
              <w:t>在0.58吨/年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0.075吨/年以内</w:t>
            </w:r>
            <w:r>
              <w:rPr>
                <w:rFonts w:hint="eastAsia" w:ascii="Times New Roman" w:hAnsi="Times New Roman" w:eastAsia="宋体" w:cs="Times New Roman"/>
                <w:sz w:val="21"/>
                <w:szCs w:val="21"/>
                <w:lang w:eastAsia="zh-CN"/>
              </w:rPr>
              <w:t>。</w:t>
            </w:r>
          </w:p>
          <w:p>
            <w:pPr>
              <w:numPr>
                <w:ilvl w:val="0"/>
                <w:numId w:val="0"/>
              </w:numPr>
              <w:spacing w:line="360" w:lineRule="auto"/>
              <w:ind w:firstLine="210" w:firstLineChars="100"/>
              <w:rPr>
                <w:rFonts w:hint="default" w:ascii="Times New Roman" w:hAnsi="Times New Roman" w:eastAsia="宋体" w:cs="Times New Roman"/>
                <w:sz w:val="21"/>
                <w:szCs w:val="21"/>
              </w:rPr>
            </w:pPr>
          </w:p>
        </w:tc>
        <w:tc>
          <w:tcPr>
            <w:tcW w:w="4378" w:type="dxa"/>
            <w:tcBorders>
              <w:tl2br w:val="nil"/>
              <w:tr2bl w:val="nil"/>
            </w:tcBorders>
            <w:vAlign w:val="center"/>
          </w:tcPr>
          <w:p>
            <w:pPr>
              <w:autoSpaceDE w:val="0"/>
              <w:autoSpaceDN w:val="0"/>
              <w:adjustRightInd w:val="0"/>
              <w:spacing w:before="78" w:beforeLines="25" w:line="360" w:lineRule="auto"/>
              <w:ind w:firstLine="420" w:firstLineChars="200"/>
              <w:rPr>
                <w:rFonts w:hint="eastAsia" w:ascii="Times New Roman" w:hAnsi="Times New Roman" w:eastAsia="宋体" w:cs="Times New Roman"/>
                <w:sz w:val="21"/>
                <w:szCs w:val="21"/>
                <w:lang w:eastAsia="zh-CN"/>
              </w:rPr>
            </w:pPr>
            <w:r>
              <w:rPr>
                <w:rFonts w:hint="default" w:ascii="Times New Roman" w:hAnsi="Times New Roman" w:eastAsia="宋体" w:cs="Times New Roman"/>
                <w:b w:val="0"/>
                <w:bCs w:val="0"/>
                <w:color w:val="auto"/>
                <w:kern w:val="2"/>
                <w:sz w:val="21"/>
                <w:szCs w:val="21"/>
                <w:highlight w:val="none"/>
                <w:lang w:val="en-US" w:eastAsia="zh-CN" w:bidi="ar-SA"/>
              </w:rPr>
              <w:t>经</w:t>
            </w:r>
            <w:r>
              <w:rPr>
                <w:rFonts w:hint="eastAsia" w:cs="Times New Roman"/>
                <w:b w:val="0"/>
                <w:bCs w:val="0"/>
                <w:color w:val="auto"/>
                <w:kern w:val="2"/>
                <w:sz w:val="21"/>
                <w:szCs w:val="21"/>
                <w:highlight w:val="none"/>
                <w:lang w:val="en-US" w:eastAsia="zh-CN" w:bidi="ar-SA"/>
              </w:rPr>
              <w:t>j计算</w:t>
            </w:r>
            <w:r>
              <w:rPr>
                <w:rFonts w:hint="default" w:ascii="Times New Roman" w:hAnsi="Times New Roman" w:eastAsia="宋体" w:cs="Times New Roman"/>
                <w:b w:val="0"/>
                <w:bCs w:val="0"/>
                <w:color w:val="auto"/>
                <w:kern w:val="2"/>
                <w:sz w:val="21"/>
                <w:szCs w:val="21"/>
                <w:highlight w:val="none"/>
                <w:lang w:val="en-US" w:eastAsia="zh-CN" w:bidi="ar-SA"/>
              </w:rPr>
              <w:t>企业</w:t>
            </w:r>
            <w:r>
              <w:rPr>
                <w:rFonts w:hint="default" w:ascii="Times New Roman" w:hAnsi="Times New Roman" w:eastAsia="宋体" w:cs="Times New Roman"/>
                <w:sz w:val="21"/>
                <w:szCs w:val="21"/>
              </w:rPr>
              <w:t>二氧化硫、氮氧化物</w:t>
            </w:r>
            <w:r>
              <w:rPr>
                <w:rFonts w:hint="eastAsia" w:cs="Times New Roman"/>
                <w:sz w:val="21"/>
                <w:szCs w:val="21"/>
                <w:lang w:eastAsia="zh-CN"/>
              </w:rPr>
              <w:t>年</w:t>
            </w:r>
            <w:r>
              <w:rPr>
                <w:rFonts w:hint="default" w:ascii="Times New Roman" w:hAnsi="Times New Roman" w:eastAsia="宋体" w:cs="Times New Roman"/>
                <w:sz w:val="21"/>
                <w:szCs w:val="21"/>
              </w:rPr>
              <w:t>排放总量</w:t>
            </w:r>
            <w:r>
              <w:rPr>
                <w:rFonts w:hint="eastAsia" w:cs="Times New Roman"/>
                <w:sz w:val="21"/>
                <w:szCs w:val="21"/>
                <w:lang w:eastAsia="zh-CN"/>
              </w:rPr>
              <w:t>为</w:t>
            </w:r>
            <w:r>
              <w:rPr>
                <w:rFonts w:hint="eastAsia" w:cs="Times New Roman"/>
                <w:color w:val="auto"/>
                <w:sz w:val="21"/>
                <w:szCs w:val="21"/>
                <w:lang w:val="en-US" w:eastAsia="zh-CN"/>
              </w:rPr>
              <w:t>9.52</w:t>
            </w:r>
            <w:r>
              <w:rPr>
                <w:rFonts w:hint="default" w:ascii="Times New Roman" w:hAnsi="Times New Roman" w:eastAsia="宋体" w:cs="Times New Roman"/>
                <w:color w:val="auto"/>
                <w:sz w:val="21"/>
                <w:szCs w:val="21"/>
              </w:rPr>
              <w:t>吨/年、</w:t>
            </w:r>
            <w:r>
              <w:rPr>
                <w:rFonts w:hint="eastAsia" w:cs="Times New Roman"/>
                <w:color w:val="auto"/>
                <w:sz w:val="21"/>
                <w:szCs w:val="21"/>
                <w:lang w:val="en-US" w:eastAsia="zh-CN"/>
              </w:rPr>
              <w:t>4.45</w:t>
            </w:r>
            <w:r>
              <w:rPr>
                <w:rFonts w:hint="default" w:ascii="Times New Roman" w:hAnsi="Times New Roman" w:eastAsia="宋体" w:cs="Times New Roman"/>
                <w:color w:val="auto"/>
                <w:sz w:val="21"/>
                <w:szCs w:val="21"/>
              </w:rPr>
              <w:t>吨/年</w:t>
            </w:r>
            <w:r>
              <w:rPr>
                <w:rFonts w:hint="eastAsia" w:cs="Times New Roman"/>
                <w:color w:val="auto"/>
                <w:sz w:val="21"/>
                <w:szCs w:val="21"/>
                <w:lang w:eastAsia="zh-CN"/>
              </w:rPr>
              <w:t>，均</w:t>
            </w:r>
            <w:r>
              <w:rPr>
                <w:rFonts w:hint="eastAsia" w:cs="Times New Roman"/>
                <w:sz w:val="21"/>
                <w:szCs w:val="21"/>
                <w:lang w:val="en-US" w:eastAsia="zh-CN"/>
              </w:rPr>
              <w:t>满足</w:t>
            </w:r>
            <w:r>
              <w:rPr>
                <w:rFonts w:hint="default" w:ascii="Times New Roman" w:hAnsi="Times New Roman" w:eastAsia="宋体" w:cs="Times New Roman"/>
                <w:sz w:val="21"/>
                <w:szCs w:val="21"/>
              </w:rPr>
              <w:t>污染物总量</w:t>
            </w:r>
            <w:r>
              <w:rPr>
                <w:rFonts w:hint="eastAsia" w:cs="Times New Roman"/>
                <w:sz w:val="21"/>
                <w:szCs w:val="21"/>
                <w:lang w:eastAsia="zh-CN"/>
              </w:rPr>
              <w:t>的指标</w:t>
            </w:r>
            <w:r>
              <w:rPr>
                <w:rFonts w:hint="default" w:ascii="Times New Roman" w:hAnsi="Times New Roman" w:eastAsia="宋体" w:cs="Times New Roman"/>
                <w:b w:val="0"/>
                <w:bCs w:val="0"/>
                <w:color w:val="auto"/>
                <w:kern w:val="2"/>
                <w:sz w:val="21"/>
                <w:szCs w:val="21"/>
                <w:highlight w:val="none"/>
                <w:lang w:val="en-US" w:eastAsia="zh-CN" w:bidi="ar-SA"/>
              </w:rPr>
              <w:t>。</w:t>
            </w:r>
            <w:r>
              <w:rPr>
                <w:rFonts w:hint="eastAsia" w:cs="Times New Roman"/>
                <w:b w:val="0"/>
                <w:bCs w:val="0"/>
                <w:color w:val="auto"/>
                <w:kern w:val="2"/>
                <w:sz w:val="21"/>
                <w:szCs w:val="21"/>
                <w:highlight w:val="none"/>
                <w:lang w:val="en-US" w:eastAsia="zh-CN" w:bidi="ar-SA"/>
              </w:rPr>
              <w:t>废水</w:t>
            </w:r>
            <w:r>
              <w:rPr>
                <w:rFonts w:hint="default" w:ascii="Times New Roman" w:hAnsi="Times New Roman" w:eastAsia="宋体" w:cs="Times New Roman"/>
                <w:sz w:val="21"/>
                <w:szCs w:val="21"/>
              </w:rPr>
              <w:t>排入山东民基</w:t>
            </w:r>
            <w:r>
              <w:rPr>
                <w:rFonts w:hint="eastAsia" w:cs="Times New Roman"/>
                <w:sz w:val="21"/>
                <w:szCs w:val="21"/>
                <w:lang w:eastAsia="zh-CN"/>
              </w:rPr>
              <w:t>新材料科技</w:t>
            </w:r>
            <w:r>
              <w:rPr>
                <w:rFonts w:hint="default" w:ascii="Times New Roman" w:hAnsi="Times New Roman" w:eastAsia="宋体" w:cs="Times New Roman"/>
                <w:sz w:val="21"/>
                <w:szCs w:val="21"/>
              </w:rPr>
              <w:t>有限公司污水处理站处理</w:t>
            </w:r>
            <w:r>
              <w:rPr>
                <w:rFonts w:hint="eastAsia" w:cs="Times New Roman"/>
                <w:sz w:val="21"/>
                <w:szCs w:val="21"/>
                <w:lang w:eastAsia="zh-CN"/>
              </w:rPr>
              <w:t>后综合利用，</w:t>
            </w:r>
            <w:r>
              <w:rPr>
                <w:rFonts w:hint="eastAsia" w:cs="Times New Roman"/>
                <w:b w:val="0"/>
                <w:bCs w:val="0"/>
                <w:color w:val="auto"/>
                <w:kern w:val="2"/>
                <w:sz w:val="21"/>
                <w:szCs w:val="21"/>
                <w:highlight w:val="none"/>
                <w:lang w:val="en-US" w:eastAsia="zh-CN" w:bidi="ar-SA"/>
              </w:rPr>
              <w:t>不外排。</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kern w:val="2"/>
                <w:sz w:val="21"/>
                <w:szCs w:val="21"/>
                <w:lang w:val="en-US" w:eastAsia="zh-CN" w:bidi="ar-SA"/>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247" w:type="dxa"/>
            <w:tcBorders>
              <w:tl2br w:val="nil"/>
              <w:tr2bl w:val="nil"/>
            </w:tcBorders>
            <w:vAlign w:val="center"/>
          </w:tcPr>
          <w:p>
            <w:pPr>
              <w:pStyle w:val="6"/>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rPr>
              <w:t>若该项目的性质、规模、地点、采用的生产工艺或者防治污染、防止生态破坏的措施发生重大变化</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须重新向我局报批环境影响评价文件。若项目在运行过程中产生不符合我局批准的环境影响评价文件情形的</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应当进行后评价</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采取改进措施并报我局备案</w:t>
            </w:r>
            <w:r>
              <w:rPr>
                <w:rFonts w:hint="eastAsia" w:ascii="Times New Roman" w:hAnsi="Times New Roman" w:eastAsia="宋体" w:cs="Times New Roman"/>
                <w:b w:val="0"/>
                <w:bCs w:val="0"/>
                <w:sz w:val="21"/>
                <w:szCs w:val="21"/>
                <w:lang w:eastAsia="zh-CN"/>
              </w:rPr>
              <w:t>。</w:t>
            </w:r>
          </w:p>
        </w:tc>
        <w:tc>
          <w:tcPr>
            <w:tcW w:w="4378" w:type="dxa"/>
            <w:tcBorders>
              <w:tl2br w:val="nil"/>
              <w:tr2bl w:val="nil"/>
            </w:tcBorders>
            <w:vAlign w:val="center"/>
          </w:tcPr>
          <w:p>
            <w:pPr>
              <w:autoSpaceDE w:val="0"/>
              <w:autoSpaceDN w:val="0"/>
              <w:adjustRightInd w:val="0"/>
              <w:spacing w:before="78" w:beforeLines="25" w:line="360" w:lineRule="auto"/>
              <w:ind w:firstLine="420" w:firstLineChars="200"/>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z w:val="21"/>
                <w:szCs w:val="21"/>
              </w:rPr>
              <w:t>若该项目的性质、规模、地点、采用的生产工艺或者防治污染、防止生态破坏的措施发生重大变化</w:t>
            </w:r>
            <w:r>
              <w:rPr>
                <w:rFonts w:hint="eastAsia" w:ascii="Times New Roman" w:hAnsi="Times New Roman" w:eastAsia="宋体" w:cs="Times New Roman"/>
                <w:b w:val="0"/>
                <w:bCs w:val="0"/>
                <w:sz w:val="21"/>
                <w:szCs w:val="21"/>
                <w:lang w:eastAsia="zh-CN"/>
              </w:rPr>
              <w:t>，</w:t>
            </w:r>
            <w:r>
              <w:rPr>
                <w:rFonts w:hint="eastAsia" w:cs="Times New Roman"/>
                <w:b w:val="0"/>
                <w:bCs w:val="0"/>
                <w:sz w:val="21"/>
                <w:szCs w:val="21"/>
                <w:lang w:eastAsia="zh-CN"/>
              </w:rPr>
              <w:t>会</w:t>
            </w:r>
            <w:r>
              <w:rPr>
                <w:rFonts w:hint="default" w:ascii="Times New Roman" w:hAnsi="Times New Roman" w:eastAsia="宋体" w:cs="Times New Roman"/>
                <w:b w:val="0"/>
                <w:bCs w:val="0"/>
                <w:sz w:val="21"/>
                <w:szCs w:val="21"/>
              </w:rPr>
              <w:t>重新向</w:t>
            </w:r>
            <w:r>
              <w:rPr>
                <w:rFonts w:hint="eastAsia" w:cs="Times New Roman"/>
                <w:sz w:val="21"/>
                <w:szCs w:val="21"/>
                <w:lang w:eastAsia="zh-CN"/>
              </w:rPr>
              <w:t>淄博市生态环境局张店分局</w:t>
            </w:r>
            <w:r>
              <w:rPr>
                <w:rFonts w:hint="default" w:ascii="Times New Roman" w:hAnsi="Times New Roman" w:eastAsia="宋体" w:cs="Times New Roman"/>
                <w:b w:val="0"/>
                <w:bCs w:val="0"/>
                <w:sz w:val="21"/>
                <w:szCs w:val="21"/>
              </w:rPr>
              <w:t>报批环境影响评价文件。若项目在运行过程中产生不符合</w:t>
            </w:r>
            <w:r>
              <w:rPr>
                <w:rFonts w:hint="eastAsia" w:cs="Times New Roman"/>
                <w:sz w:val="21"/>
                <w:szCs w:val="21"/>
                <w:lang w:eastAsia="zh-CN"/>
              </w:rPr>
              <w:t>淄博市生态环境局张店分局</w:t>
            </w:r>
            <w:r>
              <w:rPr>
                <w:rFonts w:hint="default" w:ascii="Times New Roman" w:hAnsi="Times New Roman" w:eastAsia="宋体" w:cs="Times New Roman"/>
                <w:b w:val="0"/>
                <w:bCs w:val="0"/>
                <w:sz w:val="21"/>
                <w:szCs w:val="21"/>
              </w:rPr>
              <w:t>批准的环境影响评价文件情形的</w:t>
            </w:r>
            <w:r>
              <w:rPr>
                <w:rFonts w:hint="eastAsia" w:ascii="Times New Roman" w:hAnsi="Times New Roman" w:eastAsia="宋体" w:cs="Times New Roman"/>
                <w:b w:val="0"/>
                <w:bCs w:val="0"/>
                <w:sz w:val="21"/>
                <w:szCs w:val="21"/>
                <w:lang w:eastAsia="zh-CN"/>
              </w:rPr>
              <w:t>，</w:t>
            </w:r>
            <w:r>
              <w:rPr>
                <w:rFonts w:hint="eastAsia" w:cs="Times New Roman"/>
                <w:b w:val="0"/>
                <w:bCs w:val="0"/>
                <w:sz w:val="21"/>
                <w:szCs w:val="21"/>
                <w:lang w:eastAsia="zh-CN"/>
              </w:rPr>
              <w:t>及时</w:t>
            </w:r>
            <w:r>
              <w:rPr>
                <w:rFonts w:hint="default" w:ascii="Times New Roman" w:hAnsi="Times New Roman" w:eastAsia="宋体" w:cs="Times New Roman"/>
                <w:b w:val="0"/>
                <w:bCs w:val="0"/>
                <w:sz w:val="21"/>
                <w:szCs w:val="21"/>
              </w:rPr>
              <w:t>进行后评价</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采取改进措施并报</w:t>
            </w:r>
            <w:r>
              <w:rPr>
                <w:rFonts w:hint="eastAsia" w:cs="Times New Roman"/>
                <w:sz w:val="21"/>
                <w:szCs w:val="21"/>
                <w:lang w:eastAsia="zh-CN"/>
              </w:rPr>
              <w:t>淄博市生态环境局张店分局</w:t>
            </w:r>
            <w:r>
              <w:rPr>
                <w:rFonts w:hint="default" w:ascii="Times New Roman" w:hAnsi="Times New Roman" w:eastAsia="宋体" w:cs="Times New Roman"/>
                <w:b w:val="0"/>
                <w:bCs w:val="0"/>
                <w:sz w:val="21"/>
                <w:szCs w:val="21"/>
              </w:rPr>
              <w:t>备案</w:t>
            </w:r>
            <w:r>
              <w:rPr>
                <w:rFonts w:hint="eastAsia" w:ascii="Times New Roman" w:hAnsi="Times New Roman" w:eastAsia="宋体" w:cs="Times New Roman"/>
                <w:b w:val="0"/>
                <w:bCs w:val="0"/>
                <w:sz w:val="21"/>
                <w:szCs w:val="21"/>
                <w:lang w:eastAsia="zh-CN"/>
              </w:rPr>
              <w:t>。</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439" w:type="dxa"/>
            <w:tcBorders>
              <w:tl2br w:val="nil"/>
              <w:tr2bl w:val="nil"/>
            </w:tcBorders>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4247" w:type="dxa"/>
            <w:tcBorders>
              <w:tl2br w:val="nil"/>
              <w:tr2bl w:val="nil"/>
            </w:tcBorders>
            <w:vAlign w:val="center"/>
          </w:tcPr>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项目建设必须严格执行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三同时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制度。项目建成后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要及时向我局申请竣工环境保护验收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验收合格后</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方可正式投入生产</w:t>
            </w:r>
            <w:r>
              <w:rPr>
                <w:rFonts w:hint="eastAsia" w:ascii="Times New Roman" w:hAnsi="Times New Roman" w:eastAsia="宋体" w:cs="Times New Roman"/>
                <w:sz w:val="21"/>
                <w:szCs w:val="21"/>
                <w:lang w:eastAsia="zh-CN"/>
              </w:rPr>
              <w:t>。</w:t>
            </w:r>
          </w:p>
        </w:tc>
        <w:tc>
          <w:tcPr>
            <w:tcW w:w="4378" w:type="dxa"/>
            <w:tcBorders>
              <w:tl2br w:val="nil"/>
              <w:tr2bl w:val="nil"/>
            </w:tcBorders>
            <w:vAlign w:val="center"/>
          </w:tcPr>
          <w:p>
            <w:pPr>
              <w:autoSpaceDE w:val="0"/>
              <w:autoSpaceDN w:val="0"/>
              <w:adjustRightInd w:val="0"/>
              <w:spacing w:before="78" w:beforeLines="25" w:line="360" w:lineRule="auto"/>
              <w:ind w:firstLine="420" w:firstLineChars="200"/>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经调查企业</w:t>
            </w:r>
            <w:r>
              <w:rPr>
                <w:rFonts w:hint="default" w:ascii="Times New Roman" w:hAnsi="Times New Roman" w:eastAsia="宋体" w:cs="Times New Roman"/>
                <w:sz w:val="21"/>
                <w:szCs w:val="21"/>
              </w:rPr>
              <w:t>项目建设</w:t>
            </w:r>
            <w:r>
              <w:rPr>
                <w:rFonts w:hint="eastAsia" w:cs="Times New Roman"/>
                <w:sz w:val="21"/>
                <w:szCs w:val="21"/>
                <w:lang w:eastAsia="zh-CN"/>
              </w:rPr>
              <w:t>已</w:t>
            </w:r>
            <w:r>
              <w:rPr>
                <w:rFonts w:hint="default" w:ascii="Times New Roman" w:hAnsi="Times New Roman" w:eastAsia="宋体" w:cs="Times New Roman"/>
                <w:sz w:val="21"/>
                <w:szCs w:val="21"/>
              </w:rPr>
              <w:t>严格执行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三同时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制度。项目建成后</w:t>
            </w:r>
            <w:r>
              <w:rPr>
                <w:rFonts w:hint="eastAsia" w:cs="Times New Roman"/>
                <w:sz w:val="21"/>
                <w:szCs w:val="21"/>
                <w:lang w:eastAsia="zh-CN"/>
              </w:rPr>
              <w:t>，已</w:t>
            </w:r>
            <w:r>
              <w:rPr>
                <w:rFonts w:hint="default" w:ascii="Times New Roman" w:hAnsi="Times New Roman" w:eastAsia="宋体" w:cs="Times New Roman"/>
                <w:sz w:val="21"/>
                <w:szCs w:val="21"/>
              </w:rPr>
              <w:t>及时向</w:t>
            </w:r>
            <w:r>
              <w:rPr>
                <w:rFonts w:hint="eastAsia" w:cs="Times New Roman"/>
                <w:sz w:val="21"/>
                <w:szCs w:val="21"/>
                <w:lang w:eastAsia="zh-CN"/>
              </w:rPr>
              <w:t>淄博市生态环境局张店分局</w:t>
            </w:r>
            <w:r>
              <w:rPr>
                <w:rFonts w:hint="default" w:ascii="Times New Roman" w:hAnsi="Times New Roman" w:eastAsia="宋体" w:cs="Times New Roman"/>
                <w:sz w:val="21"/>
                <w:szCs w:val="21"/>
              </w:rPr>
              <w:t>申请竣工环境保护验收</w:t>
            </w:r>
            <w:r>
              <w:rPr>
                <w:rFonts w:hint="eastAsia" w:ascii="Times New Roman" w:hAnsi="Times New Roman" w:eastAsia="宋体" w:cs="Times New Roman"/>
                <w:sz w:val="21"/>
                <w:szCs w:val="21"/>
                <w:lang w:eastAsia="zh-CN"/>
              </w:rPr>
              <w:t>，</w:t>
            </w:r>
            <w:r>
              <w:rPr>
                <w:rFonts w:hint="eastAsia" w:cs="Times New Roman"/>
                <w:sz w:val="21"/>
                <w:szCs w:val="21"/>
                <w:lang w:eastAsia="zh-CN"/>
              </w:rPr>
              <w:t>待</w:t>
            </w:r>
            <w:r>
              <w:rPr>
                <w:rFonts w:hint="default" w:ascii="Times New Roman" w:hAnsi="Times New Roman" w:eastAsia="宋体" w:cs="Times New Roman"/>
                <w:sz w:val="21"/>
                <w:szCs w:val="21"/>
              </w:rPr>
              <w:t>验收合格后</w:t>
            </w:r>
            <w:r>
              <w:rPr>
                <w:rFonts w:hint="eastAsia" w:ascii="Times New Roman" w:hAnsi="Times New Roman" w:eastAsia="宋体" w:cs="Times New Roman"/>
                <w:sz w:val="21"/>
                <w:szCs w:val="21"/>
                <w:lang w:eastAsia="zh-CN"/>
              </w:rPr>
              <w:t>，</w:t>
            </w:r>
            <w:r>
              <w:rPr>
                <w:rFonts w:hint="eastAsia" w:cs="Times New Roman"/>
                <w:sz w:val="21"/>
                <w:szCs w:val="21"/>
                <w:lang w:eastAsia="zh-CN"/>
              </w:rPr>
              <w:t>方</w:t>
            </w:r>
            <w:r>
              <w:rPr>
                <w:rFonts w:hint="default" w:ascii="Times New Roman" w:hAnsi="Times New Roman" w:eastAsia="宋体" w:cs="Times New Roman"/>
                <w:sz w:val="21"/>
                <w:szCs w:val="21"/>
              </w:rPr>
              <w:t>正式投入生产</w:t>
            </w:r>
            <w:r>
              <w:rPr>
                <w:rFonts w:hint="eastAsia" w:ascii="Times New Roman" w:hAnsi="Times New Roman" w:eastAsia="宋体" w:cs="Times New Roman"/>
                <w:sz w:val="21"/>
                <w:szCs w:val="21"/>
                <w:lang w:eastAsia="zh-CN"/>
              </w:rPr>
              <w:t>。</w:t>
            </w:r>
          </w:p>
        </w:tc>
        <w:tc>
          <w:tcPr>
            <w:tcW w:w="858" w:type="dxa"/>
            <w:tcBorders>
              <w:tl2br w:val="nil"/>
              <w:tr2bl w:val="nil"/>
            </w:tcBorders>
            <w:vAlign w:val="center"/>
          </w:tcPr>
          <w:p>
            <w:pPr>
              <w:spacing w:line="360" w:lineRule="auto"/>
              <w:jc w:val="center"/>
              <w:rPr>
                <w:rFonts w:hint="default"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lang w:eastAsia="zh-CN"/>
              </w:rPr>
              <w:t>已落实</w:t>
            </w:r>
          </w:p>
        </w:tc>
      </w:tr>
    </w:tbl>
    <w:p>
      <w:pPr>
        <w:spacing w:line="480" w:lineRule="exact"/>
        <w:rPr>
          <w:sz w:val="24"/>
        </w:rPr>
        <w:sectPr>
          <w:footerReference r:id="rId9"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5"/>
        <w:jc w:val="center"/>
      </w:pPr>
      <w:bookmarkStart w:id="153" w:name="_Toc21085"/>
      <w:bookmarkStart w:id="154" w:name="_Toc23952_WPSOffice_Level1"/>
      <w:bookmarkStart w:id="155" w:name="_Toc24046"/>
      <w:r>
        <w:t>第</w:t>
      </w:r>
      <w:r>
        <w:rPr>
          <w:rFonts w:hint="eastAsia"/>
          <w:lang w:val="en-US" w:eastAsia="zh-CN"/>
        </w:rPr>
        <w:t>八</w:t>
      </w:r>
      <w:r>
        <w:t>章  结论与建议</w:t>
      </w:r>
      <w:bookmarkEnd w:id="153"/>
      <w:bookmarkEnd w:id="154"/>
      <w:bookmarkEnd w:id="155"/>
    </w:p>
    <w:p>
      <w:pPr>
        <w:pStyle w:val="6"/>
        <w:rPr>
          <w:rFonts w:hint="eastAsia"/>
        </w:rPr>
      </w:pPr>
      <w:bookmarkStart w:id="156" w:name="_Toc1997"/>
      <w:bookmarkStart w:id="157" w:name="_Toc135_WPSOffice_Level2"/>
      <w:r>
        <w:rPr>
          <w:rFonts w:hint="eastAsia"/>
        </w:rPr>
        <w:t>8.1工程基本情况</w:t>
      </w:r>
      <w:bookmarkEnd w:id="156"/>
      <w:bookmarkEnd w:id="157"/>
    </w:p>
    <w:p>
      <w:pPr>
        <w:spacing w:line="360" w:lineRule="auto"/>
        <w:ind w:firstLine="480" w:firstLineChars="200"/>
        <w:rPr>
          <w:rFonts w:hint="default" w:ascii="Times New Roman" w:hAnsi="Times New Roman" w:eastAsia="宋体" w:cs="Times New Roman"/>
          <w:sz w:val="24"/>
          <w:szCs w:val="24"/>
        </w:rPr>
      </w:pPr>
      <w:bookmarkStart w:id="158" w:name="_Toc10583"/>
      <w:r>
        <w:rPr>
          <w:rFonts w:hint="default" w:ascii="Times New Roman" w:hAnsi="Times New Roman" w:eastAsia="宋体" w:cs="Times New Roman"/>
          <w:sz w:val="24"/>
          <w:szCs w:val="24"/>
        </w:rPr>
        <w:t>淄博建龙化工有限公司现有工程产硫酸45万吨/年，同时配套3000kW发电机组一套，利用副产蒸汽发电。目前，蒸汽并网发电机组运行和维护费用均较高，经济效益不能达到企业预期。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山东民基新材料科技有限公司</w:t>
      </w:r>
      <w:r>
        <w:rPr>
          <w:rFonts w:hint="default" w:ascii="Times New Roman" w:hAnsi="Times New Roman" w:eastAsia="宋体" w:cs="Times New Roman"/>
          <w:sz w:val="24"/>
          <w:szCs w:val="24"/>
        </w:rPr>
        <w:t>位于淄博市张店区东部化工区，该企业硫酸需求量约4.732万吨/年，蒸汽年需求量近63.1万吨/年。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山东民基新材料科技有限公司</w:t>
      </w:r>
      <w:r>
        <w:rPr>
          <w:rFonts w:hint="default" w:ascii="Times New Roman" w:hAnsi="Times New Roman" w:eastAsia="宋体" w:cs="Times New Roman"/>
          <w:sz w:val="24"/>
          <w:szCs w:val="24"/>
        </w:rPr>
        <w:t>对硫酸和蒸汽均有需求，目前厂区存在预留用地，为满足双方需求，建龙化工和</w:t>
      </w:r>
      <w:r>
        <w:rPr>
          <w:rFonts w:hint="default" w:ascii="Times New Roman" w:hAnsi="Times New Roman" w:eastAsia="宋体" w:cs="Times New Roman"/>
          <w:sz w:val="24"/>
          <w:szCs w:val="24"/>
          <w:lang w:eastAsia="zh-CN"/>
        </w:rPr>
        <w:t>山东民基新材料科技有限公司</w:t>
      </w:r>
      <w:r>
        <w:rPr>
          <w:rFonts w:hint="default" w:ascii="Times New Roman" w:hAnsi="Times New Roman" w:eastAsia="宋体" w:cs="Times New Roman"/>
          <w:sz w:val="24"/>
          <w:szCs w:val="24"/>
        </w:rPr>
        <w:t>达成合作意向，由</w:t>
      </w:r>
      <w:r>
        <w:rPr>
          <w:rFonts w:hint="default" w:ascii="Times New Roman" w:hAnsi="Times New Roman" w:eastAsia="宋体" w:cs="Times New Roman"/>
          <w:sz w:val="24"/>
          <w:szCs w:val="24"/>
          <w:lang w:eastAsia="zh-CN"/>
        </w:rPr>
        <w:t>山东民基新材料科技有限公司提供</w:t>
      </w:r>
      <w:r>
        <w:rPr>
          <w:rFonts w:hint="default" w:ascii="Times New Roman" w:hAnsi="Times New Roman" w:eastAsia="宋体" w:cs="Times New Roman"/>
          <w:sz w:val="24"/>
          <w:szCs w:val="24"/>
        </w:rPr>
        <w:t>土地、供水</w:t>
      </w:r>
      <w:r>
        <w:rPr>
          <w:rFonts w:hint="default" w:ascii="Times New Roman" w:hAnsi="Times New Roman" w:eastAsia="宋体" w:cs="Times New Roman"/>
          <w:sz w:val="24"/>
          <w:szCs w:val="24"/>
          <w:lang w:eastAsia="zh-CN"/>
        </w:rPr>
        <w:t>系统</w:t>
      </w:r>
      <w:r>
        <w:rPr>
          <w:rFonts w:hint="default" w:ascii="Times New Roman" w:hAnsi="Times New Roman" w:eastAsia="宋体" w:cs="Times New Roman"/>
          <w:sz w:val="24"/>
          <w:szCs w:val="24"/>
        </w:rPr>
        <w:t>、消防、风险防范等服务，建龙化工提供硫酸和蒸汽。项目建成后可</w:t>
      </w:r>
      <w:r>
        <w:rPr>
          <w:rFonts w:hint="default" w:ascii="Times New Roman" w:hAnsi="Times New Roman" w:eastAsia="宋体" w:cs="Times New Roman"/>
          <w:sz w:val="24"/>
          <w:szCs w:val="24"/>
          <w:lang w:eastAsia="zh-CN"/>
        </w:rPr>
        <w:t>提高</w:t>
      </w:r>
      <w:r>
        <w:rPr>
          <w:rFonts w:hint="default" w:ascii="Times New Roman" w:hAnsi="Times New Roman" w:eastAsia="宋体" w:cs="Times New Roman"/>
          <w:sz w:val="24"/>
          <w:szCs w:val="24"/>
        </w:rPr>
        <w:t>双方企业的经济效益、降低运行成本</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因此，搬迁项目对双方企业的建设是必要的。</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项目建设地点位于</w:t>
      </w:r>
      <w:r>
        <w:rPr>
          <w:rFonts w:hint="default" w:ascii="Times New Roman" w:hAnsi="Times New Roman" w:eastAsia="宋体" w:cs="Times New Roman"/>
          <w:sz w:val="24"/>
          <w:szCs w:val="24"/>
          <w:lang w:eastAsia="zh-CN"/>
        </w:rPr>
        <w:t>张店区东部化工区山东民基新材料科技有限公司厂区内预留用地上</w:t>
      </w:r>
      <w:r>
        <w:rPr>
          <w:rFonts w:hint="default" w:ascii="Times New Roman" w:hAnsi="Times New Roman" w:eastAsia="宋体" w:cs="Times New Roman"/>
          <w:sz w:val="24"/>
          <w:szCs w:val="24"/>
        </w:rPr>
        <w:t>，总</w:t>
      </w:r>
      <w:r>
        <w:rPr>
          <w:rFonts w:hint="default" w:ascii="Times New Roman" w:hAnsi="Times New Roman" w:eastAsia="宋体" w:cs="Times New Roman"/>
          <w:sz w:val="24"/>
          <w:szCs w:val="24"/>
          <w:lang w:eastAsia="zh-CN"/>
        </w:rPr>
        <w:t>投资8249.42万元</w:t>
      </w:r>
      <w:r>
        <w:rPr>
          <w:rFonts w:hint="default" w:ascii="Times New Roman" w:hAnsi="Times New Roman" w:eastAsia="宋体" w:cs="Times New Roman"/>
          <w:sz w:val="24"/>
          <w:szCs w:val="24"/>
        </w:rPr>
        <w:t>，其中</w:t>
      </w:r>
      <w:r>
        <w:rPr>
          <w:rFonts w:hint="default" w:ascii="Times New Roman" w:hAnsi="Times New Roman" w:eastAsia="宋体" w:cs="Times New Roman"/>
          <w:sz w:val="24"/>
          <w:szCs w:val="24"/>
          <w:lang w:eastAsia="zh-CN"/>
        </w:rPr>
        <w:t>环保投资350万元</w:t>
      </w:r>
      <w:r>
        <w:rPr>
          <w:rFonts w:hint="default" w:ascii="Times New Roman" w:hAnsi="Times New Roman" w:eastAsia="宋体" w:cs="Times New Roman"/>
          <w:sz w:val="24"/>
          <w:szCs w:val="24"/>
        </w:rPr>
        <w:t>，占地面积</w:t>
      </w:r>
      <w:r>
        <w:rPr>
          <w:rFonts w:hint="default" w:ascii="Times New Roman" w:hAnsi="Times New Roman" w:eastAsia="宋体" w:cs="Times New Roman"/>
          <w:sz w:val="24"/>
          <w:szCs w:val="24"/>
          <w:lang w:val="en-US" w:eastAsia="zh-CN"/>
        </w:rPr>
        <w:t>14856m2</w:t>
      </w:r>
      <w:r>
        <w:rPr>
          <w:rFonts w:hint="default" w:ascii="Times New Roman" w:hAnsi="Times New Roman" w:eastAsia="宋体" w:cs="Times New Roman"/>
          <w:sz w:val="24"/>
          <w:szCs w:val="24"/>
        </w:rPr>
        <w:t>，建设规模为年</w:t>
      </w:r>
      <w:r>
        <w:rPr>
          <w:rFonts w:hint="default" w:ascii="Times New Roman" w:hAnsi="Times New Roman" w:eastAsia="宋体" w:cs="Times New Roman"/>
          <w:sz w:val="24"/>
          <w:szCs w:val="24"/>
          <w:lang w:eastAsia="zh-CN"/>
        </w:rPr>
        <w:t>硫酸</w:t>
      </w:r>
      <w:r>
        <w:rPr>
          <w:rFonts w:hint="default" w:ascii="Times New Roman" w:hAnsi="Times New Roman" w:eastAsia="宋体" w:cs="Times New Roman"/>
          <w:sz w:val="24"/>
          <w:szCs w:val="24"/>
          <w:lang w:val="en-US" w:eastAsia="zh-CN"/>
        </w:rPr>
        <w:t>30万</w:t>
      </w:r>
      <w:r>
        <w:rPr>
          <w:rFonts w:hint="default" w:ascii="Times New Roman" w:hAnsi="Times New Roman" w:eastAsia="宋体" w:cs="Times New Roman"/>
          <w:sz w:val="24"/>
          <w:szCs w:val="24"/>
        </w:rPr>
        <w:t>吨</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项目于</w:t>
      </w:r>
      <w:r>
        <w:rPr>
          <w:rFonts w:hint="default" w:ascii="Times New Roman" w:hAnsi="Times New Roman" w:eastAsia="宋体" w:cs="Times New Roman"/>
          <w:sz w:val="24"/>
          <w:szCs w:val="24"/>
          <w:lang w:val="en-US" w:eastAsia="zh-CN"/>
        </w:rPr>
        <w:t>2016</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月委托</w:t>
      </w:r>
      <w:r>
        <w:rPr>
          <w:rFonts w:hint="default" w:ascii="Times New Roman" w:hAnsi="Times New Roman" w:eastAsia="宋体" w:cs="Times New Roman"/>
          <w:sz w:val="24"/>
          <w:szCs w:val="24"/>
          <w:lang w:eastAsia="zh-CN"/>
        </w:rPr>
        <w:t>山东海美侬项目咨询有限公司</w:t>
      </w:r>
      <w:r>
        <w:rPr>
          <w:rFonts w:hint="default" w:ascii="Times New Roman" w:hAnsi="Times New Roman" w:eastAsia="宋体" w:cs="Times New Roman"/>
          <w:sz w:val="24"/>
          <w:szCs w:val="24"/>
        </w:rPr>
        <w:t>编制完成项目</w:t>
      </w:r>
      <w:r>
        <w:rPr>
          <w:rFonts w:hint="default" w:ascii="Times New Roman" w:hAnsi="Times New Roman" w:eastAsia="宋体" w:cs="Times New Roman"/>
          <w:sz w:val="24"/>
          <w:szCs w:val="24"/>
          <w:lang w:eastAsia="zh-CN"/>
        </w:rPr>
        <w:t>环评报告书</w:t>
      </w:r>
      <w:r>
        <w:rPr>
          <w:rFonts w:hint="default" w:ascii="Times New Roman" w:hAnsi="Times New Roman" w:eastAsia="宋体" w:cs="Times New Roman"/>
          <w:sz w:val="24"/>
          <w:szCs w:val="24"/>
        </w:rPr>
        <w:t>，淄博市环境保护局于</w:t>
      </w:r>
      <w:r>
        <w:rPr>
          <w:rFonts w:hint="default" w:ascii="Times New Roman" w:hAnsi="Times New Roman" w:eastAsia="宋体" w:cs="Times New Roman"/>
          <w:sz w:val="24"/>
          <w:szCs w:val="24"/>
          <w:lang w:eastAsia="zh-CN"/>
        </w:rPr>
        <w:t>2016年06月06日</w:t>
      </w:r>
      <w:r>
        <w:rPr>
          <w:rFonts w:hint="default" w:ascii="Times New Roman" w:hAnsi="Times New Roman" w:eastAsia="宋体" w:cs="Times New Roman"/>
          <w:sz w:val="24"/>
          <w:szCs w:val="24"/>
        </w:rPr>
        <w:t>以</w:t>
      </w:r>
      <w:r>
        <w:rPr>
          <w:rFonts w:hint="default" w:ascii="Times New Roman" w:hAnsi="Times New Roman" w:eastAsia="宋体" w:cs="Times New Roman"/>
          <w:sz w:val="24"/>
          <w:szCs w:val="24"/>
          <w:lang w:val="en-US" w:eastAsia="zh-CN"/>
        </w:rPr>
        <w:t>淄环审[2016]52号</w:t>
      </w:r>
      <w:r>
        <w:rPr>
          <w:rFonts w:hint="default" w:ascii="Times New Roman" w:hAnsi="Times New Roman" w:eastAsia="宋体" w:cs="Times New Roman"/>
          <w:sz w:val="24"/>
          <w:szCs w:val="24"/>
        </w:rPr>
        <w:t>批复</w:t>
      </w:r>
      <w:r>
        <w:rPr>
          <w:rFonts w:hint="default" w:ascii="Times New Roman" w:hAnsi="Times New Roman" w:eastAsia="宋体" w:cs="Times New Roman"/>
          <w:sz w:val="24"/>
          <w:szCs w:val="24"/>
          <w:lang w:eastAsia="zh-CN"/>
        </w:rPr>
        <w:t>环评报告书</w:t>
      </w:r>
      <w:r>
        <w:rPr>
          <w:rFonts w:hint="default" w:ascii="Times New Roman" w:hAnsi="Times New Roman" w:eastAsia="宋体" w:cs="Times New Roman"/>
          <w:sz w:val="24"/>
          <w:szCs w:val="24"/>
        </w:rPr>
        <w:t>。</w:t>
      </w:r>
    </w:p>
    <w:p>
      <w:pPr>
        <w:pStyle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59" w:name="_Toc27665_WPSOffice_Level2"/>
      <w:r>
        <w:rPr>
          <w:rFonts w:hint="eastAsia" w:cs="Times New Roman"/>
          <w:sz w:val="24"/>
          <w:lang w:eastAsia="zh-CN"/>
        </w:rPr>
        <w:t>项目于</w:t>
      </w:r>
      <w:r>
        <w:rPr>
          <w:rFonts w:hint="eastAsia" w:cs="Times New Roman"/>
          <w:sz w:val="24"/>
          <w:lang w:val="en-US" w:eastAsia="zh-CN"/>
        </w:rPr>
        <w:t>2019年02月开工建设，2020年06月建成并进行调试运行。</w:t>
      </w:r>
    </w:p>
    <w:p>
      <w:pPr>
        <w:pStyle w:val="6"/>
        <w:rPr>
          <w:rFonts w:hint="eastAsia"/>
        </w:rPr>
      </w:pPr>
      <w:r>
        <w:rPr>
          <w:rFonts w:hint="eastAsia"/>
        </w:rPr>
        <w:t>8.3验收监测结论</w:t>
      </w:r>
      <w:bookmarkEnd w:id="158"/>
      <w:bookmarkEnd w:id="159"/>
    </w:p>
    <w:p>
      <w:pPr>
        <w:pStyle w:val="7"/>
        <w:rPr>
          <w:rFonts w:hint="eastAsia" w:ascii="宋体" w:hAnsi="宋体" w:eastAsia="宋体" w:cs="宋体"/>
        </w:rPr>
      </w:pPr>
      <w:bookmarkStart w:id="160" w:name="_Toc6402_WPSOffice_Level3"/>
      <w:bookmarkStart w:id="161" w:name="_Toc22775"/>
      <w:r>
        <w:rPr>
          <w:rFonts w:hint="eastAsia" w:ascii="宋体" w:hAnsi="宋体" w:eastAsia="宋体" w:cs="宋体"/>
        </w:rPr>
        <w:t>8.3.1 监测期间工况调查</w:t>
      </w:r>
      <w:bookmarkEnd w:id="160"/>
      <w:bookmarkEnd w:id="161"/>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验收监测期间项目生产装置运行负荷</w:t>
      </w:r>
      <w:r>
        <w:rPr>
          <w:rFonts w:hint="default" w:ascii="Times New Roman" w:hAnsi="Times New Roman" w:cs="Times New Roman"/>
          <w:color w:val="auto"/>
          <w:sz w:val="24"/>
        </w:rPr>
        <w:t>在</w:t>
      </w:r>
      <w:r>
        <w:rPr>
          <w:rFonts w:hint="eastAsia" w:cs="Times New Roman"/>
          <w:color w:val="auto"/>
          <w:sz w:val="24"/>
          <w:lang w:val="en-US" w:eastAsia="zh-CN"/>
        </w:rPr>
        <w:t>8</w:t>
      </w:r>
      <w:r>
        <w:rPr>
          <w:rFonts w:hint="default" w:ascii="Times New Roman" w:hAnsi="Times New Roman" w:cs="Times New Roman"/>
          <w:color w:val="auto"/>
          <w:sz w:val="24"/>
        </w:rPr>
        <w:t>0%以上</w:t>
      </w:r>
      <w:r>
        <w:rPr>
          <w:rFonts w:hint="default" w:ascii="Times New Roman" w:hAnsi="Times New Roman" w:cs="Times New Roman"/>
          <w:sz w:val="24"/>
        </w:rPr>
        <w:t>，大于75%，满足竣工验收监测工况的要求。</w:t>
      </w:r>
    </w:p>
    <w:p>
      <w:pPr>
        <w:pStyle w:val="7"/>
        <w:rPr>
          <w:rFonts w:hint="eastAsia" w:ascii="宋体" w:hAnsi="宋体" w:eastAsia="宋体" w:cs="宋体"/>
        </w:rPr>
      </w:pPr>
      <w:bookmarkStart w:id="162" w:name="_Toc17719_WPSOffice_Level3"/>
      <w:bookmarkStart w:id="163" w:name="_Toc25295"/>
      <w:r>
        <w:rPr>
          <w:rFonts w:hint="eastAsia" w:ascii="宋体" w:hAnsi="宋体" w:eastAsia="宋体" w:cs="宋体"/>
        </w:rPr>
        <w:t>8.3.2 验收监测结论</w:t>
      </w:r>
      <w:bookmarkEnd w:id="162"/>
      <w:bookmarkEnd w:id="163"/>
    </w:p>
    <w:p>
      <w:pPr>
        <w:spacing w:before="62" w:beforeLines="20" w:after="62" w:afterLines="20" w:line="480" w:lineRule="exact"/>
        <w:rPr>
          <w:rFonts w:hint="eastAsia" w:ascii="宋体" w:hAnsi="宋体" w:eastAsia="宋体" w:cs="宋体"/>
          <w:b/>
          <w:bCs/>
          <w:sz w:val="24"/>
          <w:highlight w:val="none"/>
        </w:rPr>
      </w:pPr>
      <w:r>
        <w:rPr>
          <w:rFonts w:hint="eastAsia" w:ascii="宋体" w:hAnsi="宋体" w:eastAsia="宋体" w:cs="宋体"/>
          <w:b/>
          <w:bCs/>
          <w:sz w:val="24"/>
        </w:rPr>
        <w:t>8.3.2.1</w:t>
      </w:r>
      <w:r>
        <w:rPr>
          <w:rFonts w:hint="eastAsia" w:ascii="宋体" w:hAnsi="宋体" w:eastAsia="宋体" w:cs="宋体"/>
          <w:b/>
          <w:bCs/>
          <w:sz w:val="24"/>
          <w:highlight w:val="none"/>
        </w:rPr>
        <w:t xml:space="preserve"> 废气</w:t>
      </w:r>
    </w:p>
    <w:p>
      <w:pPr>
        <w:spacing w:after="78" w:afterLines="25"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无组织废气</w:t>
      </w:r>
    </w:p>
    <w:p>
      <w:pPr>
        <w:pStyle w:val="2"/>
        <w:spacing w:line="360" w:lineRule="auto"/>
        <w:ind w:firstLine="480"/>
        <w:rPr>
          <w:rFonts w:hint="default" w:ascii="Times New Roman" w:hAnsi="Times New Roman" w:eastAsia="宋体" w:cs="Times New Roman"/>
          <w:sz w:val="24"/>
          <w:szCs w:val="24"/>
        </w:rPr>
      </w:pPr>
      <w:r>
        <w:rPr>
          <w:rFonts w:hint="eastAsia" w:ascii="Times New Roman" w:hAnsi="Times New Roman" w:eastAsia="宋体" w:cs="Times New Roman"/>
          <w:color w:val="000000"/>
          <w:kern w:val="2"/>
          <w:sz w:val="24"/>
          <w:szCs w:val="28"/>
          <w:lang w:val="en-US" w:eastAsia="zh-CN" w:bidi="ar-SA"/>
        </w:rPr>
        <w:t>本项目无组织废气污染物主要为颗粒物、二氧化硫、硫酸雾、氮氧化物。</w:t>
      </w:r>
      <w:r>
        <w:rPr>
          <w:rFonts w:hint="eastAsia" w:cs="Times New Roman"/>
          <w:color w:val="000000"/>
          <w:kern w:val="2"/>
          <w:sz w:val="24"/>
          <w:szCs w:val="28"/>
          <w:lang w:val="en-US" w:eastAsia="zh-CN" w:bidi="ar-SA"/>
        </w:rPr>
        <w:t>通过</w:t>
      </w:r>
      <w:r>
        <w:rPr>
          <w:rFonts w:hint="default" w:ascii="Times New Roman" w:hAnsi="Times New Roman" w:eastAsia="宋体" w:cs="Times New Roman"/>
          <w:b w:val="0"/>
          <w:bCs w:val="0"/>
          <w:sz w:val="24"/>
          <w:szCs w:val="24"/>
        </w:rPr>
        <w:t>加强精细化管理</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采用密封性好的设备、采用密闭装卸和进料系统等减少无组织废气排放</w:t>
      </w:r>
      <w:r>
        <w:rPr>
          <w:rFonts w:hint="eastAsia" w:cs="Times New Roman"/>
          <w:b w:val="0"/>
          <w:bCs w:val="0"/>
          <w:sz w:val="24"/>
          <w:szCs w:val="24"/>
          <w:lang w:eastAsia="zh-CN"/>
        </w:rPr>
        <w:t>，</w:t>
      </w:r>
      <w:r>
        <w:rPr>
          <w:rFonts w:hint="default" w:ascii="Times New Roman" w:hAnsi="Times New Roman" w:cs="Times New Roman"/>
          <w:bCs/>
          <w:sz w:val="24"/>
          <w:szCs w:val="24"/>
          <w:highlight w:val="none"/>
        </w:rPr>
        <w:t>厂界无组织</w:t>
      </w:r>
      <w:r>
        <w:rPr>
          <w:rFonts w:hint="eastAsia" w:cs="Times New Roman"/>
          <w:b w:val="0"/>
          <w:bCs/>
          <w:sz w:val="24"/>
          <w:szCs w:val="24"/>
          <w:lang w:val="en-US" w:eastAsia="zh-CN"/>
        </w:rPr>
        <w:t>颗粒物</w:t>
      </w:r>
      <w:r>
        <w:rPr>
          <w:rFonts w:hint="eastAsia" w:cs="Times New Roman"/>
          <w:bCs/>
          <w:kern w:val="2"/>
          <w:sz w:val="24"/>
          <w:szCs w:val="24"/>
          <w:highlight w:val="none"/>
          <w:lang w:val="en-US" w:eastAsia="zh-CN" w:bidi="ar-SA"/>
        </w:rPr>
        <w:t>两天测得</w:t>
      </w:r>
      <w:r>
        <w:rPr>
          <w:rFonts w:hint="default" w:ascii="Times New Roman" w:hAnsi="Times New Roman" w:cs="Times New Roman"/>
          <w:sz w:val="24"/>
          <w:szCs w:val="24"/>
          <w:highlight w:val="none"/>
        </w:rPr>
        <w:t>最大排放浓度</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0.450mg/m</w:t>
      </w:r>
      <w:r>
        <w:rPr>
          <w:rFonts w:hint="eastAsia"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rPr>
        <w:t>满足</w:t>
      </w:r>
      <w:r>
        <w:rPr>
          <w:rFonts w:hint="eastAsia" w:cs="Times New Roman"/>
          <w:sz w:val="24"/>
          <w:szCs w:val="24"/>
          <w:lang w:eastAsia="zh-CN"/>
        </w:rPr>
        <w:t>大气</w:t>
      </w:r>
      <w:r>
        <w:rPr>
          <w:rFonts w:hint="default" w:ascii="Times New Roman" w:hAnsi="Times New Roman" w:eastAsia="宋体" w:cs="Times New Roman"/>
          <w:sz w:val="24"/>
          <w:szCs w:val="24"/>
        </w:rPr>
        <w:t>污染物</w:t>
      </w:r>
      <w:r>
        <w:rPr>
          <w:rFonts w:hint="eastAsia" w:cs="Times New Roman"/>
          <w:sz w:val="24"/>
          <w:szCs w:val="24"/>
          <w:lang w:eastAsia="zh-CN"/>
        </w:rPr>
        <w:t>综合</w:t>
      </w:r>
      <w:r>
        <w:rPr>
          <w:rFonts w:hint="default" w:ascii="Times New Roman" w:hAnsi="Times New Roman" w:eastAsia="宋体" w:cs="Times New Roman"/>
          <w:sz w:val="24"/>
          <w:szCs w:val="24"/>
        </w:rPr>
        <w:t>排放标准》 (GB</w:t>
      </w:r>
      <w:r>
        <w:rPr>
          <w:rFonts w:hint="default" w:ascii="Times New Roman" w:hAnsi="Times New Roman" w:cs="Times New Roman"/>
          <w:sz w:val="24"/>
          <w:szCs w:val="24"/>
          <w:lang w:val="en-US" w:eastAsia="zh-CN"/>
        </w:rPr>
        <w:t xml:space="preserve"> 16297</w:t>
      </w:r>
      <w:r>
        <w:rPr>
          <w:rFonts w:hint="default" w:ascii="Times New Roman" w:hAnsi="Times New Roman" w:eastAsia="宋体" w:cs="Times New Roman"/>
          <w:sz w:val="24"/>
          <w:szCs w:val="24"/>
        </w:rPr>
        <w:t>-</w:t>
      </w:r>
      <w:r>
        <w:rPr>
          <w:rFonts w:hint="default" w:ascii="Times New Roman" w:hAnsi="Times New Roman" w:cs="Times New Roman"/>
          <w:sz w:val="24"/>
          <w:szCs w:val="24"/>
          <w:lang w:val="en-US" w:eastAsia="zh-CN"/>
        </w:rPr>
        <w:t>1996</w:t>
      </w:r>
      <w:r>
        <w:rPr>
          <w:rFonts w:hint="default" w:ascii="Times New Roman" w:hAnsi="Times New Roman" w:eastAsia="宋体" w:cs="Times New Roman"/>
          <w:sz w:val="24"/>
          <w:szCs w:val="24"/>
        </w:rPr>
        <w:t>)</w:t>
      </w:r>
      <w:r>
        <w:rPr>
          <w:rFonts w:hint="eastAsia" w:cs="Times New Roman"/>
          <w:sz w:val="24"/>
          <w:szCs w:val="24"/>
          <w:lang w:eastAsia="zh-CN"/>
        </w:rPr>
        <w:t>表</w:t>
      </w:r>
      <w:r>
        <w:rPr>
          <w:rFonts w:hint="eastAsia" w:cs="Times New Roman"/>
          <w:sz w:val="24"/>
          <w:szCs w:val="24"/>
          <w:lang w:val="en-US" w:eastAsia="zh-CN"/>
        </w:rPr>
        <w:t>2无组织排放限值要求</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bCs/>
          <w:kern w:val="2"/>
          <w:sz w:val="24"/>
          <w:szCs w:val="24"/>
          <w:highlight w:val="none"/>
          <w:lang w:val="en-US" w:eastAsia="zh-CN" w:bidi="ar-SA"/>
        </w:rPr>
        <w:t>厂界无组织</w:t>
      </w:r>
      <w:r>
        <w:rPr>
          <w:rFonts w:hint="default" w:ascii="Times New Roman" w:hAnsi="Times New Roman" w:eastAsia="宋体" w:cs="Times New Roman"/>
          <w:b w:val="0"/>
          <w:bCs/>
          <w:sz w:val="24"/>
          <w:szCs w:val="24"/>
          <w:lang w:val="en-US" w:eastAsia="zh-CN"/>
        </w:rPr>
        <w:t>硫酸雾</w:t>
      </w:r>
      <w:r>
        <w:rPr>
          <w:rFonts w:hint="eastAsia" w:cs="Times New Roman"/>
          <w:bCs/>
          <w:kern w:val="2"/>
          <w:sz w:val="24"/>
          <w:szCs w:val="24"/>
          <w:highlight w:val="none"/>
          <w:lang w:val="en-US" w:eastAsia="zh-CN" w:bidi="ar-SA"/>
        </w:rPr>
        <w:t>两天测得</w:t>
      </w:r>
      <w:r>
        <w:rPr>
          <w:rFonts w:hint="default" w:ascii="Times New Roman" w:hAnsi="Times New Roman" w:eastAsia="宋体" w:cs="Times New Roman"/>
          <w:bCs/>
          <w:kern w:val="2"/>
          <w:sz w:val="24"/>
          <w:szCs w:val="24"/>
          <w:highlight w:val="none"/>
          <w:lang w:val="en-US" w:eastAsia="zh-CN" w:bidi="ar-SA"/>
        </w:rPr>
        <w:t>最大排放浓度为：</w:t>
      </w:r>
      <w:r>
        <w:rPr>
          <w:rFonts w:hint="eastAsia" w:cs="Times New Roman"/>
          <w:bCs/>
          <w:kern w:val="2"/>
          <w:sz w:val="24"/>
          <w:szCs w:val="24"/>
          <w:highlight w:val="none"/>
          <w:lang w:val="en-US" w:eastAsia="zh-CN" w:bidi="ar-SA"/>
        </w:rPr>
        <w:t>0.29</w:t>
      </w:r>
      <w:r>
        <w:rPr>
          <w:rFonts w:hint="default" w:ascii="Times New Roman" w:hAnsi="Times New Roman" w:eastAsia="宋体" w:cs="Times New Roman"/>
          <w:bCs/>
          <w:kern w:val="2"/>
          <w:sz w:val="24"/>
          <w:szCs w:val="24"/>
          <w:highlight w:val="none"/>
          <w:lang w:val="en-US" w:eastAsia="zh-CN" w:bidi="ar-SA"/>
        </w:rPr>
        <w:t>mg/m</w:t>
      </w:r>
      <w:r>
        <w:rPr>
          <w:rFonts w:hint="default" w:ascii="Times New Roman" w:hAnsi="Times New Roman" w:eastAsia="宋体" w:cs="Times New Roman"/>
          <w:bCs/>
          <w:kern w:val="2"/>
          <w:sz w:val="24"/>
          <w:szCs w:val="24"/>
          <w:highlight w:val="none"/>
          <w:vertAlign w:val="superscript"/>
          <w:lang w:val="en-US" w:eastAsia="zh-CN" w:bidi="ar-SA"/>
        </w:rPr>
        <w:t>3</w:t>
      </w:r>
      <w:r>
        <w:rPr>
          <w:rFonts w:hint="eastAsia" w:ascii="Times New Roman" w:hAnsi="Times New Roman" w:eastAsia="宋体" w:cs="Times New Roman"/>
          <w:bCs/>
          <w:kern w:val="2"/>
          <w:sz w:val="24"/>
          <w:szCs w:val="24"/>
          <w:highlight w:val="none"/>
          <w:lang w:val="en-US" w:eastAsia="zh-CN" w:bidi="ar-SA"/>
        </w:rPr>
        <w:t>，</w:t>
      </w:r>
      <w:r>
        <w:rPr>
          <w:rFonts w:hint="default" w:ascii="Times New Roman" w:hAnsi="Times New Roman" w:cs="Times New Roman"/>
          <w:bCs/>
          <w:sz w:val="24"/>
          <w:szCs w:val="24"/>
          <w:highlight w:val="none"/>
        </w:rPr>
        <w:t>厂界无组织</w:t>
      </w:r>
      <w:r>
        <w:rPr>
          <w:rFonts w:hint="eastAsia" w:ascii="Times New Roman" w:hAnsi="Times New Roman" w:cs="Times New Roman"/>
          <w:b w:val="0"/>
          <w:bCs/>
          <w:sz w:val="24"/>
          <w:szCs w:val="24"/>
          <w:lang w:val="en-US" w:eastAsia="zh-CN"/>
        </w:rPr>
        <w:t>二氧化硫</w:t>
      </w:r>
      <w:r>
        <w:rPr>
          <w:rFonts w:hint="eastAsia" w:cs="Times New Roman"/>
          <w:bCs/>
          <w:kern w:val="2"/>
          <w:sz w:val="24"/>
          <w:szCs w:val="24"/>
          <w:highlight w:val="none"/>
          <w:lang w:val="en-US" w:eastAsia="zh-CN" w:bidi="ar-SA"/>
        </w:rPr>
        <w:t>两天测得</w:t>
      </w:r>
      <w:r>
        <w:rPr>
          <w:rFonts w:hint="default" w:ascii="Times New Roman" w:hAnsi="Times New Roman" w:cs="Times New Roman"/>
          <w:sz w:val="24"/>
          <w:szCs w:val="24"/>
          <w:highlight w:val="none"/>
        </w:rPr>
        <w:t>最大排放浓度</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0.331</w:t>
      </w:r>
      <w:r>
        <w:rPr>
          <w:rFonts w:hint="default" w:ascii="Times New Roman" w:hAnsi="Times New Roman" w:eastAsia="宋体" w:cs="Times New Roman"/>
          <w:b w:val="0"/>
          <w:bCs/>
          <w:sz w:val="24"/>
          <w:szCs w:val="24"/>
          <w:lang w:eastAsia="zh-CN"/>
        </w:rPr>
        <w:t>mg/m</w:t>
      </w:r>
      <w:r>
        <w:rPr>
          <w:rFonts w:hint="default" w:ascii="Times New Roman" w:hAnsi="Times New Roman" w:eastAsia="宋体" w:cs="Times New Roman"/>
          <w:b w:val="0"/>
          <w:bCs/>
          <w:sz w:val="24"/>
          <w:szCs w:val="24"/>
          <w:vertAlign w:val="superscript"/>
          <w:lang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kern w:val="2"/>
          <w:sz w:val="24"/>
          <w:szCs w:val="24"/>
          <w:highlight w:val="none"/>
          <w:lang w:val="en-US" w:eastAsia="zh-CN" w:bidi="ar-SA"/>
        </w:rPr>
        <w:t>满足</w:t>
      </w:r>
      <w:r>
        <w:rPr>
          <w:rFonts w:hint="eastAsia" w:ascii="Times New Roman" w:hAnsi="Times New Roman" w:eastAsia="宋体" w:cs="Times New Roman"/>
          <w:sz w:val="24"/>
          <w:szCs w:val="24"/>
          <w:lang w:eastAsia="zh-CN"/>
        </w:rPr>
        <w:t>《硫酸工业污染排放标准》（</w:t>
      </w:r>
      <w:r>
        <w:rPr>
          <w:rFonts w:hint="eastAsia" w:ascii="Times New Roman" w:hAnsi="Times New Roman" w:eastAsia="宋体" w:cs="Times New Roman"/>
          <w:sz w:val="24"/>
          <w:szCs w:val="24"/>
          <w:lang w:val="en-US" w:eastAsia="zh-CN"/>
        </w:rPr>
        <w:t>GB26132-2010</w:t>
      </w:r>
      <w:r>
        <w:rPr>
          <w:rFonts w:hint="eastAsia" w:ascii="Times New Roman" w:hAnsi="Times New Roman" w:eastAsia="宋体" w:cs="Times New Roman"/>
          <w:sz w:val="24"/>
          <w:szCs w:val="24"/>
          <w:lang w:eastAsia="zh-CN"/>
        </w:rPr>
        <w:t>）表</w:t>
      </w:r>
      <w:r>
        <w:rPr>
          <w:rFonts w:hint="eastAsia" w:ascii="Times New Roman" w:hAnsi="Times New Roman" w:eastAsia="宋体" w:cs="Times New Roman"/>
          <w:sz w:val="24"/>
          <w:szCs w:val="24"/>
          <w:lang w:val="en-US" w:eastAsia="zh-CN"/>
        </w:rPr>
        <w:t>8</w:t>
      </w:r>
      <w:r>
        <w:rPr>
          <w:rFonts w:hint="eastAsia" w:cs="Times New Roman"/>
          <w:sz w:val="24"/>
          <w:szCs w:val="24"/>
          <w:lang w:val="en-US" w:eastAsia="zh-CN"/>
        </w:rPr>
        <w:t>及</w:t>
      </w:r>
      <w:r>
        <w:rPr>
          <w:rFonts w:hint="eastAsia" w:asciiTheme="minorEastAsia" w:hAnsiTheme="minorEastAsia" w:eastAsiaTheme="minorEastAsia"/>
        </w:rPr>
        <w:t>《大气污染物综合排放标准》（GB16297-1996）表2</w:t>
      </w:r>
      <w:r>
        <w:rPr>
          <w:rFonts w:hint="eastAsia" w:cs="Times New Roman"/>
          <w:sz w:val="24"/>
          <w:szCs w:val="24"/>
          <w:lang w:val="en-US" w:eastAsia="zh-CN"/>
        </w:rPr>
        <w:t>无组织排放限值要求</w:t>
      </w:r>
      <w:r>
        <w:rPr>
          <w:rFonts w:hint="eastAsia" w:cs="Times New Roman"/>
          <w:sz w:val="24"/>
          <w:szCs w:val="24"/>
          <w:lang w:eastAsia="zh-CN"/>
        </w:rPr>
        <w:t>。</w:t>
      </w:r>
      <w:r>
        <w:rPr>
          <w:rFonts w:hint="default" w:ascii="Times New Roman" w:hAnsi="Times New Roman" w:cs="Times New Roman"/>
          <w:bCs/>
          <w:sz w:val="24"/>
          <w:szCs w:val="24"/>
          <w:highlight w:val="none"/>
        </w:rPr>
        <w:t>厂界无组织</w:t>
      </w:r>
      <w:r>
        <w:rPr>
          <w:rFonts w:hint="eastAsia" w:cs="Times New Roman"/>
          <w:b w:val="0"/>
          <w:bCs/>
          <w:sz w:val="24"/>
          <w:szCs w:val="24"/>
          <w:lang w:val="en-US" w:eastAsia="zh-CN"/>
        </w:rPr>
        <w:t>氮氧化物</w:t>
      </w:r>
      <w:r>
        <w:rPr>
          <w:rFonts w:hint="eastAsia" w:cs="Times New Roman"/>
          <w:bCs/>
          <w:kern w:val="2"/>
          <w:sz w:val="24"/>
          <w:szCs w:val="24"/>
          <w:highlight w:val="none"/>
          <w:lang w:val="en-US" w:eastAsia="zh-CN" w:bidi="ar-SA"/>
        </w:rPr>
        <w:t>两天测得</w:t>
      </w:r>
      <w:r>
        <w:rPr>
          <w:rFonts w:hint="default" w:ascii="Times New Roman" w:hAnsi="Times New Roman" w:cs="Times New Roman"/>
          <w:sz w:val="24"/>
          <w:szCs w:val="24"/>
          <w:highlight w:val="none"/>
        </w:rPr>
        <w:t>最大排放浓度</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0.051</w:t>
      </w:r>
      <w:r>
        <w:rPr>
          <w:rFonts w:hint="default" w:ascii="Times New Roman" w:hAnsi="Times New Roman" w:eastAsia="宋体" w:cs="Times New Roman"/>
          <w:b w:val="0"/>
          <w:bCs/>
          <w:sz w:val="24"/>
          <w:szCs w:val="24"/>
          <w:lang w:eastAsia="zh-CN"/>
        </w:rPr>
        <w:t>mg/m</w:t>
      </w:r>
      <w:r>
        <w:rPr>
          <w:rFonts w:hint="default" w:ascii="Times New Roman" w:hAnsi="Times New Roman" w:eastAsia="宋体" w:cs="Times New Roman"/>
          <w:b w:val="0"/>
          <w:bCs/>
          <w:sz w:val="24"/>
          <w:szCs w:val="24"/>
          <w:vertAlign w:val="superscript"/>
          <w:lang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rPr>
        <w:t>满足</w:t>
      </w:r>
      <w:r>
        <w:rPr>
          <w:rFonts w:hint="default" w:ascii="Times New Roman" w:hAnsi="Times New Roman" w:eastAsia="宋体" w:cs="Times New Roman"/>
          <w:sz w:val="24"/>
          <w:szCs w:val="24"/>
        </w:rPr>
        <w:t>《大气污染物综合排放标准》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GB16297-1996</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w:t>
      </w:r>
      <w:r>
        <w:rPr>
          <w:rFonts w:hint="eastAsia" w:cs="Times New Roman"/>
          <w:sz w:val="24"/>
          <w:szCs w:val="24"/>
          <w:lang w:eastAsia="zh-CN"/>
        </w:rPr>
        <w:t>无组织</w:t>
      </w:r>
      <w:r>
        <w:rPr>
          <w:rFonts w:hint="default" w:ascii="Times New Roman" w:hAnsi="Times New Roman" w:eastAsia="宋体" w:cs="Times New Roman"/>
          <w:sz w:val="24"/>
          <w:szCs w:val="24"/>
        </w:rPr>
        <w:t>排放限值要求</w:t>
      </w:r>
      <w:r>
        <w:rPr>
          <w:rFonts w:hint="default" w:ascii="Times New Roman" w:hAnsi="Times New Roman" w:eastAsia="宋体" w:cs="Times New Roman"/>
          <w:sz w:val="24"/>
          <w:szCs w:val="24"/>
          <w:lang w:eastAsia="zh-CN"/>
        </w:rPr>
        <w:t>。</w:t>
      </w:r>
    </w:p>
    <w:p>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有组织废气</w:t>
      </w:r>
    </w:p>
    <w:p>
      <w:pPr>
        <w:wordWrap w:val="0"/>
        <w:spacing w:line="360" w:lineRule="auto"/>
        <w:jc w:val="left"/>
        <w:rPr>
          <w:rFonts w:hint="eastAsia" w:ascii="Times New Roman" w:hAnsi="Times New Roman" w:eastAsia="宋体" w:cs="Times New Roman"/>
          <w:sz w:val="24"/>
          <w:szCs w:val="24"/>
          <w:lang w:eastAsia="zh-CN"/>
        </w:rPr>
      </w:pPr>
      <w:r>
        <w:rPr>
          <w:rFonts w:hint="eastAsia" w:cs="Times New Roman"/>
          <w:sz w:val="24"/>
          <w:szCs w:val="24"/>
          <w:lang w:val="en-US" w:eastAsia="zh-CN"/>
        </w:rPr>
        <w:t xml:space="preserve">    </w:t>
      </w:r>
      <w:r>
        <w:rPr>
          <w:rFonts w:hint="default" w:ascii="Times New Roman" w:hAnsi="Times New Roman" w:eastAsia="宋体" w:cs="Times New Roman"/>
          <w:sz w:val="24"/>
          <w:szCs w:val="24"/>
        </w:rPr>
        <w:t>有组织废气主要为二吸塔尾气</w:t>
      </w:r>
      <w:r>
        <w:rPr>
          <w:rFonts w:hint="eastAsia" w:cs="Times New Roman"/>
          <w:sz w:val="24"/>
          <w:szCs w:val="24"/>
          <w:lang w:eastAsia="zh-CN"/>
        </w:rPr>
        <w:t>（二氧化硫、氮氧化物、硫酸雾）</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经</w:t>
      </w:r>
      <w:r>
        <w:rPr>
          <w:rFonts w:hint="eastAsia" w:asciiTheme="minorEastAsia" w:hAnsiTheme="minorEastAsia" w:eastAsiaTheme="minorEastAsia"/>
          <w:sz w:val="24"/>
          <w:szCs w:val="24"/>
        </w:rPr>
        <w:t>水喷雾增湿+电子除雾+离子液吸收+碱洗塔”装置</w:t>
      </w:r>
      <w:r>
        <w:rPr>
          <w:rFonts w:hint="eastAsia" w:asciiTheme="minorEastAsia" w:hAnsiTheme="minorEastAsia" w:eastAsiaTheme="minorEastAsia"/>
          <w:sz w:val="24"/>
          <w:szCs w:val="24"/>
          <w:lang w:eastAsia="zh-CN"/>
        </w:rPr>
        <w:t>处理后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经60m排气筒排放。</w:t>
      </w:r>
      <w:r>
        <w:rPr>
          <w:rFonts w:hint="default" w:ascii="Times New Roman" w:hAnsi="Times New Roman" w:eastAsia="宋体" w:cs="Times New Roman"/>
          <w:bCs/>
          <w:sz w:val="24"/>
          <w:szCs w:val="24"/>
          <w:highlight w:val="none"/>
          <w:lang w:eastAsia="zh-CN"/>
        </w:rPr>
        <w:t>有</w:t>
      </w:r>
      <w:r>
        <w:rPr>
          <w:rFonts w:hint="default" w:ascii="Times New Roman" w:hAnsi="Times New Roman" w:eastAsia="宋体" w:cs="Times New Roman"/>
          <w:bCs/>
          <w:sz w:val="24"/>
          <w:szCs w:val="24"/>
          <w:highlight w:val="none"/>
        </w:rPr>
        <w:t>组织</w:t>
      </w:r>
      <w:r>
        <w:rPr>
          <w:rFonts w:hint="default" w:ascii="Times New Roman" w:hAnsi="Times New Roman" w:cs="Times New Roman"/>
          <w:sz w:val="24"/>
          <w:szCs w:val="24"/>
          <w:highlight w:val="none"/>
          <w:lang w:val="en-US" w:eastAsia="zh-CN"/>
        </w:rPr>
        <w:t>二氧化硫</w:t>
      </w:r>
      <w:r>
        <w:rPr>
          <w:rFonts w:hint="eastAsia" w:cs="Times New Roman"/>
          <w:bCs/>
          <w:kern w:val="2"/>
          <w:sz w:val="24"/>
          <w:szCs w:val="24"/>
          <w:highlight w:val="none"/>
          <w:lang w:val="en-US" w:eastAsia="zh-CN" w:bidi="ar-SA"/>
        </w:rPr>
        <w:t>两天测得</w:t>
      </w:r>
      <w:r>
        <w:rPr>
          <w:rFonts w:hint="default" w:ascii="Times New Roman" w:hAnsi="Times New Roman" w:eastAsia="宋体" w:cs="Times New Roman"/>
          <w:sz w:val="24"/>
          <w:szCs w:val="24"/>
          <w:highlight w:val="none"/>
        </w:rPr>
        <w:t>最大排放浓度</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26</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Cs/>
          <w:sz w:val="24"/>
          <w:szCs w:val="24"/>
          <w:highlight w:val="none"/>
          <w:lang w:eastAsia="zh-CN"/>
        </w:rPr>
        <w:t>有</w:t>
      </w:r>
      <w:r>
        <w:rPr>
          <w:rFonts w:hint="default" w:ascii="Times New Roman" w:hAnsi="Times New Roman" w:eastAsia="宋体" w:cs="Times New Roman"/>
          <w:bCs/>
          <w:sz w:val="24"/>
          <w:szCs w:val="24"/>
          <w:highlight w:val="none"/>
        </w:rPr>
        <w:t>组织</w:t>
      </w:r>
      <w:r>
        <w:rPr>
          <w:rFonts w:hint="default" w:ascii="Times New Roman" w:hAnsi="Times New Roman" w:eastAsia="宋体" w:cs="Times New Roman"/>
          <w:sz w:val="24"/>
          <w:szCs w:val="24"/>
          <w:highlight w:val="none"/>
          <w:lang w:val="en-US" w:eastAsia="zh-CN"/>
        </w:rPr>
        <w:t>硫酸雾</w:t>
      </w:r>
      <w:r>
        <w:rPr>
          <w:rFonts w:hint="eastAsia" w:cs="Times New Roman"/>
          <w:bCs/>
          <w:kern w:val="2"/>
          <w:sz w:val="24"/>
          <w:szCs w:val="24"/>
          <w:highlight w:val="none"/>
          <w:lang w:val="en-US" w:eastAsia="zh-CN" w:bidi="ar-SA"/>
        </w:rPr>
        <w:t>两天测得</w:t>
      </w:r>
      <w:r>
        <w:rPr>
          <w:rFonts w:hint="default" w:ascii="Times New Roman" w:hAnsi="Times New Roman" w:eastAsia="宋体" w:cs="Times New Roman"/>
          <w:sz w:val="24"/>
          <w:szCs w:val="24"/>
          <w:highlight w:val="none"/>
        </w:rPr>
        <w:t>最大排放浓度</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4.82</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sz w:val="24"/>
          <w:szCs w:val="24"/>
          <w:highlight w:val="none"/>
        </w:rPr>
        <w:t>满足</w:t>
      </w:r>
      <w:r>
        <w:rPr>
          <w:rFonts w:hint="default"/>
          <w:sz w:val="24"/>
          <w:szCs w:val="24"/>
        </w:rPr>
        <w:t xml:space="preserve">《硫酸工业污染物排放标准》 </w:t>
      </w:r>
      <w:r>
        <w:rPr>
          <w:rFonts w:hint="eastAsia"/>
          <w:sz w:val="24"/>
          <w:szCs w:val="24"/>
        </w:rPr>
        <w:t>(</w:t>
      </w:r>
      <w:r>
        <w:rPr>
          <w:rFonts w:hint="default"/>
          <w:sz w:val="24"/>
          <w:szCs w:val="24"/>
        </w:rPr>
        <w:t>GB26132-2010</w:t>
      </w:r>
      <w:r>
        <w:rPr>
          <w:rFonts w:hint="eastAsia"/>
          <w:sz w:val="24"/>
          <w:szCs w:val="24"/>
        </w:rPr>
        <w:t>)</w:t>
      </w:r>
      <w:r>
        <w:rPr>
          <w:rFonts w:hint="default"/>
          <w:sz w:val="24"/>
          <w:szCs w:val="24"/>
        </w:rPr>
        <w:t>表6</w:t>
      </w:r>
      <w:r>
        <w:rPr>
          <w:rFonts w:hint="eastAsia" w:cs="Times New Roman"/>
          <w:sz w:val="24"/>
          <w:szCs w:val="24"/>
          <w:lang w:eastAsia="zh-CN"/>
        </w:rPr>
        <w:t>及《</w:t>
      </w:r>
      <w:r>
        <w:rPr>
          <w:rFonts w:hint="default" w:ascii="Times New Roman" w:hAnsi="Times New Roman" w:eastAsia="宋体" w:cs="Times New Roman"/>
          <w:sz w:val="24"/>
          <w:szCs w:val="24"/>
        </w:rPr>
        <w:t>区域性大气污染物综合排放标准</w:t>
      </w:r>
      <w:r>
        <w:rPr>
          <w:rFonts w:hint="eastAsia" w:cs="Times New Roman"/>
          <w:sz w:val="24"/>
          <w:szCs w:val="24"/>
          <w:lang w:eastAsia="zh-CN"/>
        </w:rPr>
        <w:t>》</w:t>
      </w:r>
      <w:r>
        <w:rPr>
          <w:rFonts w:hint="default" w:ascii="Times New Roman" w:hAnsi="Times New Roman" w:eastAsia="宋体" w:cs="Times New Roman"/>
          <w:snapToGrid w:val="0"/>
          <w:color w:val="000000"/>
          <w:kern w:val="0"/>
          <w:sz w:val="24"/>
          <w:szCs w:val="24"/>
        </w:rPr>
        <w:t>（DB37/237</w:t>
      </w:r>
      <w:r>
        <w:rPr>
          <w:rFonts w:hint="eastAsia" w:cs="Times New Roman"/>
          <w:snapToGrid w:val="0"/>
          <w:color w:val="000000"/>
          <w:kern w:val="0"/>
          <w:sz w:val="24"/>
          <w:szCs w:val="24"/>
          <w:lang w:val="en-US" w:eastAsia="zh-CN"/>
        </w:rPr>
        <w:t>6</w:t>
      </w:r>
      <w:r>
        <w:rPr>
          <w:rFonts w:hint="default" w:ascii="Times New Roman" w:hAnsi="Times New Roman" w:eastAsia="宋体" w:cs="Times New Roman"/>
          <w:snapToGrid w:val="0"/>
          <w:color w:val="000000"/>
          <w:kern w:val="0"/>
          <w:sz w:val="24"/>
          <w:szCs w:val="24"/>
        </w:rPr>
        <w:t>-201</w:t>
      </w:r>
      <w:r>
        <w:rPr>
          <w:rFonts w:hint="eastAsia" w:cs="Times New Roman"/>
          <w:snapToGrid w:val="0"/>
          <w:color w:val="000000"/>
          <w:kern w:val="0"/>
          <w:sz w:val="24"/>
          <w:szCs w:val="24"/>
          <w:lang w:val="en-US" w:eastAsia="zh-CN"/>
        </w:rPr>
        <w:t>9</w:t>
      </w:r>
      <w:r>
        <w:rPr>
          <w:rFonts w:hint="default" w:ascii="Times New Roman" w:hAnsi="Times New Roman" w:eastAsia="宋体" w:cs="Times New Roman"/>
          <w:snapToGrid w:val="0"/>
          <w:color w:val="000000"/>
          <w:kern w:val="0"/>
          <w:sz w:val="24"/>
          <w:szCs w:val="24"/>
        </w:rPr>
        <w:t>）</w:t>
      </w:r>
      <w:r>
        <w:rPr>
          <w:rFonts w:hint="default" w:ascii="Times New Roman" w:hAnsi="Times New Roman" w:eastAsia="宋体" w:cs="Times New Roman"/>
          <w:sz w:val="24"/>
          <w:szCs w:val="24"/>
        </w:rPr>
        <w:t>排放限值要求</w:t>
      </w:r>
      <w:r>
        <w:rPr>
          <w:rFonts w:hint="eastAsia" w:cs="Times New Roman"/>
          <w:sz w:val="24"/>
          <w:szCs w:val="24"/>
          <w:highlight w:val="none"/>
          <w:lang w:val="en-US" w:eastAsia="zh-CN"/>
        </w:rPr>
        <w:t>。</w:t>
      </w:r>
      <w:r>
        <w:rPr>
          <w:rFonts w:hint="default" w:ascii="Times New Roman" w:hAnsi="Times New Roman" w:cs="Times New Roman"/>
          <w:sz w:val="24"/>
          <w:szCs w:val="24"/>
          <w:highlight w:val="none"/>
          <w:lang w:val="en-US" w:eastAsia="zh-CN"/>
        </w:rPr>
        <w:t>氮氧化物</w:t>
      </w:r>
      <w:r>
        <w:rPr>
          <w:rFonts w:hint="eastAsia" w:cs="Times New Roman"/>
          <w:bCs/>
          <w:kern w:val="2"/>
          <w:sz w:val="24"/>
          <w:szCs w:val="24"/>
          <w:highlight w:val="none"/>
          <w:lang w:val="en-US" w:eastAsia="zh-CN" w:bidi="ar-SA"/>
        </w:rPr>
        <w:t>两天测得</w:t>
      </w:r>
      <w:r>
        <w:rPr>
          <w:rFonts w:hint="default" w:ascii="Times New Roman" w:hAnsi="Times New Roman" w:eastAsia="宋体" w:cs="Times New Roman"/>
          <w:sz w:val="24"/>
          <w:szCs w:val="24"/>
          <w:highlight w:val="none"/>
        </w:rPr>
        <w:t>最大排放浓度</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12</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sz w:val="24"/>
          <w:szCs w:val="24"/>
          <w:lang w:eastAsia="zh-CN"/>
        </w:rPr>
        <w:t>满足</w:t>
      </w:r>
      <w:r>
        <w:rPr>
          <w:rFonts w:hint="eastAsia" w:cs="Times New Roman"/>
          <w:snapToGrid w:val="0"/>
          <w:color w:val="000000"/>
          <w:kern w:val="0"/>
          <w:sz w:val="24"/>
          <w:szCs w:val="24"/>
          <w:lang w:eastAsia="zh-CN"/>
        </w:rPr>
        <w:t>山东省《锅炉大气污染物排放标准》</w:t>
      </w:r>
      <w:r>
        <w:rPr>
          <w:rFonts w:hint="default" w:ascii="Times New Roman" w:hAnsi="Times New Roman" w:eastAsia="宋体" w:cs="Times New Roman"/>
          <w:snapToGrid w:val="0"/>
          <w:color w:val="000000"/>
          <w:kern w:val="0"/>
          <w:sz w:val="24"/>
          <w:szCs w:val="24"/>
        </w:rPr>
        <w:t>（DB37/2374-201</w:t>
      </w:r>
      <w:r>
        <w:rPr>
          <w:rFonts w:hint="eastAsia" w:cs="Times New Roman"/>
          <w:snapToGrid w:val="0"/>
          <w:color w:val="000000"/>
          <w:kern w:val="0"/>
          <w:sz w:val="24"/>
          <w:szCs w:val="24"/>
          <w:lang w:val="en-US" w:eastAsia="zh-CN"/>
        </w:rPr>
        <w:t>8</w:t>
      </w:r>
      <w:r>
        <w:rPr>
          <w:rFonts w:hint="default" w:ascii="Times New Roman" w:hAnsi="Times New Roman" w:eastAsia="宋体" w:cs="Times New Roman"/>
          <w:snapToGrid w:val="0"/>
          <w:color w:val="000000"/>
          <w:kern w:val="0"/>
          <w:sz w:val="24"/>
          <w:szCs w:val="24"/>
        </w:rPr>
        <w:t>）</w:t>
      </w:r>
      <w:r>
        <w:rPr>
          <w:rFonts w:hint="eastAsia" w:cs="Times New Roman"/>
          <w:sz w:val="24"/>
          <w:szCs w:val="24"/>
          <w:lang w:eastAsia="zh-CN"/>
        </w:rPr>
        <w:t>及《</w:t>
      </w:r>
      <w:r>
        <w:rPr>
          <w:rFonts w:hint="default" w:ascii="Times New Roman" w:hAnsi="Times New Roman" w:eastAsia="宋体" w:cs="Times New Roman"/>
          <w:sz w:val="24"/>
          <w:szCs w:val="24"/>
        </w:rPr>
        <w:t>区域性大气污染物综合排放标准</w:t>
      </w:r>
      <w:r>
        <w:rPr>
          <w:rFonts w:hint="eastAsia" w:cs="Times New Roman"/>
          <w:sz w:val="24"/>
          <w:szCs w:val="24"/>
          <w:lang w:eastAsia="zh-CN"/>
        </w:rPr>
        <w:t>》</w:t>
      </w:r>
      <w:r>
        <w:rPr>
          <w:rFonts w:hint="default" w:ascii="Times New Roman" w:hAnsi="Times New Roman" w:eastAsia="宋体" w:cs="Times New Roman"/>
          <w:snapToGrid w:val="0"/>
          <w:color w:val="000000"/>
          <w:kern w:val="0"/>
          <w:sz w:val="24"/>
          <w:szCs w:val="24"/>
        </w:rPr>
        <w:t>（DB37/237</w:t>
      </w:r>
      <w:r>
        <w:rPr>
          <w:rFonts w:hint="eastAsia" w:cs="Times New Roman"/>
          <w:snapToGrid w:val="0"/>
          <w:color w:val="000000"/>
          <w:kern w:val="0"/>
          <w:sz w:val="24"/>
          <w:szCs w:val="24"/>
          <w:lang w:val="en-US" w:eastAsia="zh-CN"/>
        </w:rPr>
        <w:t>6</w:t>
      </w:r>
      <w:r>
        <w:rPr>
          <w:rFonts w:hint="default" w:ascii="Times New Roman" w:hAnsi="Times New Roman" w:eastAsia="宋体" w:cs="Times New Roman"/>
          <w:snapToGrid w:val="0"/>
          <w:color w:val="000000"/>
          <w:kern w:val="0"/>
          <w:sz w:val="24"/>
          <w:szCs w:val="24"/>
        </w:rPr>
        <w:t>-201</w:t>
      </w:r>
      <w:r>
        <w:rPr>
          <w:rFonts w:hint="eastAsia" w:cs="Times New Roman"/>
          <w:snapToGrid w:val="0"/>
          <w:color w:val="000000"/>
          <w:kern w:val="0"/>
          <w:sz w:val="24"/>
          <w:szCs w:val="24"/>
          <w:lang w:val="en-US" w:eastAsia="zh-CN"/>
        </w:rPr>
        <w:t>9</w:t>
      </w:r>
      <w:r>
        <w:rPr>
          <w:rFonts w:hint="default" w:ascii="Times New Roman" w:hAnsi="Times New Roman" w:eastAsia="宋体" w:cs="Times New Roman"/>
          <w:snapToGrid w:val="0"/>
          <w:color w:val="000000"/>
          <w:kern w:val="0"/>
          <w:sz w:val="24"/>
          <w:szCs w:val="24"/>
        </w:rPr>
        <w:t>）</w:t>
      </w:r>
      <w:r>
        <w:rPr>
          <w:rFonts w:hint="default" w:ascii="Times New Roman" w:hAnsi="Times New Roman" w:eastAsia="宋体" w:cs="Times New Roman"/>
          <w:sz w:val="24"/>
          <w:szCs w:val="24"/>
        </w:rPr>
        <w:t>排放限值要求</w:t>
      </w:r>
      <w:r>
        <w:rPr>
          <w:rFonts w:hint="eastAsia" w:cs="Times New Roman"/>
          <w:sz w:val="24"/>
          <w:szCs w:val="24"/>
          <w:lang w:eastAsia="zh-CN"/>
        </w:rPr>
        <w:t>。</w:t>
      </w:r>
    </w:p>
    <w:p>
      <w:pPr>
        <w:numPr>
          <w:ilvl w:val="0"/>
          <w:numId w:val="0"/>
        </w:numPr>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总量核算：根据环评批复总量指标为 二氧化硫：82t/a,：氮氧化物：53.6t/a。</w:t>
      </w:r>
    </w:p>
    <w:p>
      <w:pPr>
        <w:pStyle w:val="2"/>
        <w:spacing w:line="360" w:lineRule="auto"/>
        <w:rPr>
          <w:rFonts w:hint="eastAsia" w:cs="Times New Roman"/>
          <w:color w:val="auto"/>
          <w:sz w:val="24"/>
          <w:szCs w:val="24"/>
          <w:lang w:val="en-US" w:eastAsia="zh-CN"/>
        </w:rPr>
      </w:pPr>
      <w:r>
        <w:rPr>
          <w:rFonts w:hint="eastAsia" w:ascii="宋体" w:hAnsi="宋体" w:cs="宋体"/>
          <w:sz w:val="24"/>
          <w:szCs w:val="24"/>
          <w:lang w:val="en-US" w:eastAsia="zh-CN"/>
        </w:rPr>
        <w:t>脱硫塔排气筒</w:t>
      </w:r>
      <w:r>
        <w:rPr>
          <w:rFonts w:hint="eastAsia" w:cs="Times New Roman"/>
          <w:color w:val="auto"/>
          <w:sz w:val="24"/>
          <w:szCs w:val="24"/>
          <w:lang w:val="en-US" w:eastAsia="zh-CN"/>
        </w:rPr>
        <w:t xml:space="preserve"> 二氧化硫总量计算：1.19</w:t>
      </w:r>
      <w:r>
        <w:rPr>
          <w:rFonts w:hint="default" w:ascii="Times New Roman" w:hAnsi="Times New Roman" w:eastAsia="宋体" w:cs="Times New Roman"/>
          <w:b w:val="0"/>
          <w:bCs/>
          <w:color w:val="auto"/>
          <w:sz w:val="24"/>
          <w:szCs w:val="24"/>
        </w:rPr>
        <w:t>kg/h</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8000h</w:t>
      </w:r>
      <w:r>
        <w:rPr>
          <w:rFonts w:hint="default" w:ascii="Times New Roman" w:hAnsi="Times New Roman" w:eastAsia="宋体" w:cs="Times New Roman"/>
          <w:sz w:val="24"/>
          <w:szCs w:val="24"/>
        </w:rPr>
        <w:t>/a</w:t>
      </w:r>
      <w:r>
        <w:rPr>
          <w:rFonts w:hint="eastAsia" w:cs="Times New Roman"/>
          <w:color w:val="auto"/>
          <w:sz w:val="24"/>
          <w:szCs w:val="24"/>
          <w:lang w:val="en-US" w:eastAsia="zh-CN"/>
        </w:rPr>
        <w:t>÷1000=9.52t/a</w:t>
      </w:r>
    </w:p>
    <w:p>
      <w:pPr>
        <w:spacing w:line="360" w:lineRule="auto"/>
        <w:ind w:firstLine="480" w:firstLineChars="200"/>
        <w:rPr>
          <w:rFonts w:hint="eastAsia" w:cs="Times New Roman"/>
          <w:color w:val="auto"/>
          <w:sz w:val="24"/>
          <w:szCs w:val="24"/>
          <w:lang w:val="en-US" w:eastAsia="zh-CN"/>
        </w:rPr>
      </w:pPr>
      <w:r>
        <w:rPr>
          <w:rFonts w:hint="eastAsia" w:ascii="宋体" w:hAnsi="宋体" w:cs="宋体"/>
          <w:sz w:val="24"/>
          <w:szCs w:val="24"/>
          <w:lang w:val="en-US" w:eastAsia="zh-CN"/>
        </w:rPr>
        <w:t xml:space="preserve">脱硫塔排气筒 </w:t>
      </w:r>
      <w:r>
        <w:rPr>
          <w:rFonts w:hint="eastAsia" w:cs="Times New Roman"/>
          <w:color w:val="auto"/>
          <w:sz w:val="24"/>
          <w:szCs w:val="24"/>
          <w:lang w:val="en-US" w:eastAsia="zh-CN"/>
        </w:rPr>
        <w:t>氮氧化物总量计算：0.556</w:t>
      </w:r>
      <w:r>
        <w:rPr>
          <w:rFonts w:hint="default" w:ascii="Times New Roman" w:hAnsi="Times New Roman" w:eastAsia="宋体" w:cs="Times New Roman"/>
          <w:b w:val="0"/>
          <w:bCs/>
          <w:color w:val="auto"/>
          <w:sz w:val="24"/>
          <w:szCs w:val="24"/>
        </w:rPr>
        <w:t>kg/h</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8000h</w:t>
      </w:r>
      <w:r>
        <w:rPr>
          <w:rFonts w:hint="default" w:ascii="Times New Roman" w:hAnsi="Times New Roman" w:eastAsia="宋体" w:cs="Times New Roman"/>
          <w:sz w:val="24"/>
          <w:szCs w:val="24"/>
        </w:rPr>
        <w:t>/a</w:t>
      </w:r>
      <w:r>
        <w:rPr>
          <w:rFonts w:hint="eastAsia" w:cs="Times New Roman"/>
          <w:color w:val="auto"/>
          <w:sz w:val="24"/>
          <w:szCs w:val="24"/>
          <w:lang w:val="en-US" w:eastAsia="zh-CN"/>
        </w:rPr>
        <w:t>÷1000=4.45t/a</w:t>
      </w:r>
    </w:p>
    <w:p>
      <w:pPr>
        <w:pStyle w:val="2"/>
        <w:spacing w:line="360" w:lineRule="auto"/>
        <w:rPr>
          <w:rFonts w:hint="default" w:cs="Times New Roman"/>
          <w:color w:val="auto"/>
          <w:sz w:val="24"/>
          <w:szCs w:val="24"/>
          <w:lang w:val="en-US" w:eastAsia="zh-CN"/>
        </w:rPr>
      </w:pPr>
      <w:r>
        <w:rPr>
          <w:rFonts w:hint="eastAsia" w:cs="Times New Roman"/>
          <w:color w:val="auto"/>
          <w:sz w:val="24"/>
          <w:szCs w:val="24"/>
          <w:lang w:val="en-US" w:eastAsia="zh-CN"/>
        </w:rPr>
        <w:t>该项目满足污染物总量排放需求。</w:t>
      </w:r>
    </w:p>
    <w:p>
      <w:pPr>
        <w:spacing w:before="62" w:beforeLines="20" w:after="62" w:afterLines="20" w:line="470" w:lineRule="exact"/>
        <w:rPr>
          <w:rFonts w:hint="eastAsia" w:ascii="宋体" w:hAnsi="宋体" w:eastAsia="宋体" w:cs="宋体"/>
          <w:b/>
          <w:bCs/>
          <w:sz w:val="24"/>
          <w:highlight w:val="yellow"/>
        </w:rPr>
      </w:pPr>
      <w:r>
        <w:rPr>
          <w:rFonts w:hint="eastAsia" w:ascii="宋体" w:hAnsi="宋体" w:eastAsia="宋体" w:cs="宋体"/>
          <w:b/>
          <w:bCs/>
          <w:sz w:val="24"/>
        </w:rPr>
        <w:t>8.3.2.2</w:t>
      </w:r>
      <w:r>
        <w:rPr>
          <w:rFonts w:hint="eastAsia" w:ascii="宋体" w:hAnsi="宋体" w:eastAsia="宋体" w:cs="宋体"/>
          <w:b/>
          <w:bCs/>
          <w:sz w:val="24"/>
          <w:highlight w:val="none"/>
        </w:rPr>
        <w:t xml:space="preserve"> 噪声</w:t>
      </w:r>
    </w:p>
    <w:p>
      <w:pPr>
        <w:spacing w:before="62" w:beforeLines="20" w:after="62" w:afterLines="20" w:line="470" w:lineRule="exact"/>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验收监测期间，</w:t>
      </w:r>
      <w:r>
        <w:rPr>
          <w:rFonts w:hint="eastAsia" w:cs="Times New Roman" w:eastAsiaTheme="minorEastAsia"/>
          <w:color w:val="auto"/>
          <w:sz w:val="24"/>
          <w:szCs w:val="24"/>
          <w:highlight w:val="none"/>
          <w:lang w:eastAsia="zh-CN"/>
        </w:rPr>
        <w:t>北、西、南、东四</w:t>
      </w:r>
      <w:r>
        <w:rPr>
          <w:rFonts w:hint="default" w:ascii="Times New Roman" w:hAnsi="Times New Roman" w:cs="Times New Roman" w:eastAsiaTheme="minorEastAsia"/>
          <w:color w:val="auto"/>
          <w:sz w:val="24"/>
          <w:szCs w:val="24"/>
          <w:highlight w:val="none"/>
        </w:rPr>
        <w:t>个厂界噪声范围在</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昼间最大值为5</w:t>
      </w:r>
      <w:r>
        <w:rPr>
          <w:rFonts w:hint="eastAsia" w:cs="Times New Roman" w:eastAsiaTheme="minorEastAsia"/>
          <w:color w:val="auto"/>
          <w:sz w:val="24"/>
          <w:szCs w:val="24"/>
          <w:highlight w:val="none"/>
          <w:lang w:val="en-US" w:eastAsia="zh-CN"/>
        </w:rPr>
        <w:t>5.2</w:t>
      </w:r>
      <w:r>
        <w:rPr>
          <w:rFonts w:hint="default" w:ascii="Times New Roman" w:hAnsi="Times New Roman" w:cs="Times New Roman" w:eastAsiaTheme="minorEastAsia"/>
          <w:color w:val="auto"/>
          <w:sz w:val="24"/>
          <w:szCs w:val="24"/>
          <w:highlight w:val="none"/>
        </w:rPr>
        <w:t>dB（A</w:t>
      </w:r>
      <w:r>
        <w:rPr>
          <w:rFonts w:hint="eastAsia" w:cs="Times New Roman" w:eastAsiaTheme="minorEastAsia"/>
          <w:color w:val="auto"/>
          <w:sz w:val="24"/>
          <w:szCs w:val="24"/>
          <w:highlight w:val="none"/>
          <w:lang w:eastAsia="zh-CN"/>
        </w:rPr>
        <w:t>，</w:t>
      </w:r>
      <w:r>
        <w:rPr>
          <w:rFonts w:hint="eastAsia" w:cs="Times New Roman" w:eastAsiaTheme="minorEastAsia"/>
          <w:color w:val="auto"/>
          <w:sz w:val="24"/>
          <w:szCs w:val="24"/>
          <w:highlight w:val="none"/>
          <w:lang w:val="en-US" w:eastAsia="zh-CN"/>
        </w:rPr>
        <w:t>夜</w:t>
      </w:r>
      <w:r>
        <w:rPr>
          <w:rFonts w:hint="eastAsia" w:ascii="Times New Roman" w:hAnsi="Times New Roman" w:cs="Times New Roman" w:eastAsiaTheme="minorEastAsia"/>
          <w:color w:val="auto"/>
          <w:sz w:val="24"/>
          <w:szCs w:val="24"/>
          <w:highlight w:val="none"/>
          <w:lang w:val="en-US" w:eastAsia="zh-CN"/>
        </w:rPr>
        <w:t>间最大值为</w:t>
      </w:r>
      <w:r>
        <w:rPr>
          <w:rFonts w:hint="eastAsia" w:cs="Times New Roman" w:eastAsiaTheme="minorEastAsia"/>
          <w:color w:val="auto"/>
          <w:sz w:val="24"/>
          <w:szCs w:val="24"/>
          <w:highlight w:val="none"/>
          <w:lang w:val="en-US" w:eastAsia="zh-CN"/>
        </w:rPr>
        <w:t>46.4</w:t>
      </w:r>
      <w:r>
        <w:rPr>
          <w:rFonts w:hint="default" w:ascii="Times New Roman" w:hAnsi="Times New Roman" w:cs="Times New Roman" w:eastAsiaTheme="minorEastAsia"/>
          <w:color w:val="auto"/>
          <w:sz w:val="24"/>
          <w:szCs w:val="24"/>
          <w:highlight w:val="none"/>
        </w:rPr>
        <w:t>dB（A））满足《工业企业厂界环境噪声排放标准》（GB12348-2008）</w:t>
      </w:r>
      <w:r>
        <w:rPr>
          <w:rFonts w:hint="eastAsia" w:cs="Times New Roman" w:eastAsiaTheme="minorEastAsia"/>
          <w:color w:val="auto"/>
          <w:sz w:val="24"/>
          <w:szCs w:val="24"/>
          <w:highlight w:val="none"/>
          <w:lang w:eastAsia="zh-CN"/>
        </w:rPr>
        <w:t>表</w:t>
      </w:r>
      <w:r>
        <w:rPr>
          <w:rFonts w:hint="eastAsia"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中</w:t>
      </w:r>
      <w:r>
        <w:rPr>
          <w:rFonts w:hint="eastAsia"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类标准限值要求。</w:t>
      </w:r>
    </w:p>
    <w:p>
      <w:pPr>
        <w:spacing w:before="62" w:beforeLines="20" w:after="62" w:afterLines="20" w:line="470" w:lineRule="exac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8.3.2.3</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废水</w:t>
      </w:r>
    </w:p>
    <w:p>
      <w:pPr>
        <w:spacing w:before="62" w:beforeLines="20" w:after="62" w:afterLines="20" w:line="47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eastAsiaTheme="minorEastAsia"/>
          <w:color w:val="auto"/>
          <w:sz w:val="24"/>
          <w:szCs w:val="24"/>
          <w:highlight w:val="none"/>
        </w:rPr>
        <w:t>本</w:t>
      </w:r>
      <w:r>
        <w:rPr>
          <w:rFonts w:hint="eastAsia"/>
          <w:sz w:val="24"/>
          <w:szCs w:val="24"/>
        </w:rPr>
        <w:t>项目</w:t>
      </w:r>
      <w:r>
        <w:rPr>
          <w:rFonts w:hint="eastAsia" w:ascii="宋体" w:hAnsi="宋体"/>
          <w:sz w:val="24"/>
          <w:szCs w:val="24"/>
        </w:rPr>
        <w:t>脱盐水系统排水</w:t>
      </w:r>
      <w:r>
        <w:rPr>
          <w:rFonts w:hint="eastAsia" w:ascii="宋体" w:hAnsi="宋体"/>
          <w:sz w:val="24"/>
          <w:szCs w:val="24"/>
          <w:lang w:eastAsia="zh-CN"/>
        </w:rPr>
        <w:t>、</w:t>
      </w:r>
      <w:r>
        <w:rPr>
          <w:rFonts w:hint="eastAsia" w:ascii="宋体" w:hAnsi="宋体"/>
          <w:sz w:val="24"/>
          <w:szCs w:val="24"/>
        </w:rPr>
        <w:t>循环冷却系统排水</w:t>
      </w:r>
      <w:r>
        <w:rPr>
          <w:rFonts w:hint="eastAsia" w:ascii="宋体" w:hAnsi="宋体"/>
          <w:sz w:val="24"/>
          <w:szCs w:val="24"/>
          <w:lang w:eastAsia="zh-CN"/>
        </w:rPr>
        <w:t>、</w:t>
      </w:r>
      <w:r>
        <w:rPr>
          <w:rFonts w:hint="eastAsia" w:ascii="宋体" w:hAnsi="宋体"/>
          <w:sz w:val="24"/>
          <w:szCs w:val="24"/>
        </w:rPr>
        <w:t>余热回收系统排污水依托民基化工雨水管网</w:t>
      </w:r>
      <w:r>
        <w:rPr>
          <w:rFonts w:hint="eastAsia" w:ascii="宋体" w:hAnsi="宋体"/>
          <w:sz w:val="24"/>
          <w:szCs w:val="24"/>
          <w:lang w:eastAsia="zh-CN"/>
        </w:rPr>
        <w:t>；</w:t>
      </w:r>
      <w:r>
        <w:rPr>
          <w:rFonts w:hint="default" w:ascii="Times New Roman" w:hAnsi="Times New Roman" w:eastAsia="宋体" w:cs="Times New Roman"/>
          <w:sz w:val="24"/>
          <w:szCs w:val="24"/>
        </w:rPr>
        <w:t>车</w:t>
      </w:r>
      <w:r>
        <w:rPr>
          <w:rFonts w:hint="eastAsia" w:ascii="Times New Roman" w:hAnsi="Times New Roman" w:eastAsia="宋体" w:cs="Times New Roman"/>
          <w:sz w:val="24"/>
          <w:szCs w:val="24"/>
          <w:lang w:eastAsia="zh-CN"/>
        </w:rPr>
        <w:t>间</w:t>
      </w:r>
      <w:r>
        <w:rPr>
          <w:rFonts w:hint="default" w:ascii="Times New Roman" w:hAnsi="Times New Roman" w:eastAsia="宋体" w:cs="Times New Roman"/>
          <w:sz w:val="24"/>
          <w:szCs w:val="24"/>
        </w:rPr>
        <w:t>地面冲洗水、初期雨水经厂内污水处置设施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采用酸碱中和+絮凝沉淀工艺处理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达到《硫酸工业污染物排放标准》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表2限值要求后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与生活污水一起排入山东民基化工有限公司污水处理站处理</w:t>
      </w:r>
      <w:r>
        <w:rPr>
          <w:rFonts w:hint="eastAsia" w:ascii="Times New Roman" w:hAnsi="Times New Roman" w:eastAsia="宋体" w:cs="Times New Roman"/>
          <w:sz w:val="24"/>
          <w:szCs w:val="24"/>
          <w:lang w:eastAsia="zh-CN"/>
        </w:rPr>
        <w:t>，</w:t>
      </w:r>
      <w:r>
        <w:rPr>
          <w:rFonts w:hint="default" w:ascii="Times New Roman" w:hAnsi="Times New Roman" w:cs="Times New Roman" w:eastAsiaTheme="minorEastAsia"/>
          <w:bCs/>
          <w:sz w:val="24"/>
          <w:szCs w:val="24"/>
          <w:highlight w:val="none"/>
        </w:rPr>
        <w:t>项目</w:t>
      </w:r>
      <w:r>
        <w:rPr>
          <w:rFonts w:hint="eastAsia" w:ascii="Times New Roman" w:hAnsi="Times New Roman" w:eastAsia="宋体" w:cs="Times New Roman"/>
          <w:sz w:val="24"/>
          <w:szCs w:val="24"/>
          <w:lang w:eastAsia="zh-CN"/>
        </w:rPr>
        <w:t>污水总排口</w:t>
      </w:r>
      <w:r>
        <w:rPr>
          <w:rFonts w:hint="eastAsia" w:ascii="Times New Roman" w:hAnsi="Times New Roman" w:eastAsia="宋体" w:cs="Times New Roman"/>
          <w:b w:val="0"/>
          <w:bCs w:val="0"/>
          <w:sz w:val="24"/>
          <w:szCs w:val="24"/>
          <w:lang w:eastAsia="zh-CN"/>
        </w:rPr>
        <w:t>中</w:t>
      </w:r>
      <w:r>
        <w:rPr>
          <w:rFonts w:hint="eastAsia" w:cs="Times New Roman"/>
          <w:b w:val="0"/>
          <w:bCs w:val="0"/>
          <w:kern w:val="2"/>
          <w:sz w:val="24"/>
          <w:szCs w:val="24"/>
          <w:highlight w:val="none"/>
          <w:lang w:val="en-US" w:eastAsia="zh-CN" w:bidi="ar-SA"/>
        </w:rPr>
        <w:t>两天测得</w:t>
      </w:r>
      <w:r>
        <w:rPr>
          <w:rFonts w:hint="default" w:ascii="Times New Roman" w:hAnsi="Times New Roman" w:eastAsia="宋体" w:cs="Times New Roman"/>
          <w:b w:val="0"/>
          <w:bCs w:val="0"/>
          <w:sz w:val="24"/>
          <w:szCs w:val="24"/>
          <w:lang w:eastAsia="zh-CN"/>
        </w:rPr>
        <w:t>pH值</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sz w:val="24"/>
          <w:szCs w:val="24"/>
          <w:lang w:eastAsia="zh-CN"/>
        </w:rPr>
        <w:t>范围为</w:t>
      </w:r>
      <w:r>
        <w:rPr>
          <w:rFonts w:hint="eastAsia" w:cs="Times New Roman"/>
          <w:b w:val="0"/>
          <w:bCs w:val="0"/>
          <w:sz w:val="24"/>
          <w:szCs w:val="24"/>
          <w:lang w:val="en-US" w:eastAsia="zh-CN"/>
        </w:rPr>
        <w:t>7.92-</w:t>
      </w:r>
      <w:r>
        <w:rPr>
          <w:rFonts w:hint="eastAsia" w:cs="Times New Roman"/>
          <w:b w:val="0"/>
          <w:bCs w:val="0"/>
          <w:kern w:val="2"/>
          <w:sz w:val="24"/>
          <w:szCs w:val="24"/>
          <w:highlight w:val="none"/>
          <w:lang w:val="en-US" w:eastAsia="zh-CN" w:bidi="ar-SA"/>
        </w:rPr>
        <w:t>8.10（无量纲）</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悬浮物</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28</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lang w:val="en-US" w:eastAsia="zh-CN"/>
        </w:rPr>
        <w:t>氨氮</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1.92</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化学需氧量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43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全盐量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1423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五日生化需氧量</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kern w:val="2"/>
          <w:sz w:val="24"/>
          <w:szCs w:val="24"/>
          <w:highlight w:val="none"/>
          <w:lang w:val="en-US" w:eastAsia="zh-CN" w:bidi="ar-SA"/>
        </w:rPr>
        <w:t>15.3</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硫酸盐</w:t>
      </w:r>
      <w:r>
        <w:rPr>
          <w:rFonts w:hint="eastAsia" w:ascii="Times New Roman" w:hAnsi="Times New Roman" w:eastAsia="宋体" w:cs="Times New Roman"/>
          <w:b w:val="0"/>
          <w:bCs w:val="0"/>
          <w:sz w:val="24"/>
          <w:szCs w:val="24"/>
          <w:lang w:eastAsia="zh-CN"/>
        </w:rPr>
        <w:t>最大</w:t>
      </w:r>
      <w:r>
        <w:rPr>
          <w:rFonts w:hint="default" w:ascii="Times New Roman" w:hAnsi="Times New Roman" w:eastAsia="宋体" w:cs="Times New Roman"/>
          <w:b w:val="0"/>
          <w:bCs w:val="0"/>
          <w:sz w:val="24"/>
          <w:szCs w:val="24"/>
        </w:rPr>
        <w:t>排放</w:t>
      </w:r>
      <w:r>
        <w:rPr>
          <w:rFonts w:hint="eastAsia" w:ascii="Times New Roman" w:hAnsi="Times New Roman" w:eastAsia="宋体" w:cs="Times New Roman"/>
          <w:b w:val="0"/>
          <w:bCs w:val="0"/>
          <w:sz w:val="24"/>
          <w:szCs w:val="24"/>
          <w:lang w:eastAsia="zh-CN"/>
        </w:rPr>
        <w:t>浓度</w:t>
      </w:r>
      <w:r>
        <w:rPr>
          <w:rFonts w:hint="eastAsia" w:cs="Times New Roman"/>
          <w:b w:val="0"/>
          <w:bCs w:val="0"/>
          <w:sz w:val="24"/>
          <w:szCs w:val="24"/>
          <w:lang w:val="en-US" w:eastAsia="zh-CN"/>
        </w:rPr>
        <w:t>117</w:t>
      </w:r>
      <w:r>
        <w:rPr>
          <w:rFonts w:hint="default" w:ascii="Times New Roman" w:hAnsi="Times New Roman" w:eastAsia="宋体" w:cs="Times New Roman"/>
          <w:b w:val="0"/>
          <w:bCs w:val="0"/>
          <w:sz w:val="24"/>
          <w:szCs w:val="24"/>
          <w:highlight w:val="none"/>
          <w:lang w:val="en-US" w:eastAsia="zh-CN"/>
        </w:rPr>
        <w:t>mg/L</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lang w:eastAsia="zh-CN"/>
        </w:rPr>
        <w:t>满足</w:t>
      </w:r>
      <w:r>
        <w:rPr>
          <w:rFonts w:hint="default" w:ascii="Times New Roman" w:hAnsi="Times New Roman" w:eastAsia="宋体" w:cs="Times New Roman"/>
          <w:sz w:val="24"/>
          <w:szCs w:val="24"/>
        </w:rPr>
        <w:t>《硫酸工业污染物排放标准》</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GB26132-2010</w:t>
      </w:r>
      <w:r>
        <w:rPr>
          <w:rFonts w:hint="eastAsia" w:asciiTheme="minorEastAsia" w:hAnsiTheme="minorEastAsia" w:eastAsiaTheme="minorEastAsia" w:cstheme="minorEastAsia"/>
          <w:sz w:val="24"/>
          <w:szCs w:val="24"/>
        </w:rPr>
        <w:t>)</w:t>
      </w:r>
      <w:r>
        <w:rPr>
          <w:rFonts w:hint="default" w:ascii="Times New Roman" w:hAnsi="Times New Roman" w:eastAsia="宋体" w:cs="Times New Roman"/>
          <w:sz w:val="24"/>
          <w:szCs w:val="24"/>
        </w:rPr>
        <w:t>表2限值</w:t>
      </w:r>
      <w:r>
        <w:rPr>
          <w:rFonts w:hint="eastAsia" w:cs="Times New Roman"/>
          <w:sz w:val="24"/>
          <w:szCs w:val="24"/>
          <w:lang w:eastAsia="zh-CN"/>
        </w:rPr>
        <w:t>及</w:t>
      </w:r>
      <w:r>
        <w:rPr>
          <w:rFonts w:hint="eastAsia" w:cs="Times New Roman"/>
          <w:b w:val="0"/>
          <w:bCs w:val="0"/>
          <w:sz w:val="24"/>
          <w:szCs w:val="24"/>
          <w:lang w:eastAsia="zh-CN"/>
        </w:rPr>
        <w:t>《污水排入城镇下水道水质标准》(CJ34</w:t>
      </w:r>
      <w:r>
        <w:rPr>
          <w:rFonts w:hint="eastAsia" w:cs="Times New Roman"/>
          <w:sz w:val="24"/>
          <w:szCs w:val="24"/>
          <w:lang w:eastAsia="zh-CN"/>
        </w:rPr>
        <w:t>3-2010)</w:t>
      </w:r>
      <w:r>
        <w:rPr>
          <w:rFonts w:hint="default" w:ascii="Times New Roman" w:hAnsi="Times New Roman" w:eastAsia="宋体" w:cs="Times New Roman"/>
          <w:sz w:val="24"/>
          <w:szCs w:val="24"/>
        </w:rPr>
        <w:t>表1中B等级标准</w:t>
      </w:r>
      <w:r>
        <w:rPr>
          <w:rFonts w:hint="eastAsia" w:ascii="Times New Roman" w:hAnsi="Times New Roman" w:eastAsia="宋体" w:cs="Times New Roman"/>
          <w:sz w:val="24"/>
          <w:szCs w:val="24"/>
          <w:lang w:eastAsia="zh-CN"/>
        </w:rPr>
        <w:t>要求。</w:t>
      </w:r>
    </w:p>
    <w:p>
      <w:pPr>
        <w:spacing w:before="62" w:beforeLines="20" w:after="62" w:afterLines="20" w:line="470" w:lineRule="exact"/>
        <w:rPr>
          <w:rFonts w:hint="eastAsia" w:ascii="宋体" w:hAnsi="宋体" w:eastAsia="宋体" w:cs="宋体"/>
          <w:b/>
          <w:bCs/>
          <w:sz w:val="24"/>
          <w:szCs w:val="24"/>
        </w:rPr>
      </w:pPr>
      <w:r>
        <w:rPr>
          <w:rFonts w:hint="eastAsia" w:ascii="宋体" w:hAnsi="宋体" w:eastAsia="宋体" w:cs="宋体"/>
          <w:b/>
          <w:bCs/>
          <w:sz w:val="24"/>
          <w:szCs w:val="24"/>
        </w:rPr>
        <w:t>8.3.2.</w:t>
      </w:r>
      <w:r>
        <w:rPr>
          <w:rFonts w:hint="eastAsia" w:ascii="宋体" w:hAnsi="宋体" w:eastAsia="宋体" w:cs="宋体"/>
          <w:b/>
          <w:bCs/>
          <w:sz w:val="24"/>
          <w:szCs w:val="24"/>
          <w:lang w:val="en-US" w:eastAsia="zh-CN"/>
        </w:rPr>
        <w:t xml:space="preserve">4 </w:t>
      </w:r>
      <w:r>
        <w:rPr>
          <w:rFonts w:hint="eastAsia" w:ascii="宋体" w:hAnsi="宋体" w:eastAsia="宋体" w:cs="宋体"/>
          <w:b/>
          <w:bCs/>
          <w:sz w:val="24"/>
          <w:szCs w:val="24"/>
        </w:rPr>
        <w:t>固体废物</w:t>
      </w:r>
    </w:p>
    <w:p>
      <w:pPr>
        <w:spacing w:line="360" w:lineRule="auto"/>
        <w:ind w:firstLine="480" w:firstLineChars="200"/>
        <w:rPr>
          <w:rFonts w:hint="eastAsia" w:ascii="宋体" w:hAnsi="宋体" w:eastAsia="宋体" w:cs="宋体"/>
          <w:color w:val="C00000"/>
          <w:sz w:val="24"/>
          <w:szCs w:val="24"/>
          <w:lang w:eastAsia="zh-CN"/>
        </w:rPr>
      </w:pPr>
      <w:bookmarkStart w:id="164" w:name="_Toc11981"/>
      <w:bookmarkStart w:id="165" w:name="_Toc17050_WPSOffice_Level3"/>
      <w:r>
        <w:rPr>
          <w:rFonts w:hint="eastAsia" w:ascii="宋体" w:hAnsi="宋体" w:eastAsia="宋体" w:cs="宋体"/>
          <w:sz w:val="24"/>
          <w:szCs w:val="24"/>
        </w:rPr>
        <w:t>本项目产生的固体废物包括一般固废</w:t>
      </w:r>
      <w:r>
        <w:rPr>
          <w:rFonts w:hint="eastAsia" w:ascii="宋体" w:hAnsi="宋体" w:eastAsia="宋体" w:cs="宋体"/>
          <w:sz w:val="24"/>
          <w:szCs w:val="24"/>
          <w:lang w:eastAsia="zh-CN"/>
        </w:rPr>
        <w:t>、危险固废和职工生活垃圾</w:t>
      </w:r>
      <w:r>
        <w:rPr>
          <w:rFonts w:hint="eastAsia" w:ascii="宋体" w:hAnsi="宋体" w:cs="宋体"/>
          <w:sz w:val="24"/>
          <w:szCs w:val="24"/>
          <w:lang w:eastAsia="zh-CN"/>
        </w:rPr>
        <w:t>。</w:t>
      </w:r>
    </w:p>
    <w:p>
      <w:pPr>
        <w:spacing w:line="360" w:lineRule="auto"/>
        <w:ind w:left="1200" w:hanging="1200" w:hangingChars="500"/>
        <w:jc w:val="left"/>
        <w:rPr>
          <w:rFonts w:hint="eastAsia" w:ascii="宋体" w:hAnsi="宋体" w:eastAsia="宋体" w:cs="宋体"/>
          <w:sz w:val="24"/>
          <w:szCs w:val="24"/>
          <w:lang w:eastAsia="zh-CN"/>
        </w:rPr>
      </w:pPr>
      <w:r>
        <w:rPr>
          <w:rFonts w:hint="eastAsia" w:ascii="宋体" w:hAnsi="宋体" w:eastAsia="宋体" w:cs="宋体"/>
          <w:sz w:val="24"/>
          <w:szCs w:val="24"/>
        </w:rPr>
        <w:t>一般固废：</w:t>
      </w:r>
      <w:r>
        <w:rPr>
          <w:rFonts w:hint="eastAsia" w:ascii="宋体" w:hAnsi="宋体"/>
          <w:sz w:val="24"/>
        </w:rPr>
        <w:t>空气过滤器过滤和除雾器除雾过程产生</w:t>
      </w:r>
      <w:r>
        <w:rPr>
          <w:rFonts w:hint="eastAsia" w:ascii="宋体" w:hAnsi="宋体"/>
          <w:sz w:val="24"/>
          <w:lang w:eastAsia="zh-CN"/>
        </w:rPr>
        <w:t>的</w:t>
      </w:r>
      <w:r>
        <w:rPr>
          <w:rFonts w:hint="eastAsia" w:hAnsi="宋体"/>
          <w:color w:val="000000"/>
          <w:sz w:val="24"/>
          <w:szCs w:val="24"/>
        </w:rPr>
        <w:t>废滤芯、</w:t>
      </w:r>
      <w:r>
        <w:rPr>
          <w:rFonts w:hint="eastAsia" w:hAnsi="宋体"/>
          <w:color w:val="000000"/>
          <w:sz w:val="24"/>
          <w:szCs w:val="24"/>
          <w:lang w:eastAsia="zh-CN"/>
        </w:rPr>
        <w:t>废</w:t>
      </w:r>
      <w:r>
        <w:rPr>
          <w:rFonts w:hint="eastAsia" w:hAnsi="宋体"/>
          <w:color w:val="000000"/>
          <w:sz w:val="24"/>
          <w:szCs w:val="24"/>
        </w:rPr>
        <w:t>滤网由厂家定期更换</w:t>
      </w:r>
      <w:r>
        <w:rPr>
          <w:rFonts w:hint="eastAsia" w:hAnsi="宋体"/>
          <w:color w:val="000000"/>
          <w:sz w:val="24"/>
          <w:szCs w:val="24"/>
          <w:lang w:eastAsia="zh-CN"/>
        </w:rPr>
        <w:t>。</w:t>
      </w:r>
    </w:p>
    <w:p>
      <w:pPr>
        <w:spacing w:line="360" w:lineRule="auto"/>
        <w:ind w:left="1200" w:hanging="1200" w:hangingChars="500"/>
        <w:rPr>
          <w:rFonts w:hint="eastAsia" w:ascii="宋体" w:hAnsi="宋体" w:eastAsia="宋体" w:cs="宋体"/>
          <w:color w:val="auto"/>
          <w:sz w:val="24"/>
          <w:szCs w:val="24"/>
          <w:lang w:eastAsia="zh-CN"/>
        </w:rPr>
      </w:pPr>
      <w:r>
        <w:rPr>
          <w:rFonts w:hint="eastAsia" w:ascii="宋体" w:hAnsi="宋体" w:eastAsia="宋体" w:cs="宋体"/>
          <w:sz w:val="24"/>
          <w:szCs w:val="24"/>
        </w:rPr>
        <w:t>危险固废：</w:t>
      </w:r>
      <w:r>
        <w:rPr>
          <w:rFonts w:hint="eastAsia" w:ascii="宋体" w:hAnsi="宋体"/>
          <w:sz w:val="24"/>
        </w:rPr>
        <w:t>转化工段产生</w:t>
      </w:r>
      <w:r>
        <w:rPr>
          <w:rFonts w:hint="eastAsia" w:ascii="宋体" w:hAnsi="宋体"/>
          <w:sz w:val="24"/>
          <w:lang w:eastAsia="zh-CN"/>
        </w:rPr>
        <w:t>的</w:t>
      </w:r>
      <w:r>
        <w:rPr>
          <w:rFonts w:hint="eastAsia" w:hAnsi="宋体"/>
          <w:color w:val="000000"/>
          <w:sz w:val="24"/>
          <w:szCs w:val="24"/>
        </w:rPr>
        <w:t>废催化剂、</w:t>
      </w:r>
      <w:r>
        <w:rPr>
          <w:rFonts w:hint="eastAsia" w:ascii="宋体" w:hAnsi="宋体"/>
          <w:sz w:val="24"/>
        </w:rPr>
        <w:t>脱盐水制备</w:t>
      </w:r>
      <w:r>
        <w:rPr>
          <w:rFonts w:hint="eastAsia" w:ascii="宋体" w:hAnsi="宋体"/>
          <w:sz w:val="24"/>
          <w:lang w:eastAsia="zh-CN"/>
        </w:rPr>
        <w:t>采用</w:t>
      </w:r>
      <w:r>
        <w:rPr>
          <w:rFonts w:hint="eastAsia" w:ascii="宋体" w:hAnsi="宋体"/>
          <w:sz w:val="24"/>
        </w:rPr>
        <w:t>反渗透+阴阳离子交换</w:t>
      </w:r>
      <w:r>
        <w:rPr>
          <w:rFonts w:hint="eastAsia" w:ascii="宋体" w:hAnsi="宋体"/>
          <w:sz w:val="24"/>
          <w:lang w:eastAsia="zh-CN"/>
        </w:rPr>
        <w:t>定期更换下来的</w:t>
      </w:r>
      <w:r>
        <w:rPr>
          <w:rFonts w:hint="eastAsia" w:hAnsi="宋体"/>
          <w:color w:val="000000"/>
          <w:sz w:val="24"/>
          <w:szCs w:val="24"/>
        </w:rPr>
        <w:t>废离子树脂</w:t>
      </w:r>
      <w:r>
        <w:rPr>
          <w:rFonts w:hint="eastAsia" w:hAnsi="宋体"/>
          <w:color w:val="000000"/>
          <w:sz w:val="24"/>
          <w:szCs w:val="24"/>
          <w:lang w:eastAsia="zh-CN"/>
        </w:rPr>
        <w:t>、</w:t>
      </w:r>
      <w:r>
        <w:rPr>
          <w:rFonts w:hint="eastAsia" w:hAnsi="宋体"/>
          <w:color w:val="000000"/>
          <w:sz w:val="24"/>
          <w:szCs w:val="24"/>
        </w:rPr>
        <w:t>污水处理</w:t>
      </w:r>
      <w:r>
        <w:rPr>
          <w:rFonts w:hint="eastAsia" w:hAnsi="宋体"/>
          <w:color w:val="000000"/>
          <w:sz w:val="24"/>
          <w:szCs w:val="24"/>
          <w:lang w:eastAsia="zh-CN"/>
        </w:rPr>
        <w:t>站产生的</w:t>
      </w:r>
      <w:r>
        <w:rPr>
          <w:rFonts w:hint="eastAsia" w:hAnsi="宋体"/>
          <w:color w:val="000000"/>
          <w:sz w:val="24"/>
          <w:szCs w:val="24"/>
        </w:rPr>
        <w:t>污泥和</w:t>
      </w:r>
      <w:r>
        <w:rPr>
          <w:rFonts w:hint="eastAsia" w:ascii="宋体" w:hAnsi="宋体"/>
          <w:sz w:val="24"/>
        </w:rPr>
        <w:t>溶液净化装置中</w:t>
      </w:r>
      <w:r>
        <w:rPr>
          <w:rFonts w:hint="eastAsia" w:ascii="宋体" w:hAnsi="宋体"/>
          <w:sz w:val="24"/>
          <w:lang w:eastAsia="zh-CN"/>
        </w:rPr>
        <w:t>产生的</w:t>
      </w:r>
      <w:r>
        <w:rPr>
          <w:rFonts w:hint="eastAsia" w:hAnsi="宋体"/>
          <w:color w:val="000000"/>
          <w:sz w:val="24"/>
          <w:szCs w:val="24"/>
        </w:rPr>
        <w:t>废活性炭</w:t>
      </w:r>
      <w:r>
        <w:rPr>
          <w:rFonts w:hint="eastAsia" w:ascii="宋体" w:hAnsi="宋体" w:eastAsia="宋体" w:cs="宋体"/>
          <w:sz w:val="24"/>
          <w:szCs w:val="24"/>
        </w:rPr>
        <w:t>定期委托具有危废处置资质</w:t>
      </w:r>
      <w:r>
        <w:rPr>
          <w:rFonts w:hint="eastAsia" w:ascii="宋体" w:hAnsi="宋体" w:cs="宋体"/>
          <w:sz w:val="24"/>
          <w:szCs w:val="24"/>
          <w:lang w:eastAsia="zh-CN"/>
        </w:rPr>
        <w:t>的</w:t>
      </w:r>
      <w:r>
        <w:rPr>
          <w:rFonts w:hint="eastAsia" w:cs="Times New Roman"/>
          <w:sz w:val="24"/>
          <w:szCs w:val="24"/>
          <w:lang w:eastAsia="zh-CN"/>
        </w:rPr>
        <w:t>德州泉润环境资源有限公司</w:t>
      </w:r>
      <w:r>
        <w:rPr>
          <w:rFonts w:hint="eastAsia" w:ascii="宋体" w:hAnsi="宋体" w:eastAsia="宋体" w:cs="宋体"/>
          <w:sz w:val="24"/>
          <w:szCs w:val="24"/>
        </w:rPr>
        <w:t>处理。</w:t>
      </w:r>
    </w:p>
    <w:p>
      <w:pPr>
        <w:pStyle w:val="2"/>
        <w:ind w:left="0" w:leftChars="0" w:firstLine="0" w:firstLineChars="0"/>
        <w:rPr>
          <w:rFonts w:hint="eastAsia"/>
          <w:sz w:val="24"/>
          <w:szCs w:val="24"/>
          <w:lang w:eastAsia="zh-CN"/>
        </w:rPr>
      </w:pPr>
      <w:r>
        <w:rPr>
          <w:rFonts w:hint="eastAsia" w:ascii="宋体" w:hAnsi="宋体" w:eastAsia="宋体" w:cs="宋体"/>
          <w:color w:val="auto"/>
          <w:sz w:val="24"/>
          <w:szCs w:val="24"/>
          <w:lang w:val="en-US" w:eastAsia="zh-CN"/>
        </w:rPr>
        <w:t>职工生活垃圾：</w:t>
      </w:r>
      <w:r>
        <w:rPr>
          <w:rFonts w:hint="eastAsia" w:hAnsi="宋体"/>
          <w:color w:val="000000"/>
          <w:szCs w:val="21"/>
        </w:rPr>
        <w:t>由厂区垃圾桶收集</w:t>
      </w:r>
      <w:r>
        <w:rPr>
          <w:rFonts w:hint="eastAsia" w:hAnsi="宋体"/>
          <w:color w:val="000000"/>
          <w:szCs w:val="21"/>
          <w:lang w:eastAsia="zh-CN"/>
        </w:rPr>
        <w:t>后</w:t>
      </w:r>
      <w:r>
        <w:rPr>
          <w:rFonts w:hint="eastAsia" w:hAnsi="宋体"/>
          <w:color w:val="000000"/>
        </w:rPr>
        <w:t>由环卫部门定期清运。</w:t>
      </w:r>
    </w:p>
    <w:p>
      <w:pPr>
        <w:pStyle w:val="2"/>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综上，项目固体废弃物可以得到有效处理，不会对环境造成影响。</w:t>
      </w:r>
    </w:p>
    <w:p>
      <w:pPr>
        <w:pStyle w:val="7"/>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8.3.3 环境风险落实情况</w:t>
      </w:r>
      <w:bookmarkEnd w:id="164"/>
      <w:bookmarkEnd w:id="165"/>
    </w:p>
    <w:p>
      <w:pPr>
        <w:spacing w:line="480" w:lineRule="exact"/>
        <w:ind w:firstLine="482"/>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公司基本上落实了环评报告提出的环境风险防范措施，在发生污染事故时能及时、准确予以处置，可有效降低污染事故对周围环境的影响。</w:t>
      </w:r>
    </w:p>
    <w:p>
      <w:pPr>
        <w:pStyle w:val="7"/>
        <w:rPr>
          <w:rFonts w:hint="default" w:ascii="Times New Roman" w:hAnsi="Times New Roman" w:cs="Times New Roman" w:eastAsiaTheme="minorEastAsia"/>
          <w:sz w:val="24"/>
          <w:szCs w:val="24"/>
        </w:rPr>
      </w:pPr>
      <w:bookmarkStart w:id="166" w:name="_Toc13108"/>
      <w:bookmarkStart w:id="167" w:name="_Toc24278_WPSOffice_Level3"/>
      <w:r>
        <w:rPr>
          <w:rFonts w:hint="default" w:ascii="Times New Roman" w:hAnsi="Times New Roman" w:cs="Times New Roman" w:eastAsiaTheme="minorEastAsia"/>
          <w:sz w:val="24"/>
          <w:szCs w:val="24"/>
        </w:rPr>
        <w:t>8.3.4 总体结论</w:t>
      </w:r>
      <w:bookmarkEnd w:id="166"/>
      <w:bookmarkEnd w:id="167"/>
    </w:p>
    <w:p>
      <w:pPr>
        <w:pStyle w:val="7"/>
        <w:ind w:firstLine="480" w:firstLineChars="200"/>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lang w:val="en-US" w:eastAsia="zh-CN"/>
        </w:rPr>
        <w:t>该</w:t>
      </w:r>
      <w:r>
        <w:rPr>
          <w:rFonts w:hint="default" w:ascii="Times New Roman" w:hAnsi="Times New Roman" w:cs="Times New Roman" w:eastAsiaTheme="minorEastAsia"/>
          <w:b w:val="0"/>
          <w:bCs w:val="0"/>
          <w:sz w:val="24"/>
          <w:szCs w:val="24"/>
        </w:rPr>
        <w:t>项目符合国家产业政策以及当地产业规划布局，选址合理。</w:t>
      </w:r>
      <w:r>
        <w:rPr>
          <w:rFonts w:hint="default" w:ascii="Times New Roman" w:hAnsi="Times New Roman" w:cs="Times New Roman" w:eastAsiaTheme="minorEastAsia"/>
          <w:b w:val="0"/>
          <w:bCs w:val="0"/>
          <w:color w:val="000000"/>
          <w:sz w:val="24"/>
          <w:szCs w:val="24"/>
        </w:rPr>
        <w:t>拟建项目营运期在采取有效的治理措施后，不会对周围环境造成明显的影响，</w:t>
      </w:r>
      <w:r>
        <w:rPr>
          <w:rFonts w:hint="default" w:ascii="Times New Roman" w:hAnsi="Times New Roman" w:cs="Times New Roman" w:eastAsiaTheme="minorEastAsia"/>
          <w:b w:val="0"/>
          <w:bCs w:val="0"/>
          <w:sz w:val="24"/>
          <w:szCs w:val="24"/>
        </w:rPr>
        <w:t>从环境保护的角度来讲，本报告认为项目在认真落实本报告提出的各项环保措施后是可行的。</w:t>
      </w:r>
    </w:p>
    <w:p>
      <w:pPr>
        <w:pStyle w:val="6"/>
        <w:rPr>
          <w:rFonts w:hint="default"/>
        </w:rPr>
      </w:pPr>
      <w:bookmarkStart w:id="168" w:name="_Toc15881"/>
      <w:bookmarkStart w:id="169" w:name="_Toc29914_WPSOffice_Level2"/>
      <w:r>
        <w:rPr>
          <w:rFonts w:hint="default"/>
        </w:rPr>
        <w:t>8.4 验收建议</w:t>
      </w:r>
      <w:bookmarkEnd w:id="168"/>
      <w:bookmarkEnd w:id="169"/>
    </w:p>
    <w:p>
      <w:pPr>
        <w:spacing w:line="360" w:lineRule="auto"/>
        <w:ind w:firstLine="480" w:firstLineChars="200"/>
        <w:jc w:val="both"/>
        <w:rPr>
          <w:rFonts w:hint="eastAsia" w:ascii="宋体" w:hAnsi="宋体" w:eastAsia="宋体" w:cs="宋体"/>
          <w:sz w:val="24"/>
          <w:lang w:eastAsia="zh-CN"/>
        </w:rPr>
      </w:pPr>
      <w:bookmarkStart w:id="170" w:name="_Toc6616_WPSOffice_Level1"/>
      <w:r>
        <w:rPr>
          <w:rFonts w:hint="default" w:ascii="Times New Roman" w:hAnsi="Times New Roman" w:eastAsia="宋体" w:cs="Times New Roman"/>
          <w:sz w:val="24"/>
        </w:rPr>
        <w:t>1</w:t>
      </w:r>
      <w:r>
        <w:rPr>
          <w:rFonts w:hint="eastAsia" w:ascii="宋体" w:hAnsi="宋体" w:eastAsia="宋体" w:cs="宋体"/>
          <w:sz w:val="24"/>
          <w:lang w:val="en-US" w:eastAsia="zh-CN"/>
        </w:rPr>
        <w:t>.</w:t>
      </w:r>
      <w:r>
        <w:rPr>
          <w:rFonts w:hint="eastAsia" w:ascii="宋体" w:hAnsi="宋体" w:eastAsia="宋体" w:cs="宋体"/>
          <w:sz w:val="24"/>
        </w:rPr>
        <w:t>配备相应管理人员和检验人员</w:t>
      </w:r>
      <w:r>
        <w:rPr>
          <w:rFonts w:hint="eastAsia" w:ascii="宋体" w:hAnsi="宋体" w:eastAsia="宋体" w:cs="宋体"/>
          <w:sz w:val="24"/>
          <w:lang w:eastAsia="zh-CN"/>
        </w:rPr>
        <w:t>，</w:t>
      </w:r>
      <w:r>
        <w:rPr>
          <w:rFonts w:hint="eastAsia" w:ascii="宋体" w:hAnsi="宋体" w:eastAsia="宋体" w:cs="宋体"/>
          <w:sz w:val="24"/>
        </w:rPr>
        <w:t>按照国家标准和要求</w:t>
      </w:r>
      <w:r>
        <w:rPr>
          <w:rFonts w:hint="eastAsia" w:ascii="宋体" w:hAnsi="宋体" w:eastAsia="宋体" w:cs="宋体"/>
          <w:sz w:val="24"/>
          <w:lang w:eastAsia="zh-CN"/>
        </w:rPr>
        <w:t>，</w:t>
      </w:r>
      <w:r>
        <w:rPr>
          <w:rFonts w:hint="eastAsia" w:ascii="宋体" w:hAnsi="宋体" w:eastAsia="宋体" w:cs="宋体"/>
          <w:sz w:val="24"/>
        </w:rPr>
        <w:t>对消防设施、安全通道定期</w:t>
      </w:r>
      <w:r>
        <w:rPr>
          <w:rFonts w:hint="eastAsia" w:ascii="宋体" w:hAnsi="宋体" w:eastAsia="宋体" w:cs="宋体"/>
          <w:sz w:val="24"/>
          <w:lang w:eastAsia="zh-CN"/>
        </w:rPr>
        <w:t>进</w:t>
      </w:r>
      <w:r>
        <w:rPr>
          <w:rFonts w:hint="eastAsia" w:ascii="宋体" w:hAnsi="宋体" w:eastAsia="宋体" w:cs="宋体"/>
          <w:sz w:val="24"/>
        </w:rPr>
        <w:t>行检查</w:t>
      </w:r>
      <w:r>
        <w:rPr>
          <w:rFonts w:hint="eastAsia" w:ascii="宋体" w:hAnsi="宋体" w:eastAsia="宋体" w:cs="宋体"/>
          <w:sz w:val="24"/>
          <w:lang w:eastAsia="zh-CN"/>
        </w:rPr>
        <w:t>，</w:t>
      </w:r>
      <w:r>
        <w:rPr>
          <w:rFonts w:hint="eastAsia" w:ascii="宋体" w:hAnsi="宋体" w:eastAsia="宋体" w:cs="宋体"/>
          <w:sz w:val="24"/>
        </w:rPr>
        <w:t>确保各设施能正常使用</w:t>
      </w:r>
      <w:r>
        <w:rPr>
          <w:rFonts w:hint="eastAsia" w:ascii="宋体" w:hAnsi="宋体" w:eastAsia="宋体" w:cs="宋体"/>
          <w:sz w:val="24"/>
          <w:lang w:eastAsia="zh-CN"/>
        </w:rPr>
        <w:t>。</w:t>
      </w:r>
    </w:p>
    <w:p>
      <w:pPr>
        <w:spacing w:line="360" w:lineRule="auto"/>
        <w:ind w:firstLine="480" w:firstLineChars="200"/>
        <w:jc w:val="both"/>
        <w:rPr>
          <w:rFonts w:hint="eastAsia" w:ascii="宋体" w:hAnsi="宋体" w:eastAsia="宋体" w:cs="宋体"/>
          <w:color w:val="auto"/>
          <w:sz w:val="24"/>
          <w:lang w:eastAsia="zh-CN"/>
        </w:rPr>
      </w:pPr>
      <w:r>
        <w:rPr>
          <w:rFonts w:hint="default" w:ascii="Times New Roman" w:hAnsi="Times New Roman" w:eastAsia="宋体" w:cs="Times New Roman"/>
          <w:color w:val="auto"/>
          <w:sz w:val="24"/>
        </w:rPr>
        <w:t>2</w:t>
      </w:r>
      <w:r>
        <w:rPr>
          <w:rFonts w:hint="eastAsia" w:ascii="宋体" w:hAnsi="宋体" w:eastAsia="宋体" w:cs="宋体"/>
          <w:color w:val="auto"/>
          <w:sz w:val="24"/>
          <w:lang w:val="en-US" w:eastAsia="zh-CN"/>
        </w:rPr>
        <w:t>.</w:t>
      </w:r>
      <w:r>
        <w:rPr>
          <w:rFonts w:hint="eastAsia" w:ascii="宋体" w:hAnsi="宋体" w:eastAsia="宋体" w:cs="宋体"/>
          <w:color w:val="auto"/>
          <w:sz w:val="24"/>
        </w:rPr>
        <w:t>加强内部环境管理</w:t>
      </w:r>
      <w:r>
        <w:rPr>
          <w:rFonts w:hint="eastAsia" w:ascii="宋体" w:hAnsi="宋体" w:eastAsia="宋体" w:cs="宋体"/>
          <w:color w:val="auto"/>
          <w:sz w:val="24"/>
          <w:lang w:eastAsia="zh-CN"/>
        </w:rPr>
        <w:t>，</w:t>
      </w:r>
      <w:r>
        <w:rPr>
          <w:rFonts w:hint="eastAsia" w:ascii="宋体" w:hAnsi="宋体" w:eastAsia="宋体" w:cs="宋体"/>
          <w:color w:val="auto"/>
          <w:sz w:val="24"/>
        </w:rPr>
        <w:t>充分利用自然条件</w:t>
      </w:r>
      <w:r>
        <w:rPr>
          <w:rFonts w:hint="eastAsia" w:ascii="宋体" w:hAnsi="宋体" w:eastAsia="宋体" w:cs="宋体"/>
          <w:color w:val="auto"/>
          <w:sz w:val="24"/>
          <w:lang w:eastAsia="zh-CN"/>
        </w:rPr>
        <w:t>，</w:t>
      </w:r>
      <w:r>
        <w:rPr>
          <w:rFonts w:hint="eastAsia" w:ascii="宋体" w:hAnsi="宋体" w:eastAsia="宋体" w:cs="宋体"/>
          <w:color w:val="auto"/>
          <w:sz w:val="24"/>
        </w:rPr>
        <w:t>多种花草树木</w:t>
      </w:r>
      <w:r>
        <w:rPr>
          <w:rFonts w:hint="eastAsia" w:ascii="宋体" w:hAnsi="宋体" w:eastAsia="宋体" w:cs="宋体"/>
          <w:color w:val="auto"/>
          <w:sz w:val="24"/>
          <w:lang w:eastAsia="zh-CN"/>
        </w:rPr>
        <w:t>，</w:t>
      </w:r>
      <w:r>
        <w:rPr>
          <w:rFonts w:hint="eastAsia" w:ascii="宋体" w:hAnsi="宋体" w:eastAsia="宋体" w:cs="宋体"/>
          <w:color w:val="auto"/>
          <w:sz w:val="24"/>
        </w:rPr>
        <w:t>以起到绿化防尘、降噪功能</w:t>
      </w:r>
      <w:r>
        <w:rPr>
          <w:rFonts w:hint="eastAsia" w:ascii="宋体" w:hAnsi="宋体" w:eastAsia="宋体" w:cs="宋体"/>
          <w:color w:val="auto"/>
          <w:sz w:val="24"/>
          <w:lang w:eastAsia="zh-CN"/>
        </w:rPr>
        <w:t>。</w:t>
      </w:r>
    </w:p>
    <w:p>
      <w:pPr>
        <w:spacing w:line="360" w:lineRule="auto"/>
        <w:ind w:firstLine="480" w:firstLineChars="200"/>
        <w:jc w:val="both"/>
        <w:rPr>
          <w:rFonts w:hint="eastAsia" w:ascii="宋体" w:hAnsi="宋体" w:eastAsia="宋体" w:cs="宋体"/>
          <w:color w:val="auto"/>
          <w:sz w:val="24"/>
          <w:lang w:eastAsia="zh-CN"/>
        </w:rPr>
      </w:pPr>
      <w:r>
        <w:rPr>
          <w:rFonts w:hint="default" w:ascii="Times New Roman" w:hAnsi="Times New Roman" w:eastAsia="宋体" w:cs="Times New Roman"/>
          <w:color w:val="auto"/>
          <w:sz w:val="24"/>
          <w:lang w:val="en-US" w:eastAsia="zh-CN"/>
        </w:rPr>
        <w:t>3</w:t>
      </w:r>
      <w:r>
        <w:rPr>
          <w:rFonts w:hint="eastAsia" w:ascii="宋体" w:hAnsi="宋体" w:eastAsia="宋体" w:cs="宋体"/>
          <w:color w:val="auto"/>
          <w:sz w:val="24"/>
          <w:lang w:val="en-US" w:eastAsia="zh-CN"/>
        </w:rPr>
        <w:t>.</w:t>
      </w:r>
      <w:r>
        <w:rPr>
          <w:rFonts w:hint="eastAsia" w:ascii="宋体" w:hAnsi="宋体" w:eastAsia="宋体" w:cs="宋体"/>
          <w:color w:val="auto"/>
          <w:sz w:val="24"/>
        </w:rPr>
        <w:t>车间、厂区应保持整齐、清洁、卫生</w:t>
      </w:r>
      <w:r>
        <w:rPr>
          <w:rFonts w:hint="eastAsia" w:ascii="宋体" w:hAnsi="宋体" w:eastAsia="宋体" w:cs="宋体"/>
          <w:color w:val="auto"/>
          <w:sz w:val="24"/>
          <w:lang w:eastAsia="zh-CN"/>
        </w:rPr>
        <w:t>、</w:t>
      </w:r>
      <w:r>
        <w:rPr>
          <w:rFonts w:hint="eastAsia" w:ascii="宋体" w:hAnsi="宋体" w:eastAsia="宋体" w:cs="宋体"/>
          <w:color w:val="auto"/>
          <w:sz w:val="24"/>
        </w:rPr>
        <w:t>废料、各种生活垃圾应分别集中</w:t>
      </w:r>
      <w:r>
        <w:rPr>
          <w:rFonts w:hint="eastAsia" w:ascii="宋体" w:hAnsi="宋体" w:eastAsia="宋体" w:cs="宋体"/>
          <w:color w:val="auto"/>
          <w:sz w:val="24"/>
          <w:lang w:eastAsia="zh-CN"/>
        </w:rPr>
        <w:t>，</w:t>
      </w:r>
      <w:r>
        <w:rPr>
          <w:rFonts w:hint="eastAsia" w:ascii="宋体" w:hAnsi="宋体" w:eastAsia="宋体" w:cs="宋体"/>
          <w:color w:val="auto"/>
          <w:sz w:val="24"/>
        </w:rPr>
        <w:t>定点堆放</w:t>
      </w:r>
      <w:r>
        <w:rPr>
          <w:rFonts w:hint="eastAsia" w:ascii="宋体" w:hAnsi="宋体" w:eastAsia="宋体" w:cs="宋体"/>
          <w:color w:val="auto"/>
          <w:sz w:val="24"/>
          <w:lang w:eastAsia="zh-CN"/>
        </w:rPr>
        <w:t>，专</w:t>
      </w:r>
      <w:r>
        <w:rPr>
          <w:rFonts w:hint="eastAsia" w:ascii="宋体" w:hAnsi="宋体" w:eastAsia="宋体" w:cs="宋体"/>
          <w:color w:val="auto"/>
          <w:sz w:val="24"/>
        </w:rPr>
        <w:t>人负责</w:t>
      </w:r>
      <w:r>
        <w:rPr>
          <w:rFonts w:hint="eastAsia" w:ascii="宋体" w:hAnsi="宋体" w:eastAsia="宋体" w:cs="宋体"/>
          <w:color w:val="auto"/>
          <w:sz w:val="24"/>
          <w:lang w:eastAsia="zh-CN"/>
        </w:rPr>
        <w:t>。</w:t>
      </w:r>
    </w:p>
    <w:p>
      <w:pPr>
        <w:spacing w:line="360" w:lineRule="auto"/>
        <w:ind w:firstLine="480" w:firstLineChars="200"/>
        <w:jc w:val="both"/>
        <w:rPr>
          <w:rFonts w:hint="eastAsia" w:ascii="宋体" w:hAnsi="宋体" w:eastAsia="宋体" w:cs="宋体"/>
          <w:color w:val="auto"/>
        </w:rPr>
      </w:pPr>
      <w:r>
        <w:rPr>
          <w:rFonts w:hint="default" w:ascii="Times New Roman" w:hAnsi="Times New Roman" w:eastAsia="宋体" w:cs="Times New Roman"/>
          <w:color w:val="auto"/>
          <w:sz w:val="24"/>
        </w:rPr>
        <w:t>4</w:t>
      </w:r>
      <w:r>
        <w:rPr>
          <w:rFonts w:hint="eastAsia" w:ascii="宋体" w:hAnsi="宋体" w:eastAsia="宋体" w:cs="宋体"/>
          <w:color w:val="auto"/>
          <w:sz w:val="24"/>
          <w:lang w:val="en-US" w:eastAsia="zh-CN"/>
        </w:rPr>
        <w:t>.</w:t>
      </w:r>
      <w:r>
        <w:rPr>
          <w:rFonts w:hint="eastAsia" w:ascii="宋体" w:hAnsi="宋体" w:eastAsia="宋体" w:cs="宋体"/>
          <w:color w:val="auto"/>
          <w:sz w:val="24"/>
        </w:rPr>
        <w:t>积极配合环保部门的监督、监测等环保管理。建立健全环保机构</w:t>
      </w:r>
      <w:r>
        <w:rPr>
          <w:rFonts w:hint="eastAsia" w:ascii="宋体" w:hAnsi="宋体" w:eastAsia="宋体" w:cs="宋体"/>
          <w:color w:val="auto"/>
          <w:sz w:val="24"/>
          <w:lang w:eastAsia="zh-CN"/>
        </w:rPr>
        <w:t>，</w:t>
      </w:r>
      <w:r>
        <w:rPr>
          <w:rFonts w:hint="eastAsia" w:ascii="宋体" w:hAnsi="宋体" w:eastAsia="宋体" w:cs="宋体"/>
          <w:color w:val="auto"/>
          <w:sz w:val="24"/>
        </w:rPr>
        <w:t>分工负责</w:t>
      </w:r>
      <w:r>
        <w:rPr>
          <w:rFonts w:hint="eastAsia" w:ascii="宋体" w:hAnsi="宋体" w:eastAsia="宋体" w:cs="宋体"/>
          <w:color w:val="auto"/>
          <w:sz w:val="24"/>
          <w:lang w:eastAsia="zh-CN"/>
        </w:rPr>
        <w:t>，</w:t>
      </w:r>
      <w:r>
        <w:rPr>
          <w:rFonts w:hint="eastAsia" w:ascii="宋体" w:hAnsi="宋体" w:eastAsia="宋体" w:cs="宋体"/>
          <w:color w:val="auto"/>
          <w:sz w:val="24"/>
        </w:rPr>
        <w:t>加强</w:t>
      </w:r>
      <w:r>
        <w:rPr>
          <w:rFonts w:hint="eastAsia" w:ascii="宋体" w:hAnsi="宋体" w:eastAsia="宋体" w:cs="宋体"/>
          <w:color w:val="auto"/>
          <w:sz w:val="24"/>
          <w:lang w:eastAsia="zh-CN"/>
        </w:rPr>
        <w:t>监督，完善环境管理。</w:t>
      </w:r>
    </w:p>
    <w:p>
      <w:pPr>
        <w:spacing w:line="500" w:lineRule="exact"/>
        <w:outlineLvl w:val="0"/>
        <w:rPr>
          <w:rFonts w:hint="eastAsia" w:asciiTheme="minorEastAsia" w:hAnsiTheme="minorEastAsia" w:eastAsiaTheme="minorEastAsia"/>
          <w:sz w:val="24"/>
        </w:rPr>
      </w:pPr>
      <w:bookmarkStart w:id="171" w:name="_Toc21032"/>
      <w:r>
        <w:rPr>
          <w:rFonts w:hint="eastAsia" w:asciiTheme="minorEastAsia" w:hAnsiTheme="minorEastAsia" w:eastAsiaTheme="minorEastAsia"/>
          <w:sz w:val="24"/>
        </w:rPr>
        <w:t>附件1</w:t>
      </w:r>
      <w:r>
        <w:rPr>
          <w:rFonts w:hint="eastAsia" w:asciiTheme="minorEastAsia" w:hAnsiTheme="minorEastAsia" w:eastAsiaTheme="minorEastAsia"/>
          <w:sz w:val="24"/>
          <w:lang w:val="en-US" w:eastAsia="zh-CN"/>
        </w:rPr>
        <w:t>环评</w:t>
      </w:r>
      <w:r>
        <w:rPr>
          <w:rFonts w:hint="eastAsia" w:asciiTheme="minorEastAsia" w:hAnsiTheme="minorEastAsia" w:eastAsiaTheme="minorEastAsia"/>
          <w:sz w:val="24"/>
        </w:rPr>
        <w:t>批复</w:t>
      </w:r>
      <w:bookmarkEnd w:id="170"/>
      <w:bookmarkEnd w:id="171"/>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6116955" cy="8412480"/>
            <wp:effectExtent l="0" t="0" r="17145" b="7620"/>
            <wp:docPr id="13" name="图片 13"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批复1"/>
                    <pic:cNvPicPr>
                      <a:picLocks noChangeAspect="1"/>
                    </pic:cNvPicPr>
                  </pic:nvPicPr>
                  <pic:blipFill>
                    <a:blip r:embed="rId18"/>
                    <a:stretch>
                      <a:fillRect/>
                    </a:stretch>
                  </pic:blipFill>
                  <pic:spPr>
                    <a:xfrm>
                      <a:off x="0" y="0"/>
                      <a:ext cx="6116955" cy="8412480"/>
                    </a:xfrm>
                    <a:prstGeom prst="rect">
                      <a:avLst/>
                    </a:prstGeom>
                  </pic:spPr>
                </pic:pic>
              </a:graphicData>
            </a:graphic>
          </wp:inline>
        </w:drawing>
      </w:r>
      <w:r>
        <w:rPr>
          <w:rFonts w:hint="eastAsia" w:eastAsiaTheme="minorEastAsia"/>
          <w:lang w:eastAsia="zh-CN"/>
        </w:rPr>
        <w:drawing>
          <wp:inline distT="0" distB="0" distL="114300" distR="114300">
            <wp:extent cx="6116955" cy="8412480"/>
            <wp:effectExtent l="0" t="0" r="17145" b="7620"/>
            <wp:docPr id="12" name="图片 12"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批复2"/>
                    <pic:cNvPicPr>
                      <a:picLocks noChangeAspect="1"/>
                    </pic:cNvPicPr>
                  </pic:nvPicPr>
                  <pic:blipFill>
                    <a:blip r:embed="rId19"/>
                    <a:stretch>
                      <a:fillRect/>
                    </a:stretch>
                  </pic:blipFill>
                  <pic:spPr>
                    <a:xfrm>
                      <a:off x="0" y="0"/>
                      <a:ext cx="6116955" cy="8412480"/>
                    </a:xfrm>
                    <a:prstGeom prst="rect">
                      <a:avLst/>
                    </a:prstGeom>
                  </pic:spPr>
                </pic:pic>
              </a:graphicData>
            </a:graphic>
          </wp:inline>
        </w:drawing>
      </w:r>
      <w:r>
        <w:rPr>
          <w:rFonts w:hint="eastAsia" w:eastAsiaTheme="minorEastAsia"/>
          <w:lang w:eastAsia="zh-CN"/>
        </w:rPr>
        <w:drawing>
          <wp:inline distT="0" distB="0" distL="114300" distR="114300">
            <wp:extent cx="6116955" cy="8412480"/>
            <wp:effectExtent l="0" t="0" r="17145" b="7620"/>
            <wp:docPr id="11" name="图片 11" descr="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批复3"/>
                    <pic:cNvPicPr>
                      <a:picLocks noChangeAspect="1"/>
                    </pic:cNvPicPr>
                  </pic:nvPicPr>
                  <pic:blipFill>
                    <a:blip r:embed="rId20"/>
                    <a:stretch>
                      <a:fillRect/>
                    </a:stretch>
                  </pic:blipFill>
                  <pic:spPr>
                    <a:xfrm>
                      <a:off x="0" y="0"/>
                      <a:ext cx="6116955" cy="8412480"/>
                    </a:xfrm>
                    <a:prstGeom prst="rect">
                      <a:avLst/>
                    </a:prstGeom>
                  </pic:spPr>
                </pic:pic>
              </a:graphicData>
            </a:graphic>
          </wp:inline>
        </w:drawing>
      </w:r>
    </w:p>
    <w:p>
      <w:pPr>
        <w:spacing w:line="500" w:lineRule="exact"/>
        <w:outlineLvl w:val="0"/>
        <w:rPr>
          <w:rFonts w:hint="eastAsia" w:asciiTheme="minorEastAsia" w:hAnsiTheme="minorEastAsia" w:eastAsiaTheme="minorEastAsia"/>
          <w:sz w:val="24"/>
        </w:rPr>
      </w:pPr>
      <w:bookmarkStart w:id="172" w:name="_Toc4148"/>
      <w:bookmarkStart w:id="173" w:name="_Toc12229_WPSOffice_Level1"/>
    </w:p>
    <w:p>
      <w:pPr>
        <w:spacing w:line="500" w:lineRule="exact"/>
        <w:outlineLvl w:val="0"/>
        <w:rPr>
          <w:rFonts w:hint="eastAsia" w:asciiTheme="minorEastAsia" w:hAnsiTheme="minorEastAsia" w:eastAsiaTheme="minorEastAsia"/>
          <w:sz w:val="24"/>
          <w:lang w:val="en-US" w:eastAsia="zh-CN"/>
        </w:rPr>
      </w:pPr>
      <w:r>
        <w:rPr>
          <w:rFonts w:hint="eastAsia" w:asciiTheme="minorEastAsia" w:hAnsiTheme="minorEastAsia" w:eastAsiaTheme="minorEastAsia"/>
          <w:sz w:val="24"/>
        </w:rPr>
        <w:t>附件2生产负荷</w:t>
      </w:r>
      <w:r>
        <w:rPr>
          <w:rFonts w:hint="eastAsia" w:asciiTheme="minorEastAsia" w:hAnsiTheme="minorEastAsia" w:eastAsiaTheme="minorEastAsia"/>
          <w:sz w:val="24"/>
          <w:lang w:val="en-US" w:eastAsia="zh-CN"/>
        </w:rPr>
        <w:t>证明</w:t>
      </w:r>
      <w:bookmarkEnd w:id="172"/>
      <w:bookmarkEnd w:id="173"/>
    </w:p>
    <w:p>
      <w:pPr>
        <w:jc w:val="center"/>
        <w:rPr>
          <w:rFonts w:hint="eastAsia"/>
          <w:sz w:val="36"/>
          <w:szCs w:val="36"/>
        </w:rPr>
      </w:pPr>
    </w:p>
    <w:p>
      <w:pPr>
        <w:jc w:val="center"/>
        <w:rPr>
          <w:rFonts w:hint="eastAsia"/>
          <w:sz w:val="36"/>
          <w:szCs w:val="36"/>
          <w:lang w:val="en-US" w:eastAsia="zh-CN"/>
        </w:rPr>
      </w:pPr>
      <w:r>
        <w:rPr>
          <w:rFonts w:hint="eastAsia"/>
          <w:sz w:val="36"/>
          <w:szCs w:val="36"/>
        </w:rPr>
        <w:t>生产负荷</w:t>
      </w:r>
      <w:r>
        <w:rPr>
          <w:rFonts w:hint="eastAsia"/>
          <w:sz w:val="36"/>
          <w:szCs w:val="36"/>
          <w:lang w:val="en-US" w:eastAsia="zh-CN"/>
        </w:rPr>
        <w:t>证明</w:t>
      </w: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8"/>
          <w:szCs w:val="28"/>
          <w:lang w:val="en-US" w:eastAsia="zh-CN"/>
        </w:rPr>
      </w:pPr>
      <w:r>
        <w:rPr>
          <w:rFonts w:hint="eastAsia"/>
          <w:sz w:val="28"/>
          <w:szCs w:val="28"/>
          <w:lang w:val="en-US" w:eastAsia="zh-CN"/>
        </w:rPr>
        <w:t>兹证明本公司在环境验收检测期间生产负荷到达设计产能的80%。</w:t>
      </w: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pStyle w:val="2"/>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ind w:firstLine="560" w:firstLineChars="200"/>
        <w:jc w:val="center"/>
        <w:rPr>
          <w:rFonts w:hint="default" w:ascii="宋体" w:hAnsi="宋体" w:eastAsia="宋体" w:cs="宋体"/>
          <w:sz w:val="28"/>
          <w:szCs w:val="28"/>
        </w:rPr>
      </w:pP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t>厂</w:t>
      </w:r>
      <w:r>
        <w:rPr>
          <w:rFonts w:hint="default" w:ascii="宋体" w:hAnsi="宋体" w:eastAsia="宋体" w:cs="宋体"/>
          <w:sz w:val="28"/>
          <w:szCs w:val="28"/>
        </w:rPr>
        <w:t>家(章):</w:t>
      </w:r>
    </w:p>
    <w:p>
      <w:pPr>
        <w:ind w:firstLine="560" w:firstLineChars="200"/>
        <w:rPr>
          <w:rFonts w:hint="default" w:ascii="宋体" w:hAnsi="宋体" w:eastAsia="宋体" w:cs="宋体"/>
          <w:sz w:val="28"/>
          <w:szCs w:val="28"/>
        </w:rPr>
      </w:pPr>
    </w:p>
    <w:p>
      <w:pPr>
        <w:ind w:firstLine="560" w:firstLineChars="200"/>
        <w:jc w:val="center"/>
        <w:rPr>
          <w:rFonts w:hint="default" w:ascii="宋体" w:hAnsi="宋体" w:eastAsia="宋体" w:cs="宋体"/>
          <w:sz w:val="28"/>
          <w:szCs w:val="28"/>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2020</w:t>
      </w:r>
      <w:r>
        <w:rPr>
          <w:rFonts w:hint="default" w:ascii="宋体" w:hAnsi="宋体" w:eastAsia="宋体" w:cs="宋体"/>
          <w:sz w:val="28"/>
          <w:szCs w:val="28"/>
        </w:rPr>
        <w:t>年</w:t>
      </w:r>
      <w:r>
        <w:rPr>
          <w:rFonts w:hint="eastAsia" w:ascii="宋体" w:hAnsi="宋体" w:cs="宋体"/>
          <w:sz w:val="28"/>
          <w:szCs w:val="28"/>
          <w:lang w:val="en-US" w:eastAsia="zh-CN"/>
        </w:rPr>
        <w:t>09</w:t>
      </w:r>
      <w:r>
        <w:rPr>
          <w:rFonts w:hint="default" w:ascii="宋体" w:hAnsi="宋体" w:eastAsia="宋体" w:cs="宋体"/>
          <w:sz w:val="28"/>
          <w:szCs w:val="28"/>
        </w:rPr>
        <w:t>月</w:t>
      </w:r>
      <w:r>
        <w:rPr>
          <w:rFonts w:hint="eastAsia" w:ascii="宋体" w:hAnsi="宋体" w:cs="宋体"/>
          <w:sz w:val="28"/>
          <w:szCs w:val="28"/>
          <w:lang w:val="en-US" w:eastAsia="zh-CN"/>
        </w:rPr>
        <w:t>26</w:t>
      </w:r>
      <w:r>
        <w:rPr>
          <w:rFonts w:hint="default" w:ascii="宋体" w:hAnsi="宋体" w:eastAsia="宋体" w:cs="宋体"/>
          <w:sz w:val="28"/>
          <w:szCs w:val="28"/>
        </w:rPr>
        <w:t>日</w:t>
      </w:r>
    </w:p>
    <w:p>
      <w:pPr>
        <w:pStyle w:val="2"/>
        <w:ind w:left="0" w:leftChars="0" w:firstLine="0" w:firstLineChars="0"/>
        <w:rPr>
          <w:rFonts w:hint="eastAsia"/>
          <w:lang w:val="en-US" w:eastAsia="zh-CN"/>
        </w:rPr>
      </w:pPr>
    </w:p>
    <w:p>
      <w:pPr>
        <w:widowControl/>
        <w:jc w:val="both"/>
        <w:outlineLvl w:val="0"/>
        <w:rPr>
          <w:rFonts w:hint="eastAsia" w:asciiTheme="minorEastAsia" w:hAnsiTheme="minorEastAsia" w:eastAsiaTheme="minorEastAsia"/>
          <w:sz w:val="24"/>
        </w:rPr>
      </w:pPr>
      <w:bookmarkStart w:id="174" w:name="_Toc31346"/>
    </w:p>
    <w:p>
      <w:pPr>
        <w:widowControl/>
        <w:jc w:val="both"/>
        <w:outlineLvl w:val="0"/>
        <w:rPr>
          <w:rFonts w:hint="eastAsia" w:asciiTheme="minorEastAsia" w:hAnsiTheme="minorEastAsia" w:eastAsiaTheme="minorEastAsia"/>
          <w:sz w:val="24"/>
        </w:rPr>
      </w:pPr>
    </w:p>
    <w:p>
      <w:pPr>
        <w:widowControl/>
        <w:jc w:val="both"/>
        <w:outlineLvl w:val="0"/>
        <w:rPr>
          <w:rFonts w:hint="eastAsia" w:asciiTheme="minorEastAsia" w:hAnsiTheme="minorEastAsia" w:eastAsiaTheme="minorEastAsia"/>
          <w:sz w:val="24"/>
        </w:rPr>
      </w:pPr>
    </w:p>
    <w:p>
      <w:pPr>
        <w:widowControl/>
        <w:jc w:val="left"/>
        <w:outlineLvl w:val="0"/>
        <w:rPr>
          <w:rFonts w:hint="eastAsia" w:asciiTheme="minorEastAsia" w:hAnsiTheme="minorEastAsia" w:eastAsiaTheme="minorEastAsia"/>
          <w:sz w:val="24"/>
          <w:lang w:eastAsia="zh-CN"/>
        </w:rPr>
      </w:pPr>
      <w:r>
        <w:rPr>
          <w:rFonts w:hint="eastAsia" w:asciiTheme="minorEastAsia" w:hAnsiTheme="minorEastAsia" w:eastAsiaTheme="minorEastAsia"/>
          <w:sz w:val="24"/>
        </w:rPr>
        <w:t>附件</w:t>
      </w:r>
      <w:r>
        <w:rPr>
          <w:rFonts w:hint="eastAsia" w:asciiTheme="minorEastAsia" w:hAnsiTheme="minorEastAsia" w:eastAsiaTheme="minorEastAsia"/>
          <w:sz w:val="24"/>
          <w:lang w:val="en-US" w:eastAsia="zh-CN"/>
        </w:rPr>
        <w:t>3危废处置</w:t>
      </w:r>
      <w:r>
        <w:rPr>
          <w:rFonts w:hint="eastAsia" w:asciiTheme="minorEastAsia" w:hAnsiTheme="minorEastAsia" w:eastAsiaTheme="minorEastAsia"/>
          <w:i w:val="0"/>
          <w:iCs w:val="0"/>
          <w:sz w:val="24"/>
          <w:lang w:val="en-US" w:eastAsia="zh-CN"/>
        </w:rPr>
        <w:t>合同</w:t>
      </w:r>
      <w:r>
        <w:rPr>
          <w:rFonts w:hint="eastAsia" w:asciiTheme="minorEastAsia" w:hAnsiTheme="minorEastAsia" w:eastAsiaTheme="minorEastAsia"/>
          <w:sz w:val="24"/>
          <w:lang w:eastAsia="zh-CN"/>
        </w:rPr>
        <w:drawing>
          <wp:inline distT="0" distB="0" distL="114300" distR="114300">
            <wp:extent cx="5962015" cy="8466455"/>
            <wp:effectExtent l="0" t="0" r="635" b="10795"/>
            <wp:docPr id="45" name="图片 45" descr="ScanData_2020101310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ScanData_20201013103303-1"/>
                    <pic:cNvPicPr>
                      <a:picLocks noChangeAspect="1"/>
                    </pic:cNvPicPr>
                  </pic:nvPicPr>
                  <pic:blipFill>
                    <a:blip r:embed="rId21"/>
                    <a:stretch>
                      <a:fillRect/>
                    </a:stretch>
                  </pic:blipFill>
                  <pic:spPr>
                    <a:xfrm>
                      <a:off x="0" y="0"/>
                      <a:ext cx="5962015" cy="846645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44" name="图片 44" descr="ScanData_20201013103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canData_20201013103303-2"/>
                    <pic:cNvPicPr>
                      <a:picLocks noChangeAspect="1"/>
                    </pic:cNvPicPr>
                  </pic:nvPicPr>
                  <pic:blipFill>
                    <a:blip r:embed="rId22"/>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43" name="图片 43" descr="ScanData_20201013103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anData_20201013103303-3"/>
                    <pic:cNvPicPr>
                      <a:picLocks noChangeAspect="1"/>
                    </pic:cNvPicPr>
                  </pic:nvPicPr>
                  <pic:blipFill>
                    <a:blip r:embed="rId23"/>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42" name="图片 42" descr="ScanData_20201013103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canData_20201013103303-4"/>
                    <pic:cNvPicPr>
                      <a:picLocks noChangeAspect="1"/>
                    </pic:cNvPicPr>
                  </pic:nvPicPr>
                  <pic:blipFill>
                    <a:blip r:embed="rId24"/>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40" name="图片 40" descr="ScanData_20201013103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anData_20201013103303-5"/>
                    <pic:cNvPicPr>
                      <a:picLocks noChangeAspect="1"/>
                    </pic:cNvPicPr>
                  </pic:nvPicPr>
                  <pic:blipFill>
                    <a:blip r:embed="rId25"/>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37" name="图片 37" descr="ScanData_20201013103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anData_20201013103303-6"/>
                    <pic:cNvPicPr>
                      <a:picLocks noChangeAspect="1"/>
                    </pic:cNvPicPr>
                  </pic:nvPicPr>
                  <pic:blipFill>
                    <a:blip r:embed="rId26"/>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36" name="图片 36" descr="ScanData_20201013103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Data_20201013103303-7"/>
                    <pic:cNvPicPr>
                      <a:picLocks noChangeAspect="1"/>
                    </pic:cNvPicPr>
                  </pic:nvPicPr>
                  <pic:blipFill>
                    <a:blip r:embed="rId27"/>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34" name="图片 34" descr="ScanData_20201013103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anData_20201013103303-8"/>
                    <pic:cNvPicPr>
                      <a:picLocks noChangeAspect="1"/>
                    </pic:cNvPicPr>
                  </pic:nvPicPr>
                  <pic:blipFill>
                    <a:blip r:embed="rId28"/>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33" name="图片 33" descr="ScanData_20201013103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anData_20201013103303-9"/>
                    <pic:cNvPicPr>
                      <a:picLocks noChangeAspect="1"/>
                    </pic:cNvPicPr>
                  </pic:nvPicPr>
                  <pic:blipFill>
                    <a:blip r:embed="rId29"/>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7590" cy="8648065"/>
            <wp:effectExtent l="0" t="0" r="16510" b="635"/>
            <wp:docPr id="32" name="图片 32" descr="ScanData_20201013103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anData_20201013103303-10"/>
                    <pic:cNvPicPr>
                      <a:picLocks noChangeAspect="1"/>
                    </pic:cNvPicPr>
                  </pic:nvPicPr>
                  <pic:blipFill>
                    <a:blip r:embed="rId30"/>
                    <a:stretch>
                      <a:fillRect/>
                    </a:stretch>
                  </pic:blipFill>
                  <pic:spPr>
                    <a:xfrm>
                      <a:off x="0" y="0"/>
                      <a:ext cx="6117590" cy="8648065"/>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6955" cy="8412480"/>
            <wp:effectExtent l="0" t="0" r="17145" b="7620"/>
            <wp:docPr id="48" name="图片 4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01"/>
                    <pic:cNvPicPr>
                      <a:picLocks noChangeAspect="1"/>
                    </pic:cNvPicPr>
                  </pic:nvPicPr>
                  <pic:blipFill>
                    <a:blip r:embed="rId31"/>
                    <a:stretch>
                      <a:fillRect/>
                    </a:stretch>
                  </pic:blipFill>
                  <pic:spPr>
                    <a:xfrm>
                      <a:off x="0" y="0"/>
                      <a:ext cx="6116955" cy="8412480"/>
                    </a:xfrm>
                    <a:prstGeom prst="rect">
                      <a:avLst/>
                    </a:prstGeom>
                  </pic:spPr>
                </pic:pic>
              </a:graphicData>
            </a:graphic>
          </wp:inline>
        </w:drawing>
      </w:r>
      <w:r>
        <w:rPr>
          <w:rFonts w:hint="eastAsia" w:asciiTheme="minorEastAsia" w:hAnsiTheme="minorEastAsia" w:eastAsiaTheme="minorEastAsia"/>
          <w:sz w:val="24"/>
          <w:lang w:eastAsia="zh-CN"/>
        </w:rPr>
        <w:drawing>
          <wp:inline distT="0" distB="0" distL="114300" distR="114300">
            <wp:extent cx="6116955" cy="8412480"/>
            <wp:effectExtent l="0" t="0" r="17145" b="7620"/>
            <wp:docPr id="47" name="图片 4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02"/>
                    <pic:cNvPicPr>
                      <a:picLocks noChangeAspect="1"/>
                    </pic:cNvPicPr>
                  </pic:nvPicPr>
                  <pic:blipFill>
                    <a:blip r:embed="rId32"/>
                    <a:stretch>
                      <a:fillRect/>
                    </a:stretch>
                  </pic:blipFill>
                  <pic:spPr>
                    <a:xfrm>
                      <a:off x="0" y="0"/>
                      <a:ext cx="6116955" cy="8412480"/>
                    </a:xfrm>
                    <a:prstGeom prst="rect">
                      <a:avLst/>
                    </a:prstGeom>
                  </pic:spPr>
                </pic:pic>
              </a:graphicData>
            </a:graphic>
          </wp:inline>
        </w:drawing>
      </w:r>
    </w:p>
    <w:p>
      <w:pPr>
        <w:widowControl/>
        <w:jc w:val="both"/>
        <w:outlineLvl w:val="0"/>
        <w:rPr>
          <w:rFonts w:hint="eastAsia" w:asciiTheme="minorEastAsia" w:hAnsiTheme="minorEastAsia" w:eastAsiaTheme="minorEastAsia"/>
          <w:sz w:val="24"/>
        </w:rPr>
      </w:pPr>
    </w:p>
    <w:p>
      <w:pPr>
        <w:widowControl/>
        <w:jc w:val="both"/>
        <w:outlineLvl w:val="0"/>
        <w:rPr>
          <w:rFonts w:hint="eastAsia" w:asciiTheme="minorEastAsia" w:hAnsiTheme="minorEastAsia" w:eastAsiaTheme="minorEastAsia"/>
          <w:sz w:val="24"/>
        </w:rPr>
      </w:pPr>
    </w:p>
    <w:p>
      <w:pPr>
        <w:widowControl/>
        <w:jc w:val="both"/>
        <w:outlineLvl w:val="0"/>
        <w:rPr>
          <w:rFonts w:hint="eastAsia" w:asciiTheme="minorEastAsia" w:hAnsiTheme="minorEastAsia" w:eastAsiaTheme="minorEastAsia"/>
          <w:sz w:val="24"/>
          <w:lang w:val="en-US" w:eastAsia="zh-CN"/>
        </w:rPr>
      </w:pPr>
      <w:r>
        <w:rPr>
          <w:rFonts w:hint="eastAsia" w:asciiTheme="minorEastAsia" w:hAnsiTheme="minorEastAsia" w:eastAsiaTheme="minorEastAsia"/>
          <w:sz w:val="24"/>
        </w:rPr>
        <w:t>附件</w:t>
      </w:r>
      <w:bookmarkEnd w:id="174"/>
      <w:bookmarkStart w:id="175" w:name="_Toc30851"/>
      <w:r>
        <w:rPr>
          <w:rFonts w:hint="eastAsia" w:asciiTheme="minorEastAsia" w:hAnsiTheme="minorEastAsia" w:eastAsiaTheme="minorEastAsia"/>
          <w:sz w:val="24"/>
          <w:lang w:val="en-US" w:eastAsia="zh-CN"/>
        </w:rPr>
        <w:t>4检测报告</w:t>
      </w:r>
      <w:bookmarkEnd w:id="175"/>
    </w:p>
    <w:p>
      <w:r>
        <w:drawing>
          <wp:inline distT="0" distB="0" distL="114300" distR="114300">
            <wp:extent cx="5947410" cy="8409305"/>
            <wp:effectExtent l="0" t="0" r="15240"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3"/>
                    <a:stretch>
                      <a:fillRect/>
                    </a:stretch>
                  </pic:blipFill>
                  <pic:spPr>
                    <a:xfrm>
                      <a:off x="0" y="0"/>
                      <a:ext cx="5947410" cy="8409305"/>
                    </a:xfrm>
                    <a:prstGeom prst="rect">
                      <a:avLst/>
                    </a:prstGeom>
                    <a:noFill/>
                    <a:ln>
                      <a:noFill/>
                    </a:ln>
                  </pic:spPr>
                </pic:pic>
              </a:graphicData>
            </a:graphic>
          </wp:inline>
        </w:drawing>
      </w:r>
      <w:r>
        <w:drawing>
          <wp:inline distT="0" distB="0" distL="114300" distR="114300">
            <wp:extent cx="6117590" cy="8649970"/>
            <wp:effectExtent l="0" t="0" r="1651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5"/>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6"/>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7"/>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8"/>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9"/>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0"/>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1"/>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2"/>
                    <a:stretch>
                      <a:fillRect/>
                    </a:stretch>
                  </pic:blipFill>
                  <pic:spPr>
                    <a:xfrm>
                      <a:off x="0" y="0"/>
                      <a:ext cx="6117590" cy="8649970"/>
                    </a:xfrm>
                    <a:prstGeom prst="rect">
                      <a:avLst/>
                    </a:prstGeom>
                    <a:noFill/>
                    <a:ln>
                      <a:noFill/>
                    </a:ln>
                  </pic:spPr>
                </pic:pic>
              </a:graphicData>
            </a:graphic>
          </wp:inline>
        </w:drawing>
      </w:r>
      <w:r>
        <w:drawing>
          <wp:inline distT="0" distB="0" distL="114300" distR="114300">
            <wp:extent cx="6117590" cy="8649970"/>
            <wp:effectExtent l="0" t="0" r="16510" b="1778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3"/>
                    <a:stretch>
                      <a:fillRect/>
                    </a:stretch>
                  </pic:blipFill>
                  <pic:spPr>
                    <a:xfrm>
                      <a:off x="0" y="0"/>
                      <a:ext cx="6117590" cy="8649970"/>
                    </a:xfrm>
                    <a:prstGeom prst="rect">
                      <a:avLst/>
                    </a:prstGeom>
                    <a:noFill/>
                    <a:ln>
                      <a:noFill/>
                    </a:ln>
                  </pic:spPr>
                </pic:pic>
              </a:graphicData>
            </a:graphic>
          </wp:inline>
        </w:drawing>
      </w:r>
    </w:p>
    <w:p>
      <w:pPr>
        <w:pStyle w:val="2"/>
        <w:rPr>
          <w:rFonts w:hint="eastAsia" w:asciiTheme="minorEastAsia" w:hAnsiTheme="minorEastAsia" w:eastAsiaTheme="minorEastAsia"/>
          <w:sz w:val="24"/>
        </w:rPr>
      </w:pPr>
    </w:p>
    <w:p>
      <w:pPr>
        <w:pStyle w:val="2"/>
        <w:ind w:left="0" w:leftChars="0" w:firstLine="0" w:firstLineChars="0"/>
        <w:jc w:val="left"/>
        <w:rPr>
          <w:rFonts w:hint="eastAsia"/>
          <w:lang w:eastAsia="zh-CN"/>
        </w:rPr>
      </w:pPr>
      <w:r>
        <w:rPr>
          <w:rFonts w:hint="eastAsia" w:asciiTheme="minorEastAsia" w:hAnsiTheme="minorEastAsia" w:eastAsiaTheme="minorEastAsia"/>
          <w:sz w:val="24"/>
        </w:rPr>
        <w:t>附件</w:t>
      </w:r>
      <w:r>
        <w:rPr>
          <w:rFonts w:hint="eastAsia" w:asciiTheme="minorEastAsia" w:hAnsiTheme="minorEastAsia" w:eastAsiaTheme="minorEastAsia"/>
          <w:sz w:val="24"/>
          <w:lang w:val="en-US" w:eastAsia="zh-CN"/>
        </w:rPr>
        <w:t>5项目转让变更协议</w:t>
      </w:r>
      <w:r>
        <w:rPr>
          <w:rFonts w:hint="eastAsia"/>
          <w:lang w:eastAsia="zh-CN"/>
        </w:rPr>
        <w:drawing>
          <wp:inline distT="0" distB="0" distL="114300" distR="114300">
            <wp:extent cx="5751830" cy="7910830"/>
            <wp:effectExtent l="0" t="0" r="1270" b="13970"/>
            <wp:docPr id="49" name="图片 49" descr="83f4b9562b28a7b426033a07714e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3f4b9562b28a7b426033a07714ef7f"/>
                    <pic:cNvPicPr>
                      <a:picLocks noChangeAspect="1"/>
                    </pic:cNvPicPr>
                  </pic:nvPicPr>
                  <pic:blipFill>
                    <a:blip r:embed="rId44"/>
                    <a:stretch>
                      <a:fillRect/>
                    </a:stretch>
                  </pic:blipFill>
                  <pic:spPr>
                    <a:xfrm>
                      <a:off x="0" y="0"/>
                      <a:ext cx="5751830" cy="7910830"/>
                    </a:xfrm>
                    <a:prstGeom prst="rect">
                      <a:avLst/>
                    </a:prstGeom>
                  </pic:spPr>
                </pic:pic>
              </a:graphicData>
            </a:graphic>
          </wp:inline>
        </w:drawing>
      </w:r>
      <w:r>
        <w:rPr>
          <w:rFonts w:hint="eastAsia"/>
          <w:lang w:eastAsia="zh-CN"/>
        </w:rPr>
        <w:drawing>
          <wp:inline distT="0" distB="0" distL="114300" distR="114300">
            <wp:extent cx="5534025" cy="7620000"/>
            <wp:effectExtent l="0" t="0" r="9525" b="0"/>
            <wp:docPr id="50" name="图片 50" descr="06cfab2338a87d7cf8a789ea09f5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6cfab2338a87d7cf8a789ea09f522f"/>
                    <pic:cNvPicPr>
                      <a:picLocks noChangeAspect="1"/>
                    </pic:cNvPicPr>
                  </pic:nvPicPr>
                  <pic:blipFill>
                    <a:blip r:embed="rId45"/>
                    <a:stretch>
                      <a:fillRect/>
                    </a:stretch>
                  </pic:blipFill>
                  <pic:spPr>
                    <a:xfrm>
                      <a:off x="0" y="0"/>
                      <a:ext cx="5534025" cy="7620000"/>
                    </a:xfrm>
                    <a:prstGeom prst="rect">
                      <a:avLst/>
                    </a:prstGeom>
                  </pic:spPr>
                </pic:pic>
              </a:graphicData>
            </a:graphic>
          </wp:inline>
        </w:drawing>
      </w:r>
    </w:p>
    <w:p>
      <w:pPr>
        <w:pStyle w:val="2"/>
        <w:rPr>
          <w:rFonts w:hint="eastAsia"/>
          <w:lang w:eastAsia="zh-CN"/>
        </w:rPr>
      </w:pPr>
    </w:p>
    <w:p>
      <w:pPr>
        <w:pStyle w:val="2"/>
        <w:rPr>
          <w:rFonts w:hint="eastAsia"/>
          <w:lang w:eastAsia="zh-CN"/>
        </w:rPr>
        <w:sectPr>
          <w:footerReference r:id="rId10" w:type="default"/>
          <w:pgSz w:w="11906" w:h="16838"/>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lang w:eastAsia="zh-CN"/>
        </w:rPr>
        <w:drawing>
          <wp:inline distT="0" distB="0" distL="114300" distR="114300">
            <wp:extent cx="6012815" cy="8269605"/>
            <wp:effectExtent l="0" t="0" r="6985" b="17145"/>
            <wp:docPr id="51" name="图片 51" descr="83a4ee6271aa10281460d9d3262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3a4ee6271aa10281460d9d32622256"/>
                    <pic:cNvPicPr>
                      <a:picLocks noChangeAspect="1"/>
                    </pic:cNvPicPr>
                  </pic:nvPicPr>
                  <pic:blipFill>
                    <a:blip r:embed="rId46"/>
                    <a:stretch>
                      <a:fillRect/>
                    </a:stretch>
                  </pic:blipFill>
                  <pic:spPr>
                    <a:xfrm>
                      <a:off x="0" y="0"/>
                      <a:ext cx="6012815" cy="8269605"/>
                    </a:xfrm>
                    <a:prstGeom prst="rect">
                      <a:avLst/>
                    </a:prstGeom>
                  </pic:spPr>
                </pic:pic>
              </a:graphicData>
            </a:graphic>
          </wp:inline>
        </w:drawing>
      </w:r>
    </w:p>
    <w:p>
      <w:pPr>
        <w:spacing w:line="500" w:lineRule="exact"/>
        <w:jc w:val="center"/>
        <w:outlineLvl w:val="0"/>
        <w:rPr>
          <w:rFonts w:hint="eastAsia" w:ascii="黑体" w:eastAsia="黑体"/>
          <w:b/>
          <w:sz w:val="36"/>
          <w:szCs w:val="36"/>
        </w:rPr>
      </w:pPr>
      <w:bookmarkStart w:id="176" w:name="_Toc2594"/>
      <w:bookmarkStart w:id="177" w:name="_Toc14397_WPSOffice_Level1"/>
      <w:bookmarkStart w:id="178" w:name="_Toc1837_WPSOffice_Level1"/>
      <w:r>
        <w:rPr>
          <w:rFonts w:hint="eastAsia" w:ascii="黑体" w:eastAsia="黑体"/>
          <w:b/>
          <w:sz w:val="36"/>
          <w:szCs w:val="36"/>
        </w:rPr>
        <w:t>建设项目工程竣工环境保护“三同时”</w:t>
      </w:r>
      <w:bookmarkEnd w:id="176"/>
    </w:p>
    <w:p>
      <w:pPr>
        <w:spacing w:line="500" w:lineRule="exact"/>
        <w:jc w:val="center"/>
        <w:outlineLvl w:val="0"/>
        <w:rPr>
          <w:rFonts w:ascii="黑体" w:eastAsia="黑体"/>
          <w:b/>
          <w:sz w:val="36"/>
          <w:szCs w:val="36"/>
        </w:rPr>
      </w:pPr>
      <w:bookmarkStart w:id="179" w:name="_Toc11077"/>
      <w:r>
        <w:rPr>
          <w:rFonts w:hint="eastAsia" w:ascii="黑体" w:eastAsia="黑体"/>
          <w:b/>
          <w:sz w:val="36"/>
          <w:szCs w:val="36"/>
        </w:rPr>
        <w:t>验收登记表</w:t>
      </w:r>
      <w:bookmarkEnd w:id="177"/>
      <w:bookmarkEnd w:id="178"/>
      <w:bookmarkEnd w:id="179"/>
    </w:p>
    <w:p>
      <w:pPr>
        <w:jc w:val="left"/>
        <w:rPr>
          <w:szCs w:val="21"/>
        </w:rPr>
      </w:pPr>
      <w:r>
        <w:rPr>
          <w:rFonts w:hint="eastAsia" w:ascii="宋体" w:hAnsi="宋体" w:eastAsia="宋体" w:cs="宋体"/>
          <w:szCs w:val="21"/>
        </w:rPr>
        <w:t>填表单位（盖章）：</w:t>
      </w:r>
      <w:r>
        <w:rPr>
          <w:rFonts w:hint="eastAsia" w:ascii="Times New Roman" w:hAnsi="Times New Roman" w:cs="Times New Roman"/>
          <w:sz w:val="21"/>
          <w:szCs w:val="21"/>
          <w:lang w:val="en-US" w:eastAsia="zh-CN"/>
        </w:rPr>
        <w:t>山东民基新材料科技有限公司</w:t>
      </w:r>
      <w:r>
        <w:rPr>
          <w:rFonts w:hint="eastAsia" w:ascii="宋体" w:hAnsi="宋体" w:eastAsia="宋体" w:cs="宋体"/>
          <w:color w:val="auto"/>
          <w:szCs w:val="21"/>
        </w:rPr>
        <w:t xml:space="preserve">   </w:t>
      </w:r>
      <w:r>
        <w:rPr>
          <w:rFonts w:hint="eastAsia" w:ascii="宋体" w:hAnsi="宋体" w:eastAsia="宋体" w:cs="宋体"/>
          <w:color w:val="C00000"/>
          <w:szCs w:val="21"/>
        </w:rPr>
        <w:t xml:space="preserve"> </w:t>
      </w:r>
      <w:r>
        <w:rPr>
          <w:rFonts w:hint="eastAsia" w:ascii="宋体" w:hAnsi="宋体" w:eastAsia="宋体" w:cs="宋体"/>
          <w:szCs w:val="21"/>
        </w:rPr>
        <w:t xml:space="preserve">   填表人（签字）：                                项目经办人（签字）：            </w:t>
      </w:r>
      <w:r>
        <w:rPr>
          <w:szCs w:val="21"/>
        </w:rPr>
        <w:t xml:space="preserve">  </w:t>
      </w:r>
    </w:p>
    <w:tbl>
      <w:tblPr>
        <w:tblStyle w:val="28"/>
        <w:tblW w:w="15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962"/>
        <w:gridCol w:w="765"/>
        <w:gridCol w:w="1241"/>
        <w:gridCol w:w="949"/>
        <w:gridCol w:w="234"/>
        <w:gridCol w:w="1108"/>
        <w:gridCol w:w="146"/>
        <w:gridCol w:w="934"/>
        <w:gridCol w:w="2046"/>
        <w:gridCol w:w="1478"/>
        <w:gridCol w:w="1539"/>
        <w:gridCol w:w="735"/>
        <w:gridCol w:w="1305"/>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restart"/>
            <w:tcBorders>
              <w:tl2br w:val="nil"/>
              <w:tr2bl w:val="nil"/>
            </w:tcBorders>
            <w:textDirection w:val="tbRlV"/>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建 设 项 目</w:t>
            </w: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项目名称</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30万t/a硫磺制酸搬迁改造项目</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项目代码</w:t>
            </w:r>
          </w:p>
        </w:tc>
        <w:tc>
          <w:tcPr>
            <w:tcW w:w="1478" w:type="dxa"/>
            <w:tcBorders>
              <w:tl2br w:val="nil"/>
              <w:tr2bl w:val="nil"/>
            </w:tcBorders>
            <w:vAlign w:val="center"/>
          </w:tcPr>
          <w:p>
            <w:pPr>
              <w:jc w:val="center"/>
              <w:rPr>
                <w:rFonts w:hint="default" w:ascii="Times New Roman" w:hAnsi="Times New Roman" w:eastAsia="宋体" w:cs="Times New Roman"/>
                <w:color w:val="C00000"/>
                <w:sz w:val="21"/>
                <w:szCs w:val="21"/>
              </w:rPr>
            </w:pP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2669" w:type="dxa"/>
            <w:gridSpan w:val="3"/>
            <w:tcBorders>
              <w:tl2br w:val="nil"/>
              <w:tr2bl w:val="nil"/>
            </w:tcBorders>
            <w:vAlign w:val="center"/>
          </w:tcPr>
          <w:p>
            <w:pPr>
              <w:jc w:val="lef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张店区东部化工区山东民基新材料科技有限公司厂区内预留用地上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行业类别（分类管理名录）</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C2611无机酸制造</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建设性质</w:t>
            </w:r>
          </w:p>
        </w:tc>
        <w:tc>
          <w:tcPr>
            <w:tcW w:w="5686" w:type="dxa"/>
            <w:gridSpan w:val="5"/>
            <w:tcBorders>
              <w:tl2br w:val="nil"/>
              <w:tr2bl w:val="nil"/>
            </w:tcBorders>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 xml:space="preserve">新 建   </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 xml:space="preserve">改 扩 建   </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设计生产能力</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年产</w:t>
            </w:r>
            <w:r>
              <w:rPr>
                <w:rFonts w:hint="eastAsia" w:cs="Times New Roman"/>
                <w:sz w:val="21"/>
                <w:szCs w:val="21"/>
                <w:lang w:eastAsia="zh-CN"/>
              </w:rPr>
              <w:t>硫酸</w:t>
            </w:r>
            <w:r>
              <w:rPr>
                <w:rFonts w:hint="eastAsia" w:cs="Times New Roman"/>
                <w:sz w:val="21"/>
                <w:szCs w:val="21"/>
                <w:lang w:val="en-US" w:eastAsia="zh-CN"/>
              </w:rPr>
              <w:t>30万</w:t>
            </w:r>
            <w:r>
              <w:rPr>
                <w:rFonts w:hint="default" w:ascii="Times New Roman" w:hAnsi="Times New Roman" w:eastAsia="宋体" w:cs="Times New Roman"/>
                <w:sz w:val="21"/>
                <w:szCs w:val="21"/>
              </w:rPr>
              <w:t>吨</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实际生产能力</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年产</w:t>
            </w:r>
            <w:r>
              <w:rPr>
                <w:rFonts w:hint="eastAsia" w:cs="Times New Roman"/>
                <w:sz w:val="21"/>
                <w:szCs w:val="21"/>
                <w:lang w:eastAsia="zh-CN"/>
              </w:rPr>
              <w:t>硫酸</w:t>
            </w:r>
            <w:r>
              <w:rPr>
                <w:rFonts w:hint="eastAsia" w:cs="Times New Roman"/>
                <w:sz w:val="21"/>
                <w:szCs w:val="21"/>
                <w:lang w:val="en-US" w:eastAsia="zh-CN"/>
              </w:rPr>
              <w:t>30万</w:t>
            </w:r>
            <w:r>
              <w:rPr>
                <w:rFonts w:hint="default" w:ascii="Times New Roman" w:hAnsi="Times New Roman" w:eastAsia="宋体" w:cs="Times New Roman"/>
                <w:sz w:val="21"/>
                <w:szCs w:val="21"/>
              </w:rPr>
              <w:t>吨</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环评单位</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eastAsia="zh-CN"/>
              </w:rPr>
              <w:t>山东海美侬项目咨询有限公司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环评文件审批机关</w:t>
            </w:r>
          </w:p>
        </w:tc>
        <w:tc>
          <w:tcPr>
            <w:tcW w:w="4297" w:type="dxa"/>
            <w:gridSpan w:val="5"/>
            <w:tcBorders>
              <w:tl2br w:val="nil"/>
              <w:tr2bl w:val="nil"/>
            </w:tcBorders>
            <w:vAlign w:val="center"/>
          </w:tcPr>
          <w:p>
            <w:pPr>
              <w:pStyle w:val="2"/>
              <w:ind w:left="0" w:leftChars="0" w:firstLine="0" w:firstLineChars="0"/>
              <w:jc w:val="center"/>
              <w:rPr>
                <w:rFonts w:hint="default"/>
                <w:color w:val="auto"/>
                <w:sz w:val="21"/>
                <w:szCs w:val="21"/>
                <w:lang w:val="en-US"/>
              </w:rPr>
            </w:pPr>
            <w:r>
              <w:rPr>
                <w:rFonts w:hint="eastAsia" w:cs="Times New Roman"/>
                <w:color w:val="auto"/>
                <w:spacing w:val="-2"/>
                <w:sz w:val="21"/>
                <w:szCs w:val="21"/>
                <w:lang w:val="en-US" w:eastAsia="zh-CN"/>
              </w:rPr>
              <w:t>淄博市环境保护局</w:t>
            </w:r>
          </w:p>
        </w:tc>
        <w:tc>
          <w:tcPr>
            <w:tcW w:w="3126" w:type="dxa"/>
            <w:gridSpan w:val="3"/>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审批文号</w:t>
            </w:r>
            <w:r>
              <w:rPr>
                <w:rFonts w:hint="eastAsia" w:cs="Times New Roman"/>
                <w:sz w:val="21"/>
                <w:szCs w:val="21"/>
                <w:lang w:val="en-US" w:eastAsia="zh-CN"/>
              </w:rPr>
              <w:t xml:space="preserve"> </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淄环审[2016]52号</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环评文件类型</w:t>
            </w:r>
          </w:p>
        </w:tc>
        <w:tc>
          <w:tcPr>
            <w:tcW w:w="2669" w:type="dxa"/>
            <w:gridSpan w:val="3"/>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highlight w:val="yellow"/>
              </w:rPr>
            </w:pPr>
            <w:r>
              <w:rPr>
                <w:rFonts w:hint="default" w:ascii="Times New Roman" w:hAnsi="Times New Roman" w:eastAsia="宋体" w:cs="Times New Roman"/>
                <w:szCs w:val="21"/>
                <w:highlight w:val="none"/>
              </w:rPr>
              <w:t>开工日期</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highlight w:val="yellow"/>
              </w:rPr>
            </w:pP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竣工日期</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排污许可证申领时间</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环保设施设计单位</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rPr>
            </w:pPr>
            <w:r>
              <w:rPr>
                <w:rFonts w:hint="eastAsia" w:ascii="Times New Roman" w:hAnsi="Times New Roman" w:cs="Times New Roman"/>
                <w:sz w:val="21"/>
                <w:szCs w:val="21"/>
                <w:lang w:val="en-US" w:eastAsia="zh-CN"/>
              </w:rPr>
              <w:t>山东民基新材料科技有限公司</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环保设施施工单位</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本工程排污许可证编号</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验收单位</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环保设施监测单位</w:t>
            </w:r>
          </w:p>
        </w:tc>
        <w:tc>
          <w:tcPr>
            <w:tcW w:w="1478" w:type="dxa"/>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山东方杰环境检测有限公司</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验收监测时工况</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82%-85</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投资总概算（万元）</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8249.42</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环保投资总概算（万元）</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350</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所占比例（%）</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实际总投资（万元）</w:t>
            </w:r>
          </w:p>
        </w:tc>
        <w:tc>
          <w:tcPr>
            <w:tcW w:w="4297" w:type="dxa"/>
            <w:gridSpan w:val="5"/>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8249.42</w:t>
            </w:r>
          </w:p>
        </w:tc>
        <w:tc>
          <w:tcPr>
            <w:tcW w:w="3126" w:type="dxa"/>
            <w:gridSpan w:val="3"/>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实际环保投资（万元）</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350</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所占比例（%）</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废水治理（万元）</w:t>
            </w:r>
          </w:p>
        </w:tc>
        <w:tc>
          <w:tcPr>
            <w:tcW w:w="76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241"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废气治理（万元）</w:t>
            </w:r>
          </w:p>
        </w:tc>
        <w:tc>
          <w:tcPr>
            <w:tcW w:w="1183"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260</w:t>
            </w:r>
          </w:p>
        </w:tc>
        <w:tc>
          <w:tcPr>
            <w:tcW w:w="1254"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噪声治理（万元）</w:t>
            </w:r>
          </w:p>
        </w:tc>
        <w:tc>
          <w:tcPr>
            <w:tcW w:w="934"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w:t>
            </w:r>
          </w:p>
        </w:tc>
        <w:tc>
          <w:tcPr>
            <w:tcW w:w="2046"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固废治理（万元）</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绿化及生态</w:t>
            </w:r>
          </w:p>
        </w:tc>
        <w:tc>
          <w:tcPr>
            <w:tcW w:w="735" w:type="dxa"/>
            <w:tcBorders>
              <w:tl2br w:val="nil"/>
              <w:tr2bl w:val="nil"/>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30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其它（万元）</w:t>
            </w:r>
          </w:p>
        </w:tc>
        <w:tc>
          <w:tcPr>
            <w:tcW w:w="629" w:type="dxa"/>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43" w:type="dxa"/>
            <w:vMerge w:val="continue"/>
            <w:tcBorders>
              <w:tl2br w:val="nil"/>
              <w:tr2bl w:val="nil"/>
            </w:tcBorders>
            <w:vAlign w:val="center"/>
          </w:tcPr>
          <w:p>
            <w:pPr>
              <w:jc w:val="center"/>
              <w:rPr>
                <w:rFonts w:hint="default" w:ascii="Times New Roman" w:hAnsi="Times New Roman" w:eastAsia="宋体" w:cs="Times New Roman"/>
                <w:szCs w:val="21"/>
              </w:rPr>
            </w:pPr>
          </w:p>
        </w:tc>
        <w:tc>
          <w:tcPr>
            <w:tcW w:w="1962" w:type="dxa"/>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新增废水处理能力</w:t>
            </w:r>
          </w:p>
        </w:tc>
        <w:tc>
          <w:tcPr>
            <w:tcW w:w="4443" w:type="dxa"/>
            <w:gridSpan w:val="6"/>
            <w:tcBorders>
              <w:tl2br w:val="nil"/>
              <w:tr2bl w:val="nil"/>
            </w:tcBorders>
            <w:vAlign w:val="center"/>
          </w:tcPr>
          <w:p>
            <w:pPr>
              <w:jc w:val="center"/>
              <w:rPr>
                <w:rFonts w:hint="default" w:ascii="Times New Roman" w:hAnsi="Times New Roman" w:eastAsia="宋体" w:cs="Times New Roman"/>
                <w:sz w:val="21"/>
                <w:szCs w:val="21"/>
              </w:rPr>
            </w:pPr>
          </w:p>
        </w:tc>
        <w:tc>
          <w:tcPr>
            <w:tcW w:w="2980" w:type="dxa"/>
            <w:gridSpan w:val="2"/>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新增废气处理设施能力</w:t>
            </w:r>
          </w:p>
        </w:tc>
        <w:tc>
          <w:tcPr>
            <w:tcW w:w="1478" w:type="dxa"/>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539"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年平均工作时</w:t>
            </w:r>
          </w:p>
        </w:tc>
        <w:tc>
          <w:tcPr>
            <w:tcW w:w="2669" w:type="dxa"/>
            <w:gridSpan w:val="3"/>
            <w:tcBorders>
              <w:tl2br w:val="nil"/>
              <w:tr2bl w:val="nil"/>
            </w:tcBorders>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8000</w:t>
            </w:r>
            <w:r>
              <w:rPr>
                <w:rFonts w:hint="default" w:ascii="Times New Roman" w:hAnsi="Times New Roman" w:eastAsia="宋体" w:cs="Times New Roman"/>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505" w:type="dxa"/>
            <w:gridSpan w:val="2"/>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运营单位</w:t>
            </w:r>
          </w:p>
        </w:tc>
        <w:tc>
          <w:tcPr>
            <w:tcW w:w="2955" w:type="dxa"/>
            <w:gridSpan w:val="3"/>
            <w:tcBorders>
              <w:tl2br w:val="nil"/>
              <w:tr2bl w:val="nil"/>
            </w:tcBorders>
            <w:vAlign w:val="center"/>
          </w:tcPr>
          <w:p>
            <w:pPr>
              <w:jc w:val="center"/>
              <w:rPr>
                <w:rFonts w:hint="default" w:ascii="Times New Roman" w:hAnsi="Times New Roman" w:eastAsia="宋体" w:cs="Times New Roman"/>
                <w:sz w:val="21"/>
                <w:szCs w:val="21"/>
              </w:rPr>
            </w:pPr>
          </w:p>
        </w:tc>
        <w:tc>
          <w:tcPr>
            <w:tcW w:w="4468" w:type="dxa"/>
            <w:gridSpan w:val="5"/>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运营单位社会统一信用代码（或组织机构代码）</w:t>
            </w:r>
          </w:p>
        </w:tc>
        <w:tc>
          <w:tcPr>
            <w:tcW w:w="1478" w:type="dxa"/>
            <w:tcBorders>
              <w:tl2br w:val="nil"/>
              <w:tr2bl w:val="nil"/>
            </w:tcBorders>
            <w:vAlign w:val="center"/>
          </w:tcPr>
          <w:p>
            <w:pPr>
              <w:jc w:val="center"/>
              <w:rPr>
                <w:rFonts w:hint="default" w:ascii="Times New Roman" w:hAnsi="Times New Roman" w:eastAsia="宋体" w:cs="Times New Roman"/>
                <w:sz w:val="21"/>
                <w:szCs w:val="21"/>
              </w:rPr>
            </w:pPr>
          </w:p>
        </w:tc>
        <w:tc>
          <w:tcPr>
            <w:tcW w:w="153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验收时间</w:t>
            </w:r>
          </w:p>
        </w:tc>
        <w:tc>
          <w:tcPr>
            <w:tcW w:w="2669" w:type="dxa"/>
            <w:gridSpan w:val="3"/>
            <w:tcBorders>
              <w:tl2br w:val="nil"/>
              <w:tr2bl w:val="nil"/>
            </w:tcBorders>
            <w:vAlign w:val="center"/>
          </w:tcPr>
          <w:p>
            <w:pPr>
              <w:jc w:val="center"/>
              <w:rPr>
                <w:rFonts w:hint="default" w:ascii="Times New Roman" w:hAnsi="Times New Roman" w:eastAsia="宋体" w:cs="Times New Roman"/>
                <w:sz w:val="21"/>
                <w:szCs w:val="21"/>
              </w:rPr>
            </w:pPr>
          </w:p>
        </w:tc>
      </w:tr>
    </w:tbl>
    <w:p>
      <w:pPr>
        <w:pStyle w:val="2"/>
        <w:ind w:firstLine="0" w:firstLineChars="0"/>
        <w:sectPr>
          <w:pgSz w:w="16838" w:h="11906" w:orient="landscape"/>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21" w:charSpace="0"/>
        </w:sectPr>
      </w:pPr>
    </w:p>
    <w:tbl>
      <w:tblPr>
        <w:tblStyle w:val="28"/>
        <w:tblW w:w="15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953"/>
        <w:gridCol w:w="974"/>
        <w:gridCol w:w="800"/>
        <w:gridCol w:w="1340"/>
        <w:gridCol w:w="1084"/>
        <w:gridCol w:w="864"/>
        <w:gridCol w:w="1124"/>
        <w:gridCol w:w="1123"/>
        <w:gridCol w:w="1123"/>
        <w:gridCol w:w="1478"/>
        <w:gridCol w:w="958"/>
        <w:gridCol w:w="1254"/>
        <w:gridCol w:w="1088"/>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543"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污染物排放达标与总量控制工业建设项目详填</w:t>
            </w: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污染物</w:t>
            </w:r>
          </w:p>
        </w:tc>
        <w:tc>
          <w:tcPr>
            <w:tcW w:w="800"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原有排放量(1)</w:t>
            </w:r>
          </w:p>
        </w:tc>
        <w:tc>
          <w:tcPr>
            <w:tcW w:w="1340"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本期工程实际排放浓度(2)</w:t>
            </w:r>
          </w:p>
        </w:tc>
        <w:tc>
          <w:tcPr>
            <w:tcW w:w="1084"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本期工程允许排放浓度(3)</w:t>
            </w:r>
          </w:p>
        </w:tc>
        <w:tc>
          <w:tcPr>
            <w:tcW w:w="864"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本期工程产生量(4)</w:t>
            </w:r>
          </w:p>
        </w:tc>
        <w:tc>
          <w:tcPr>
            <w:tcW w:w="1124"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本期工程自身削减量(5)</w:t>
            </w:r>
          </w:p>
        </w:tc>
        <w:tc>
          <w:tcPr>
            <w:tcW w:w="1123"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本期工程实际排放量(6)</w:t>
            </w:r>
          </w:p>
        </w:tc>
        <w:tc>
          <w:tcPr>
            <w:tcW w:w="1123"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本期工程核定排放总量(7)</w:t>
            </w:r>
          </w:p>
        </w:tc>
        <w:tc>
          <w:tcPr>
            <w:tcW w:w="1478"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本期工程“以新带老”削减量(8)</w:t>
            </w:r>
          </w:p>
        </w:tc>
        <w:tc>
          <w:tcPr>
            <w:tcW w:w="958"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全厂实际排放总量(9)</w:t>
            </w:r>
          </w:p>
        </w:tc>
        <w:tc>
          <w:tcPr>
            <w:tcW w:w="1254"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全厂核定排放总量(10)</w:t>
            </w:r>
          </w:p>
        </w:tc>
        <w:tc>
          <w:tcPr>
            <w:tcW w:w="1088"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区域平衡替代削减量(11)</w:t>
            </w:r>
          </w:p>
        </w:tc>
        <w:tc>
          <w:tcPr>
            <w:tcW w:w="908" w:type="dxa"/>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废水</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化学需氧量</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氨氮</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石油类</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非甲烷总烃</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default" w:ascii="Times New Roman" w:hAnsi="Times New Roman" w:eastAsia="宋体" w:cs="Times New Roman"/>
                <w:szCs w:val="21"/>
                <w:lang w:val="en-US" w:eastAsia="zh-CN"/>
              </w:rPr>
            </w:pPr>
          </w:p>
        </w:tc>
        <w:tc>
          <w:tcPr>
            <w:tcW w:w="1084" w:type="dxa"/>
            <w:tcBorders>
              <w:tl2br w:val="nil"/>
              <w:tr2bl w:val="nil"/>
            </w:tcBorders>
            <w:vAlign w:val="center"/>
          </w:tcPr>
          <w:p>
            <w:pPr>
              <w:jc w:val="center"/>
              <w:rPr>
                <w:rFonts w:hint="default" w:ascii="Times New Roman" w:hAnsi="Times New Roman" w:eastAsia="宋体" w:cs="Times New Roman"/>
                <w:szCs w:val="21"/>
                <w:lang w:val="en-US" w:eastAsia="zh-CN"/>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二氧化硫</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烟尘</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工业粉尘</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default" w:ascii="Times New Roman" w:hAnsi="Times New Roman" w:eastAsia="宋体" w:cs="Times New Roman"/>
                <w:szCs w:val="21"/>
                <w:lang w:val="en-US" w:eastAsia="zh-CN"/>
              </w:rPr>
            </w:pPr>
          </w:p>
        </w:tc>
        <w:tc>
          <w:tcPr>
            <w:tcW w:w="1084" w:type="dxa"/>
            <w:tcBorders>
              <w:tl2br w:val="nil"/>
              <w:tr2bl w:val="nil"/>
            </w:tcBorders>
            <w:vAlign w:val="center"/>
          </w:tcPr>
          <w:p>
            <w:pPr>
              <w:jc w:val="center"/>
              <w:rPr>
                <w:rFonts w:hint="default" w:ascii="Times New Roman" w:hAnsi="Times New Roman" w:eastAsia="宋体" w:cs="Times New Roman"/>
                <w:szCs w:val="21"/>
                <w:lang w:val="en-US" w:eastAsia="zh-CN"/>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氮氧化物</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1927" w:type="dxa"/>
            <w:gridSpan w:val="2"/>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工业固体废物</w:t>
            </w: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953" w:type="dxa"/>
            <w:vMerge w:val="restart"/>
            <w:tcBorders>
              <w:tl2br w:val="nil"/>
              <w:tr2bl w:val="nil"/>
            </w:tcBorders>
            <w:vAlign w:val="center"/>
          </w:tcPr>
          <w:p>
            <w:pPr>
              <w:jc w:val="center"/>
              <w:rPr>
                <w:rFonts w:hint="eastAsia" w:ascii="宋体" w:hAnsi="宋体" w:eastAsia="宋体" w:cs="宋体"/>
                <w:szCs w:val="21"/>
              </w:rPr>
            </w:pPr>
            <w:r>
              <w:rPr>
                <w:rFonts w:hint="eastAsia" w:ascii="宋体" w:hAnsi="宋体" w:eastAsia="宋体" w:cs="宋体"/>
                <w:szCs w:val="21"/>
              </w:rPr>
              <w:t>与项目有关的其它特征污染物</w:t>
            </w:r>
          </w:p>
        </w:tc>
        <w:tc>
          <w:tcPr>
            <w:tcW w:w="974" w:type="dxa"/>
            <w:tcBorders>
              <w:tl2br w:val="nil"/>
              <w:tr2bl w:val="nil"/>
            </w:tcBorders>
            <w:vAlign w:val="center"/>
          </w:tcPr>
          <w:p>
            <w:pPr>
              <w:jc w:val="center"/>
              <w:rPr>
                <w:rFonts w:hint="eastAsia" w:ascii="宋体" w:hAnsi="宋体" w:eastAsia="宋体" w:cs="宋体"/>
                <w:szCs w:val="21"/>
              </w:rPr>
            </w:pP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953" w:type="dxa"/>
            <w:vMerge w:val="continue"/>
            <w:tcBorders>
              <w:tl2br w:val="nil"/>
              <w:tr2bl w:val="nil"/>
            </w:tcBorders>
            <w:textDirection w:val="tbRlV"/>
            <w:vAlign w:val="center"/>
          </w:tcPr>
          <w:p>
            <w:pPr>
              <w:jc w:val="center"/>
              <w:rPr>
                <w:rFonts w:hint="eastAsia" w:ascii="宋体" w:hAnsi="宋体" w:eastAsia="宋体" w:cs="宋体"/>
                <w:szCs w:val="21"/>
              </w:rPr>
            </w:pPr>
          </w:p>
        </w:tc>
        <w:tc>
          <w:tcPr>
            <w:tcW w:w="974" w:type="dxa"/>
            <w:tcBorders>
              <w:tl2br w:val="nil"/>
              <w:tr2bl w:val="nil"/>
            </w:tcBorders>
            <w:vAlign w:val="center"/>
          </w:tcPr>
          <w:p>
            <w:pPr>
              <w:jc w:val="center"/>
              <w:rPr>
                <w:rFonts w:hint="eastAsia" w:ascii="宋体" w:hAnsi="宋体" w:eastAsia="宋体" w:cs="宋体"/>
                <w:szCs w:val="21"/>
              </w:rPr>
            </w:pP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543" w:type="dxa"/>
            <w:vMerge w:val="continue"/>
            <w:tcBorders>
              <w:tl2br w:val="nil"/>
              <w:tr2bl w:val="nil"/>
            </w:tcBorders>
            <w:vAlign w:val="center"/>
          </w:tcPr>
          <w:p>
            <w:pPr>
              <w:jc w:val="center"/>
              <w:rPr>
                <w:rFonts w:hint="eastAsia" w:ascii="宋体" w:hAnsi="宋体" w:eastAsia="宋体" w:cs="宋体"/>
                <w:szCs w:val="21"/>
              </w:rPr>
            </w:pPr>
          </w:p>
        </w:tc>
        <w:tc>
          <w:tcPr>
            <w:tcW w:w="953" w:type="dxa"/>
            <w:vMerge w:val="continue"/>
            <w:tcBorders>
              <w:tl2br w:val="nil"/>
              <w:tr2bl w:val="nil"/>
            </w:tcBorders>
            <w:textDirection w:val="tbRlV"/>
            <w:vAlign w:val="center"/>
          </w:tcPr>
          <w:p>
            <w:pPr>
              <w:jc w:val="center"/>
              <w:rPr>
                <w:rFonts w:hint="eastAsia" w:ascii="宋体" w:hAnsi="宋体" w:eastAsia="宋体" w:cs="宋体"/>
                <w:szCs w:val="21"/>
              </w:rPr>
            </w:pPr>
          </w:p>
        </w:tc>
        <w:tc>
          <w:tcPr>
            <w:tcW w:w="974" w:type="dxa"/>
            <w:tcBorders>
              <w:tl2br w:val="nil"/>
              <w:tr2bl w:val="nil"/>
            </w:tcBorders>
            <w:vAlign w:val="center"/>
          </w:tcPr>
          <w:p>
            <w:pPr>
              <w:jc w:val="center"/>
              <w:rPr>
                <w:rFonts w:hint="eastAsia" w:ascii="宋体" w:hAnsi="宋体" w:eastAsia="宋体" w:cs="宋体"/>
                <w:szCs w:val="21"/>
              </w:rPr>
            </w:pPr>
          </w:p>
        </w:tc>
        <w:tc>
          <w:tcPr>
            <w:tcW w:w="800" w:type="dxa"/>
            <w:tcBorders>
              <w:tl2br w:val="nil"/>
              <w:tr2bl w:val="nil"/>
            </w:tcBorders>
            <w:vAlign w:val="center"/>
          </w:tcPr>
          <w:p>
            <w:pPr>
              <w:jc w:val="center"/>
              <w:rPr>
                <w:rFonts w:hint="eastAsia" w:ascii="宋体" w:hAnsi="宋体" w:eastAsia="宋体" w:cs="宋体"/>
                <w:szCs w:val="21"/>
              </w:rPr>
            </w:pPr>
          </w:p>
        </w:tc>
        <w:tc>
          <w:tcPr>
            <w:tcW w:w="1340" w:type="dxa"/>
            <w:tcBorders>
              <w:tl2br w:val="nil"/>
              <w:tr2bl w:val="nil"/>
            </w:tcBorders>
            <w:vAlign w:val="center"/>
          </w:tcPr>
          <w:p>
            <w:pPr>
              <w:jc w:val="center"/>
              <w:rPr>
                <w:rFonts w:hint="eastAsia" w:ascii="宋体" w:hAnsi="宋体" w:eastAsia="宋体" w:cs="宋体"/>
                <w:szCs w:val="21"/>
              </w:rPr>
            </w:pPr>
          </w:p>
        </w:tc>
        <w:tc>
          <w:tcPr>
            <w:tcW w:w="1084" w:type="dxa"/>
            <w:tcBorders>
              <w:tl2br w:val="nil"/>
              <w:tr2bl w:val="nil"/>
            </w:tcBorders>
            <w:vAlign w:val="center"/>
          </w:tcPr>
          <w:p>
            <w:pPr>
              <w:jc w:val="center"/>
              <w:rPr>
                <w:rFonts w:hint="eastAsia" w:ascii="宋体" w:hAnsi="宋体" w:eastAsia="宋体" w:cs="宋体"/>
                <w:szCs w:val="21"/>
              </w:rPr>
            </w:pPr>
          </w:p>
        </w:tc>
        <w:tc>
          <w:tcPr>
            <w:tcW w:w="864" w:type="dxa"/>
            <w:tcBorders>
              <w:tl2br w:val="nil"/>
              <w:tr2bl w:val="nil"/>
            </w:tcBorders>
            <w:vAlign w:val="center"/>
          </w:tcPr>
          <w:p>
            <w:pPr>
              <w:jc w:val="center"/>
              <w:rPr>
                <w:rFonts w:hint="eastAsia" w:ascii="宋体" w:hAnsi="宋体" w:eastAsia="宋体" w:cs="宋体"/>
                <w:szCs w:val="21"/>
              </w:rPr>
            </w:pPr>
          </w:p>
        </w:tc>
        <w:tc>
          <w:tcPr>
            <w:tcW w:w="1124"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123" w:type="dxa"/>
            <w:tcBorders>
              <w:tl2br w:val="nil"/>
              <w:tr2bl w:val="nil"/>
            </w:tcBorders>
            <w:vAlign w:val="center"/>
          </w:tcPr>
          <w:p>
            <w:pPr>
              <w:jc w:val="center"/>
              <w:rPr>
                <w:rFonts w:hint="eastAsia" w:ascii="宋体" w:hAnsi="宋体" w:eastAsia="宋体" w:cs="宋体"/>
                <w:szCs w:val="21"/>
              </w:rPr>
            </w:pPr>
          </w:p>
        </w:tc>
        <w:tc>
          <w:tcPr>
            <w:tcW w:w="1478" w:type="dxa"/>
            <w:tcBorders>
              <w:tl2br w:val="nil"/>
              <w:tr2bl w:val="nil"/>
            </w:tcBorders>
            <w:vAlign w:val="center"/>
          </w:tcPr>
          <w:p>
            <w:pPr>
              <w:jc w:val="center"/>
              <w:rPr>
                <w:rFonts w:hint="eastAsia" w:ascii="宋体" w:hAnsi="宋体" w:eastAsia="宋体" w:cs="宋体"/>
                <w:szCs w:val="21"/>
              </w:rPr>
            </w:pPr>
          </w:p>
        </w:tc>
        <w:tc>
          <w:tcPr>
            <w:tcW w:w="958" w:type="dxa"/>
            <w:tcBorders>
              <w:tl2br w:val="nil"/>
              <w:tr2bl w:val="nil"/>
            </w:tcBorders>
            <w:vAlign w:val="center"/>
          </w:tcPr>
          <w:p>
            <w:pPr>
              <w:jc w:val="center"/>
              <w:rPr>
                <w:rFonts w:hint="eastAsia" w:ascii="宋体" w:hAnsi="宋体" w:eastAsia="宋体" w:cs="宋体"/>
                <w:szCs w:val="21"/>
              </w:rPr>
            </w:pPr>
          </w:p>
        </w:tc>
        <w:tc>
          <w:tcPr>
            <w:tcW w:w="1254" w:type="dxa"/>
            <w:tcBorders>
              <w:tl2br w:val="nil"/>
              <w:tr2bl w:val="nil"/>
            </w:tcBorders>
            <w:vAlign w:val="center"/>
          </w:tcPr>
          <w:p>
            <w:pPr>
              <w:jc w:val="center"/>
              <w:rPr>
                <w:rFonts w:hint="eastAsia" w:ascii="宋体" w:hAnsi="宋体" w:eastAsia="宋体" w:cs="宋体"/>
                <w:szCs w:val="21"/>
              </w:rPr>
            </w:pPr>
          </w:p>
        </w:tc>
        <w:tc>
          <w:tcPr>
            <w:tcW w:w="1088" w:type="dxa"/>
            <w:tcBorders>
              <w:tl2br w:val="nil"/>
              <w:tr2bl w:val="nil"/>
            </w:tcBorders>
            <w:vAlign w:val="center"/>
          </w:tcPr>
          <w:p>
            <w:pPr>
              <w:jc w:val="center"/>
              <w:rPr>
                <w:rFonts w:hint="eastAsia" w:ascii="宋体" w:hAnsi="宋体" w:eastAsia="宋体" w:cs="宋体"/>
                <w:szCs w:val="21"/>
              </w:rPr>
            </w:pPr>
          </w:p>
        </w:tc>
        <w:tc>
          <w:tcPr>
            <w:tcW w:w="908" w:type="dxa"/>
            <w:tcBorders>
              <w:tl2br w:val="nil"/>
              <w:tr2bl w:val="nil"/>
            </w:tcBorders>
            <w:vAlign w:val="center"/>
          </w:tcPr>
          <w:p>
            <w:pPr>
              <w:jc w:val="center"/>
              <w:rPr>
                <w:rFonts w:hint="eastAsia" w:ascii="宋体" w:hAnsi="宋体" w:eastAsia="宋体" w:cs="宋体"/>
                <w:szCs w:val="21"/>
              </w:rPr>
            </w:pPr>
          </w:p>
        </w:tc>
      </w:tr>
    </w:tbl>
    <w:p>
      <w:pPr>
        <w:spacing w:line="240" w:lineRule="atLeast"/>
        <w:jc w:val="left"/>
        <w:outlineLvl w:val="0"/>
        <w:rPr>
          <w:rFonts w:hint="default" w:ascii="Times New Roman" w:hAnsi="Times New Roman" w:eastAsia="宋体" w:cs="Times New Roman"/>
          <w:szCs w:val="21"/>
        </w:rPr>
      </w:pPr>
      <w:bookmarkStart w:id="180" w:name="_Toc15258_WPSOffice_Level1"/>
      <w:bookmarkStart w:id="181" w:name="_Toc5398_WPSOffice_Level1"/>
      <w:bookmarkStart w:id="182" w:name="_Toc6536"/>
      <w:bookmarkStart w:id="183" w:name="_Toc10313_WPSOffice_Level1"/>
      <w:bookmarkStart w:id="184" w:name="_Toc5021_WPSOffice_Level1"/>
      <w:bookmarkStart w:id="185" w:name="_Toc2082_WPSOffice_Level1"/>
      <w:r>
        <w:rPr>
          <w:rFonts w:hint="default" w:ascii="Times New Roman" w:hAnsi="Times New Roman" w:eastAsia="宋体" w:cs="Times New Roman"/>
          <w:b/>
          <w:szCs w:val="21"/>
        </w:rPr>
        <w:t>注</w:t>
      </w:r>
      <w:r>
        <w:rPr>
          <w:rFonts w:hint="default" w:ascii="Times New Roman" w:hAnsi="Times New Roman" w:eastAsia="宋体" w:cs="Times New Roman"/>
          <w:szCs w:val="21"/>
        </w:rPr>
        <w:t>：1、排放增减量：（+）表示增加，（-）表示减少</w:t>
      </w:r>
      <w:bookmarkEnd w:id="180"/>
      <w:bookmarkEnd w:id="181"/>
      <w:bookmarkEnd w:id="182"/>
      <w:bookmarkEnd w:id="183"/>
      <w:bookmarkEnd w:id="184"/>
      <w:bookmarkEnd w:id="185"/>
    </w:p>
    <w:p>
      <w:pPr>
        <w:spacing w:line="240" w:lineRule="atLeast"/>
        <w:jc w:val="left"/>
        <w:rPr>
          <w:rFonts w:hint="default" w:ascii="Times New Roman" w:hAnsi="Times New Roman" w:eastAsia="宋体" w:cs="Times New Roman"/>
          <w:szCs w:val="21"/>
        </w:rPr>
      </w:pPr>
      <w:r>
        <w:rPr>
          <w:rFonts w:hint="default" w:ascii="Times New Roman" w:hAnsi="Times New Roman" w:eastAsia="宋体" w:cs="Times New Roman"/>
          <w:szCs w:val="21"/>
        </w:rPr>
        <w:t>2、(12)=(6)-(8)-(11)，（9）= (4)-(5)-(8)- (11) +（1）</w:t>
      </w:r>
    </w:p>
    <w:p>
      <w:pPr>
        <w:spacing w:line="240" w:lineRule="atLeast"/>
        <w:jc w:val="left"/>
        <w:rPr>
          <w:rFonts w:hint="default" w:ascii="Times New Roman" w:hAnsi="Times New Roman" w:eastAsia="宋体" w:cs="Times New Roman"/>
          <w:szCs w:val="21"/>
        </w:rPr>
      </w:pPr>
      <w:r>
        <w:rPr>
          <w:rFonts w:hint="default" w:ascii="Times New Roman" w:hAnsi="Times New Roman" w:eastAsia="宋体" w:cs="Times New Roman"/>
          <w:szCs w:val="21"/>
        </w:rPr>
        <w:t>3、计量单位：废水排放量——万吨/年；废气排放量——万标立方米/小时；工业固体废物排放量——万吨/年； 水污染物排放浓度——毫克/升；</w:t>
      </w:r>
    </w:p>
    <w:p>
      <w:pPr>
        <w:spacing w:line="240" w:lineRule="atLeast"/>
        <w:jc w:val="left"/>
        <w:rPr>
          <w:rFonts w:hint="default" w:ascii="Times New Roman" w:hAnsi="Times New Roman" w:eastAsia="宋体" w:cs="Times New Roman"/>
          <w:szCs w:val="21"/>
        </w:rPr>
      </w:pPr>
      <w:r>
        <w:rPr>
          <w:rFonts w:hint="default" w:ascii="Times New Roman" w:hAnsi="Times New Roman" w:eastAsia="宋体" w:cs="Times New Roman"/>
          <w:szCs w:val="21"/>
        </w:rPr>
        <w:t>大气污染物排放浓度——毫克/立方米；水污染物排放量——吨/年；大气污染物排放量——吨/年</w:t>
      </w:r>
    </w:p>
    <w:p>
      <w:pPr>
        <w:spacing w:line="500" w:lineRule="exact"/>
        <w:ind w:firstLine="480" w:firstLineChars="200"/>
        <w:rPr>
          <w:sz w:val="24"/>
        </w:rPr>
      </w:pPr>
    </w:p>
    <w:sectPr>
      <w:headerReference r:id="rId11" w:type="default"/>
      <w:footerReference r:id="rId12" w:type="default"/>
      <w:pgSz w:w="16838" w:h="11906" w:orient="landscape"/>
      <w:pgMar w:top="1134" w:right="1134" w:bottom="1134" w:left="1134" w:header="850" w:footer="992" w:gutter="0"/>
      <w:pgBorders>
        <w:top w:val="none" w:sz="0" w:space="0"/>
        <w:left w:val="none" w:sz="0" w:space="0"/>
        <w:bottom w:val="none" w:sz="0" w:space="0"/>
        <w:right w:val="none" w:sz="0" w:space="0"/>
      </w:pgBorders>
      <w:pgNumType w:fmt="numberInDash"/>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Nyala"/>
    <w:panose1 w:val="02040604050505020304"/>
    <w:charset w:val="00"/>
    <w:family w:val="roman"/>
    <w:pitch w:val="default"/>
    <w:sig w:usb0="00000000" w:usb1="00000000" w:usb2="00000000" w:usb3="00000000" w:csb0="2000009F" w:csb1="DFD70000"/>
  </w:font>
  <w:font w:name="PMingLiU">
    <w:panose1 w:val="02020500000000000000"/>
    <w:charset w:val="88"/>
    <w:family w:val="roman"/>
    <w:pitch w:val="default"/>
    <w:sig w:usb0="A00002FF" w:usb1="28CFFCFA"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Nyala">
    <w:panose1 w:val="02000504070300020003"/>
    <w:charset w:val="00"/>
    <w:family w:val="auto"/>
    <w:pitch w:val="default"/>
    <w:sig w:usb0="A000006F" w:usb1="00000000" w:usb2="00000800" w:usb3="00000000" w:csb0="00000093"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Style w:val="32"/>
      </w:rP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03250" cy="1828800"/>
              <wp:effectExtent l="0" t="0" r="0" b="0"/>
              <wp:wrapNone/>
              <wp:docPr id="72" name="文本框 23"/>
              <wp:cNvGraphicFramePr/>
              <a:graphic xmlns:a="http://schemas.openxmlformats.org/drawingml/2006/main">
                <a:graphicData uri="http://schemas.microsoft.com/office/word/2010/wordprocessingShape">
                  <wps:wsp>
                    <wps:cNvSpPr txBox="1"/>
                    <wps:spPr>
                      <a:xfrm>
                        <a:off x="0" y="0"/>
                        <a:ext cx="603250" cy="1828800"/>
                      </a:xfrm>
                      <a:prstGeom prst="rect">
                        <a:avLst/>
                      </a:prstGeom>
                      <a:noFill/>
                      <a:ln w="9525">
                        <a:noFill/>
                      </a:ln>
                      <a:effectLst/>
                    </wps:spPr>
                    <wps:txbx>
                      <w:txbxContent>
                        <w:p>
                          <w:pPr>
                            <w:pStyle w:val="18"/>
                          </w:pPr>
                        </w:p>
                      </w:txbxContent>
                    </wps:txbx>
                    <wps:bodyPr lIns="0" tIns="0" rIns="0" bIns="0" upright="1">
                      <a:spAutoFit/>
                    </wps:bodyPr>
                  </wps:wsp>
                </a:graphicData>
              </a:graphic>
            </wp:anchor>
          </w:drawing>
        </mc:Choice>
        <mc:Fallback>
          <w:pict>
            <v:shape id="文本框 23" o:spid="_x0000_s1026" o:spt="202" type="#_x0000_t202" style="position:absolute;left:0pt;margin-top:0pt;height:144pt;width:47.5pt;mso-position-horizontal:center;mso-position-horizontal-relative:margin;z-index:251663360;mso-width-relative:page;mso-height-relative:page;" filled="f" stroked="f" coordsize="21600,21600" o:gfxdata="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SQTNIAAAAEAQAADwAAAAAAAAABACAAAAAiAAAAZHJzL2Rvd25yZXYueG1sUEsBAhQAFAAA&#10;AAgAh07iQMbsP+i8AQAAVwMAAA4AAAAAAAAAAQAgAAAAIQEAAGRycy9lMm9Eb2MueG1sUEsFBgAA&#10;AAAGAAYAWQEAAE8FA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rPr>
        <w:rStyle w:val="3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rPr>
        <w:rStyle w:val="3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90"/>
      <w:jc w:val="right"/>
      <w:rPr>
        <w:rStyle w:val="32"/>
      </w:rPr>
    </w:pPr>
    <w:r>
      <w:rPr>
        <w:sz w:val="18"/>
      </w:rPr>
      <mc:AlternateContent>
        <mc:Choice Requires="wps">
          <w:drawing>
            <wp:anchor distT="0" distB="0" distL="114300" distR="114300" simplePos="0" relativeHeight="40812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40812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o+ZAVAgAAFQ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oo+ZAVAgAAFQ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7684"/>
        <w:tab w:val="clear" w:pos="8306"/>
      </w:tabs>
      <w:ind w:firstLine="7020" w:firstLineChars="390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XLII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XLII</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rPr>
                              <w:rStyle w:val="32"/>
                            </w:rPr>
                          </w:pPr>
                          <w:r>
                            <w:rPr>
                              <w:rStyle w:val="32"/>
                              <w:rFonts w:hint="eastAsia"/>
                            </w:rPr>
                            <w:t xml:space="preserve">        </w:t>
                          </w:r>
                        </w:p>
                      </w:txbxContent>
                    </wps:txbx>
                    <wps:bodyPr wrap="none" lIns="0" tIns="0" rIns="0" bIns="0" upright="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CyaF96/AQAAZAMAAA4AAAAAAAAAAQAgAAAAHgEAAGRycy9lMm9Eb2MueG1sUEsFBgAA&#10;AAAGAAYAWQEAAE8FAAAAAA==&#10;">
              <v:fill on="f" focussize="0,0"/>
              <v:stroke on="f"/>
              <v:imagedata o:title=""/>
              <o:lock v:ext="edit" aspectratio="f"/>
              <v:textbox inset="0mm,0mm,0mm,0mm" style="mso-fit-shape-to-text:t;">
                <w:txbxContent>
                  <w:p>
                    <w:pPr>
                      <w:pStyle w:val="18"/>
                      <w:rPr>
                        <w:rStyle w:val="32"/>
                      </w:rPr>
                    </w:pPr>
                    <w:r>
                      <w:rPr>
                        <w:rStyle w:val="32"/>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ascii="宋体" w:hAnsi="宋体" w:eastAsia="宋体" w:cs="宋体"/>
        <w:sz w:val="21"/>
        <w:szCs w:val="21"/>
      </w:rPr>
    </w:pPr>
    <w:r>
      <w:rPr>
        <w:rFonts w:hint="eastAsia" w:ascii="宋体" w:hAnsi="宋体" w:cs="宋体"/>
        <w:bCs/>
        <w:spacing w:val="-6"/>
        <w:sz w:val="21"/>
        <w:szCs w:val="21"/>
        <w:lang w:val="en-US" w:eastAsia="zh-CN"/>
      </w:rPr>
      <w:t>山东民基新材料科技有限公司30万t/a硫磺制酸搬迁改造项目竣工环</w:t>
    </w:r>
    <w:r>
      <w:rPr>
        <w:rFonts w:hint="eastAsia" w:ascii="宋体" w:hAnsi="宋体" w:eastAsia="宋体" w:cs="宋体"/>
        <w:spacing w:val="-6"/>
        <w:sz w:val="21"/>
        <w:szCs w:val="21"/>
      </w:rPr>
      <w:t>境保护验收</w:t>
    </w:r>
    <w:r>
      <w:rPr>
        <w:rFonts w:hint="eastAsia" w:ascii="宋体" w:hAnsi="宋体" w:eastAsia="宋体" w:cs="宋体"/>
        <w:spacing w:val="-6"/>
        <w:sz w:val="21"/>
        <w:szCs w:val="21"/>
        <w:lang w:val="en-US" w:eastAsia="zh-CN"/>
      </w:rPr>
      <w:t>监测</w:t>
    </w:r>
    <w:r>
      <w:rPr>
        <w:rFonts w:hint="eastAsia" w:ascii="宋体" w:hAnsi="宋体" w:eastAsia="宋体" w:cs="宋体"/>
        <w:spacing w:val="-6"/>
        <w:sz w:val="21"/>
        <w:szCs w:val="21"/>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rPr>
        <w:rFonts w:hint="eastAsia"/>
      </w:rPr>
    </w:pPr>
    <w:r>
      <w:rPr>
        <w:rFonts w:hint="eastAsia" w:ascii="宋体" w:hAnsi="宋体" w:cs="宋体"/>
        <w:bCs/>
        <w:spacing w:val="-6"/>
        <w:sz w:val="21"/>
        <w:szCs w:val="21"/>
        <w:lang w:val="en-US" w:eastAsia="zh-CN"/>
      </w:rPr>
      <w:t>山东民基新材料科技有限公司30万t/a硫磺制酸搬迁改造项目建设竣工环</w:t>
    </w:r>
    <w:r>
      <w:rPr>
        <w:rFonts w:hint="eastAsia" w:ascii="宋体" w:hAnsi="宋体" w:eastAsia="宋体" w:cs="宋体"/>
        <w:spacing w:val="-6"/>
        <w:sz w:val="21"/>
        <w:szCs w:val="21"/>
      </w:rPr>
      <w:t>境保护验收</w:t>
    </w:r>
    <w:r>
      <w:rPr>
        <w:rFonts w:hint="eastAsia" w:ascii="宋体" w:hAnsi="宋体" w:eastAsia="宋体" w:cs="宋体"/>
        <w:spacing w:val="-6"/>
        <w:sz w:val="21"/>
        <w:szCs w:val="21"/>
        <w:lang w:val="en-US" w:eastAsia="zh-CN"/>
      </w:rPr>
      <w:t>监测</w:t>
    </w:r>
    <w:r>
      <w:rPr>
        <w:rFonts w:hint="eastAsia" w:ascii="宋体" w:hAnsi="宋体" w:eastAsia="宋体" w:cs="宋体"/>
        <w:spacing w:val="-6"/>
        <w:sz w:val="21"/>
        <w:szCs w:val="21"/>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lang w:val="en-US"/>
      </w:rPr>
    </w:pPr>
    <w:r>
      <w:rPr>
        <w:rFonts w:hint="eastAsia" w:ascii="宋体" w:hAnsi="宋体" w:cs="宋体"/>
        <w:bCs/>
        <w:spacing w:val="-6"/>
        <w:sz w:val="21"/>
        <w:szCs w:val="21"/>
        <w:lang w:val="en-US" w:eastAsia="zh-CN"/>
      </w:rPr>
      <w:t>山东民基新材料科技有限公司30万t/a硫磺制酸搬迁改造项目建设竣工环</w:t>
    </w:r>
    <w:r>
      <w:rPr>
        <w:rFonts w:hint="eastAsia" w:ascii="宋体" w:hAnsi="宋体" w:eastAsia="宋体" w:cs="宋体"/>
        <w:spacing w:val="-6"/>
        <w:sz w:val="21"/>
        <w:szCs w:val="21"/>
      </w:rPr>
      <w:t>境保护验收</w:t>
    </w:r>
    <w:r>
      <w:rPr>
        <w:rFonts w:hint="eastAsia" w:ascii="宋体" w:hAnsi="宋体" w:eastAsia="宋体" w:cs="宋体"/>
        <w:spacing w:val="-6"/>
        <w:sz w:val="21"/>
        <w:szCs w:val="21"/>
        <w:lang w:val="en-US" w:eastAsia="zh-CN"/>
      </w:rPr>
      <w:t>监测</w:t>
    </w:r>
    <w:r>
      <w:rPr>
        <w:rFonts w:hint="eastAsia" w:ascii="宋体" w:hAnsi="宋体" w:eastAsia="宋体" w:cs="宋体"/>
        <w:spacing w:val="-6"/>
        <w:sz w:val="21"/>
        <w:szCs w:val="21"/>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F76370"/>
    <w:multiLevelType w:val="multilevel"/>
    <w:tmpl w:val="E3F763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00000008"/>
    <w:multiLevelType w:val="multilevel"/>
    <w:tmpl w:val="00000008"/>
    <w:lvl w:ilvl="0" w:tentative="0">
      <w:start w:val="1"/>
      <w:numFmt w:val="bullet"/>
      <w:lvlText w:val=""/>
      <w:lvlJc w:val="left"/>
      <w:pPr>
        <w:tabs>
          <w:tab w:val="left" w:pos="846"/>
        </w:tabs>
        <w:ind w:left="846" w:hanging="420"/>
      </w:pPr>
      <w:rPr>
        <w:rFonts w:hint="default" w:ascii="Wingdings" w:hAnsi="Wingdings"/>
      </w:rPr>
    </w:lvl>
    <w:lvl w:ilvl="1" w:tentative="0">
      <w:start w:val="1"/>
      <w:numFmt w:val="bullet"/>
      <w:lvlText w:val=""/>
      <w:lvlJc w:val="left"/>
      <w:pPr>
        <w:tabs>
          <w:tab w:val="left" w:pos="366"/>
        </w:tabs>
        <w:ind w:left="366" w:hanging="420"/>
      </w:pPr>
      <w:rPr>
        <w:rFonts w:hint="default" w:ascii="Wingdings" w:hAnsi="Wingdings"/>
      </w:rPr>
    </w:lvl>
    <w:lvl w:ilvl="2" w:tentative="0">
      <w:start w:val="1"/>
      <w:numFmt w:val="bullet"/>
      <w:lvlText w:val=""/>
      <w:lvlJc w:val="left"/>
      <w:pPr>
        <w:tabs>
          <w:tab w:val="left" w:pos="786"/>
        </w:tabs>
        <w:ind w:left="786" w:hanging="420"/>
      </w:pPr>
      <w:rPr>
        <w:rFonts w:hint="default" w:ascii="Wingdings" w:hAnsi="Wingdings"/>
      </w:rPr>
    </w:lvl>
    <w:lvl w:ilvl="3" w:tentative="0">
      <w:start w:val="1"/>
      <w:numFmt w:val="bullet"/>
      <w:lvlText w:val=""/>
      <w:lvlJc w:val="left"/>
      <w:pPr>
        <w:tabs>
          <w:tab w:val="left" w:pos="1206"/>
        </w:tabs>
        <w:ind w:left="1206" w:hanging="420"/>
      </w:pPr>
      <w:rPr>
        <w:rFonts w:hint="default" w:ascii="Wingdings" w:hAnsi="Wingdings"/>
      </w:rPr>
    </w:lvl>
    <w:lvl w:ilvl="4" w:tentative="0">
      <w:start w:val="1"/>
      <w:numFmt w:val="bullet"/>
      <w:lvlText w:val=""/>
      <w:lvlJc w:val="left"/>
      <w:pPr>
        <w:tabs>
          <w:tab w:val="left" w:pos="1626"/>
        </w:tabs>
        <w:ind w:left="1626" w:hanging="420"/>
      </w:pPr>
      <w:rPr>
        <w:rFonts w:hint="default" w:ascii="Wingdings" w:hAnsi="Wingdings"/>
      </w:rPr>
    </w:lvl>
    <w:lvl w:ilvl="5" w:tentative="0">
      <w:start w:val="1"/>
      <w:numFmt w:val="bullet"/>
      <w:lvlText w:val=""/>
      <w:lvlJc w:val="left"/>
      <w:pPr>
        <w:tabs>
          <w:tab w:val="left" w:pos="2046"/>
        </w:tabs>
        <w:ind w:left="2046" w:hanging="420"/>
      </w:pPr>
      <w:rPr>
        <w:rFonts w:hint="default" w:ascii="Wingdings" w:hAnsi="Wingdings"/>
      </w:rPr>
    </w:lvl>
    <w:lvl w:ilvl="6" w:tentative="0">
      <w:start w:val="1"/>
      <w:numFmt w:val="bullet"/>
      <w:lvlText w:val=""/>
      <w:lvlJc w:val="left"/>
      <w:pPr>
        <w:tabs>
          <w:tab w:val="left" w:pos="2466"/>
        </w:tabs>
        <w:ind w:left="2466" w:hanging="420"/>
      </w:pPr>
      <w:rPr>
        <w:rFonts w:hint="default" w:ascii="Wingdings" w:hAnsi="Wingdings"/>
      </w:rPr>
    </w:lvl>
    <w:lvl w:ilvl="7" w:tentative="0">
      <w:start w:val="1"/>
      <w:numFmt w:val="bullet"/>
      <w:lvlText w:val=""/>
      <w:lvlJc w:val="left"/>
      <w:pPr>
        <w:tabs>
          <w:tab w:val="left" w:pos="2886"/>
        </w:tabs>
        <w:ind w:left="2886" w:hanging="420"/>
      </w:pPr>
      <w:rPr>
        <w:rFonts w:hint="default" w:ascii="Wingdings" w:hAnsi="Wingdings"/>
      </w:rPr>
    </w:lvl>
    <w:lvl w:ilvl="8" w:tentative="0">
      <w:start w:val="1"/>
      <w:numFmt w:val="bullet"/>
      <w:lvlText w:val=""/>
      <w:lvlJc w:val="left"/>
      <w:pPr>
        <w:tabs>
          <w:tab w:val="left" w:pos="3306"/>
        </w:tabs>
        <w:ind w:left="3306" w:hanging="420"/>
      </w:pPr>
      <w:rPr>
        <w:rFonts w:hint="default" w:ascii="Wingdings" w:hAnsi="Wingdings"/>
      </w:rPr>
    </w:lvl>
  </w:abstractNum>
  <w:abstractNum w:abstractNumId="2">
    <w:nsid w:val="0000000C"/>
    <w:multiLevelType w:val="multilevel"/>
    <w:tmpl w:val="0000000C"/>
    <w:lvl w:ilvl="0" w:tentative="0">
      <w:start w:val="1"/>
      <w:numFmt w:val="bullet"/>
      <w:lvlText w:val=""/>
      <w:lvlJc w:val="left"/>
      <w:pPr>
        <w:tabs>
          <w:tab w:val="left" w:pos="1320"/>
        </w:tabs>
        <w:ind w:left="13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28A91BB"/>
    <w:multiLevelType w:val="singleLevel"/>
    <w:tmpl w:val="128A91BB"/>
    <w:lvl w:ilvl="0" w:tentative="0">
      <w:start w:val="2"/>
      <w:numFmt w:val="decimal"/>
      <w:suff w:val="nothing"/>
      <w:lvlText w:val="%1、"/>
      <w:lvlJc w:val="left"/>
    </w:lvl>
  </w:abstractNum>
  <w:abstractNum w:abstractNumId="4">
    <w:nsid w:val="5B39755B"/>
    <w:multiLevelType w:val="multilevel"/>
    <w:tmpl w:val="5B39755B"/>
    <w:lvl w:ilvl="0" w:tentative="0">
      <w:start w:val="1"/>
      <w:numFmt w:val="bullet"/>
      <w:lvlText w:val=""/>
      <w:lvlJc w:val="left"/>
      <w:pPr>
        <w:ind w:left="885" w:hanging="420"/>
      </w:pPr>
      <w:rPr>
        <w:rFonts w:hint="default" w:ascii="Wingdings" w:hAnsi="Wingdings"/>
      </w:rPr>
    </w:lvl>
    <w:lvl w:ilvl="1" w:tentative="0">
      <w:start w:val="1"/>
      <w:numFmt w:val="bullet"/>
      <w:lvlText w:val=""/>
      <w:lvlJc w:val="left"/>
      <w:pPr>
        <w:ind w:left="1305" w:hanging="420"/>
      </w:pPr>
      <w:rPr>
        <w:rFonts w:hint="default" w:ascii="Wingdings" w:hAnsi="Wingdings"/>
      </w:rPr>
    </w:lvl>
    <w:lvl w:ilvl="2" w:tentative="0">
      <w:start w:val="1"/>
      <w:numFmt w:val="bullet"/>
      <w:lvlText w:val=""/>
      <w:lvlJc w:val="left"/>
      <w:pPr>
        <w:ind w:left="1725" w:hanging="420"/>
      </w:pPr>
      <w:rPr>
        <w:rFonts w:hint="default" w:ascii="Wingdings" w:hAnsi="Wingdings"/>
      </w:rPr>
    </w:lvl>
    <w:lvl w:ilvl="3" w:tentative="0">
      <w:start w:val="1"/>
      <w:numFmt w:val="bullet"/>
      <w:lvlText w:val=""/>
      <w:lvlJc w:val="left"/>
      <w:pPr>
        <w:ind w:left="2145" w:hanging="420"/>
      </w:pPr>
      <w:rPr>
        <w:rFonts w:hint="default" w:ascii="Wingdings" w:hAnsi="Wingdings"/>
      </w:rPr>
    </w:lvl>
    <w:lvl w:ilvl="4" w:tentative="0">
      <w:start w:val="1"/>
      <w:numFmt w:val="bullet"/>
      <w:lvlText w:val=""/>
      <w:lvlJc w:val="left"/>
      <w:pPr>
        <w:ind w:left="2565" w:hanging="420"/>
      </w:pPr>
      <w:rPr>
        <w:rFonts w:hint="default" w:ascii="Wingdings" w:hAnsi="Wingdings"/>
      </w:rPr>
    </w:lvl>
    <w:lvl w:ilvl="5" w:tentative="0">
      <w:start w:val="1"/>
      <w:numFmt w:val="bullet"/>
      <w:lvlText w:val=""/>
      <w:lvlJc w:val="left"/>
      <w:pPr>
        <w:ind w:left="2985" w:hanging="420"/>
      </w:pPr>
      <w:rPr>
        <w:rFonts w:hint="default" w:ascii="Wingdings" w:hAnsi="Wingdings"/>
      </w:rPr>
    </w:lvl>
    <w:lvl w:ilvl="6" w:tentative="0">
      <w:start w:val="1"/>
      <w:numFmt w:val="bullet"/>
      <w:lvlText w:val=""/>
      <w:lvlJc w:val="left"/>
      <w:pPr>
        <w:ind w:left="3405" w:hanging="420"/>
      </w:pPr>
      <w:rPr>
        <w:rFonts w:hint="default" w:ascii="Wingdings" w:hAnsi="Wingdings"/>
      </w:rPr>
    </w:lvl>
    <w:lvl w:ilvl="7" w:tentative="0">
      <w:start w:val="1"/>
      <w:numFmt w:val="bullet"/>
      <w:lvlText w:val=""/>
      <w:lvlJc w:val="left"/>
      <w:pPr>
        <w:ind w:left="3825" w:hanging="420"/>
      </w:pPr>
      <w:rPr>
        <w:rFonts w:hint="default" w:ascii="Wingdings" w:hAnsi="Wingdings"/>
      </w:rPr>
    </w:lvl>
    <w:lvl w:ilvl="8" w:tentative="0">
      <w:start w:val="1"/>
      <w:numFmt w:val="bullet"/>
      <w:lvlText w:val=""/>
      <w:lvlJc w:val="left"/>
      <w:pPr>
        <w:ind w:left="4245" w:hanging="420"/>
      </w:pPr>
      <w:rPr>
        <w:rFonts w:hint="default" w:ascii="Wingdings" w:hAnsi="Wingdings"/>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6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B5"/>
    <w:rsid w:val="0000099F"/>
    <w:rsid w:val="000031C6"/>
    <w:rsid w:val="00004339"/>
    <w:rsid w:val="00005B44"/>
    <w:rsid w:val="00005DC6"/>
    <w:rsid w:val="00006233"/>
    <w:rsid w:val="00007F04"/>
    <w:rsid w:val="00011A82"/>
    <w:rsid w:val="00011D79"/>
    <w:rsid w:val="00012239"/>
    <w:rsid w:val="00014086"/>
    <w:rsid w:val="00014841"/>
    <w:rsid w:val="00014E51"/>
    <w:rsid w:val="000157C6"/>
    <w:rsid w:val="00016536"/>
    <w:rsid w:val="000205C9"/>
    <w:rsid w:val="00020951"/>
    <w:rsid w:val="0002386D"/>
    <w:rsid w:val="00024431"/>
    <w:rsid w:val="00026DBF"/>
    <w:rsid w:val="0002743B"/>
    <w:rsid w:val="000279D3"/>
    <w:rsid w:val="00027A2E"/>
    <w:rsid w:val="00030E9F"/>
    <w:rsid w:val="0003287B"/>
    <w:rsid w:val="00033EDB"/>
    <w:rsid w:val="000347A3"/>
    <w:rsid w:val="000349AD"/>
    <w:rsid w:val="00034D09"/>
    <w:rsid w:val="000368AA"/>
    <w:rsid w:val="0003745A"/>
    <w:rsid w:val="000374B3"/>
    <w:rsid w:val="00037B21"/>
    <w:rsid w:val="00037E6E"/>
    <w:rsid w:val="000403FD"/>
    <w:rsid w:val="00041A86"/>
    <w:rsid w:val="00042075"/>
    <w:rsid w:val="000422F8"/>
    <w:rsid w:val="00042858"/>
    <w:rsid w:val="00042D0C"/>
    <w:rsid w:val="00044C79"/>
    <w:rsid w:val="00046E33"/>
    <w:rsid w:val="000513E2"/>
    <w:rsid w:val="00051823"/>
    <w:rsid w:val="00053B56"/>
    <w:rsid w:val="00054530"/>
    <w:rsid w:val="00054A88"/>
    <w:rsid w:val="00054C19"/>
    <w:rsid w:val="00056C8A"/>
    <w:rsid w:val="0006177D"/>
    <w:rsid w:val="00061FCD"/>
    <w:rsid w:val="000662B0"/>
    <w:rsid w:val="00067591"/>
    <w:rsid w:val="0007001C"/>
    <w:rsid w:val="00070825"/>
    <w:rsid w:val="0007157B"/>
    <w:rsid w:val="00071B13"/>
    <w:rsid w:val="000730B1"/>
    <w:rsid w:val="00074671"/>
    <w:rsid w:val="00074C42"/>
    <w:rsid w:val="00075961"/>
    <w:rsid w:val="0007672B"/>
    <w:rsid w:val="000771D9"/>
    <w:rsid w:val="00077DC5"/>
    <w:rsid w:val="00080590"/>
    <w:rsid w:val="000817A0"/>
    <w:rsid w:val="00082A21"/>
    <w:rsid w:val="00083768"/>
    <w:rsid w:val="00083A9C"/>
    <w:rsid w:val="00087700"/>
    <w:rsid w:val="00091240"/>
    <w:rsid w:val="00091BFE"/>
    <w:rsid w:val="00096078"/>
    <w:rsid w:val="00096C9B"/>
    <w:rsid w:val="00097DD0"/>
    <w:rsid w:val="000A2BFD"/>
    <w:rsid w:val="000A3DA2"/>
    <w:rsid w:val="000A5D3C"/>
    <w:rsid w:val="000B17AF"/>
    <w:rsid w:val="000B2FEF"/>
    <w:rsid w:val="000B4283"/>
    <w:rsid w:val="000B4468"/>
    <w:rsid w:val="000B4BD0"/>
    <w:rsid w:val="000B5E7E"/>
    <w:rsid w:val="000B6BDC"/>
    <w:rsid w:val="000C12E3"/>
    <w:rsid w:val="000C21F8"/>
    <w:rsid w:val="000C2A42"/>
    <w:rsid w:val="000C33B5"/>
    <w:rsid w:val="000C3BD3"/>
    <w:rsid w:val="000C4B25"/>
    <w:rsid w:val="000C52D3"/>
    <w:rsid w:val="000C716A"/>
    <w:rsid w:val="000C7191"/>
    <w:rsid w:val="000C7AF6"/>
    <w:rsid w:val="000D1A96"/>
    <w:rsid w:val="000D2EDE"/>
    <w:rsid w:val="000D3E94"/>
    <w:rsid w:val="000D40BF"/>
    <w:rsid w:val="000D5181"/>
    <w:rsid w:val="000D5408"/>
    <w:rsid w:val="000D5DA5"/>
    <w:rsid w:val="000D5DCE"/>
    <w:rsid w:val="000D5ECA"/>
    <w:rsid w:val="000D6A12"/>
    <w:rsid w:val="000D6A8F"/>
    <w:rsid w:val="000E0E4B"/>
    <w:rsid w:val="000E1C50"/>
    <w:rsid w:val="000E2FF4"/>
    <w:rsid w:val="000E47FE"/>
    <w:rsid w:val="000E4C27"/>
    <w:rsid w:val="000E56C5"/>
    <w:rsid w:val="000E605B"/>
    <w:rsid w:val="000E76E6"/>
    <w:rsid w:val="000E7D7B"/>
    <w:rsid w:val="000F05DD"/>
    <w:rsid w:val="000F08E3"/>
    <w:rsid w:val="000F0999"/>
    <w:rsid w:val="000F1DD5"/>
    <w:rsid w:val="000F4417"/>
    <w:rsid w:val="000F4A1F"/>
    <w:rsid w:val="000F4F22"/>
    <w:rsid w:val="000F5D77"/>
    <w:rsid w:val="000F6DA2"/>
    <w:rsid w:val="000F6EF2"/>
    <w:rsid w:val="000F7B06"/>
    <w:rsid w:val="0010007D"/>
    <w:rsid w:val="00100312"/>
    <w:rsid w:val="00101789"/>
    <w:rsid w:val="00103148"/>
    <w:rsid w:val="00103882"/>
    <w:rsid w:val="001040C4"/>
    <w:rsid w:val="00104A3E"/>
    <w:rsid w:val="0010554E"/>
    <w:rsid w:val="00105CEB"/>
    <w:rsid w:val="00105E94"/>
    <w:rsid w:val="00106B51"/>
    <w:rsid w:val="00110713"/>
    <w:rsid w:val="001118EA"/>
    <w:rsid w:val="00112698"/>
    <w:rsid w:val="001134E2"/>
    <w:rsid w:val="0011373E"/>
    <w:rsid w:val="001148B5"/>
    <w:rsid w:val="001159CC"/>
    <w:rsid w:val="00116A81"/>
    <w:rsid w:val="001179D9"/>
    <w:rsid w:val="0012043B"/>
    <w:rsid w:val="001214DA"/>
    <w:rsid w:val="00122A8D"/>
    <w:rsid w:val="00122ACA"/>
    <w:rsid w:val="00126C9C"/>
    <w:rsid w:val="00126F9F"/>
    <w:rsid w:val="00131E52"/>
    <w:rsid w:val="00133308"/>
    <w:rsid w:val="00133F9F"/>
    <w:rsid w:val="0013548D"/>
    <w:rsid w:val="00136067"/>
    <w:rsid w:val="0013627B"/>
    <w:rsid w:val="00137B69"/>
    <w:rsid w:val="00137E8B"/>
    <w:rsid w:val="00140378"/>
    <w:rsid w:val="001413D7"/>
    <w:rsid w:val="00141BB2"/>
    <w:rsid w:val="00141BC4"/>
    <w:rsid w:val="00144081"/>
    <w:rsid w:val="001510EE"/>
    <w:rsid w:val="00152EB0"/>
    <w:rsid w:val="001530E0"/>
    <w:rsid w:val="0015357A"/>
    <w:rsid w:val="00154D45"/>
    <w:rsid w:val="00154F06"/>
    <w:rsid w:val="00155D1D"/>
    <w:rsid w:val="0015678B"/>
    <w:rsid w:val="00156C1E"/>
    <w:rsid w:val="001571C8"/>
    <w:rsid w:val="0016039F"/>
    <w:rsid w:val="001648A2"/>
    <w:rsid w:val="00164E8C"/>
    <w:rsid w:val="00164F09"/>
    <w:rsid w:val="00165B27"/>
    <w:rsid w:val="00166A64"/>
    <w:rsid w:val="00166D16"/>
    <w:rsid w:val="0016734B"/>
    <w:rsid w:val="00167934"/>
    <w:rsid w:val="001703CF"/>
    <w:rsid w:val="00170A8E"/>
    <w:rsid w:val="001711B0"/>
    <w:rsid w:val="00171BC6"/>
    <w:rsid w:val="00172701"/>
    <w:rsid w:val="00172A27"/>
    <w:rsid w:val="00172B02"/>
    <w:rsid w:val="00174E34"/>
    <w:rsid w:val="00175D2F"/>
    <w:rsid w:val="00176D2E"/>
    <w:rsid w:val="00176FD9"/>
    <w:rsid w:val="00177D83"/>
    <w:rsid w:val="001804FC"/>
    <w:rsid w:val="00180798"/>
    <w:rsid w:val="0018314A"/>
    <w:rsid w:val="001844AB"/>
    <w:rsid w:val="001853F1"/>
    <w:rsid w:val="00185698"/>
    <w:rsid w:val="00185D52"/>
    <w:rsid w:val="00186387"/>
    <w:rsid w:val="00187FD0"/>
    <w:rsid w:val="001912A3"/>
    <w:rsid w:val="001921ED"/>
    <w:rsid w:val="0019266D"/>
    <w:rsid w:val="00192A03"/>
    <w:rsid w:val="00193878"/>
    <w:rsid w:val="00193A7D"/>
    <w:rsid w:val="00197E50"/>
    <w:rsid w:val="001A1095"/>
    <w:rsid w:val="001A2309"/>
    <w:rsid w:val="001A54D9"/>
    <w:rsid w:val="001A5CC2"/>
    <w:rsid w:val="001A5E46"/>
    <w:rsid w:val="001A7E58"/>
    <w:rsid w:val="001B0B57"/>
    <w:rsid w:val="001B11FC"/>
    <w:rsid w:val="001B5C44"/>
    <w:rsid w:val="001C0431"/>
    <w:rsid w:val="001C05A8"/>
    <w:rsid w:val="001C11B2"/>
    <w:rsid w:val="001C2CFE"/>
    <w:rsid w:val="001C3503"/>
    <w:rsid w:val="001C4A65"/>
    <w:rsid w:val="001C4EDE"/>
    <w:rsid w:val="001C5037"/>
    <w:rsid w:val="001C63B7"/>
    <w:rsid w:val="001C6569"/>
    <w:rsid w:val="001C6CA2"/>
    <w:rsid w:val="001C6FFB"/>
    <w:rsid w:val="001C7005"/>
    <w:rsid w:val="001C78AC"/>
    <w:rsid w:val="001D18A2"/>
    <w:rsid w:val="001D30AA"/>
    <w:rsid w:val="001D3182"/>
    <w:rsid w:val="001D3D42"/>
    <w:rsid w:val="001D478C"/>
    <w:rsid w:val="001D53B3"/>
    <w:rsid w:val="001E0149"/>
    <w:rsid w:val="001E04BF"/>
    <w:rsid w:val="001E115E"/>
    <w:rsid w:val="001E119C"/>
    <w:rsid w:val="001E273C"/>
    <w:rsid w:val="001E27C3"/>
    <w:rsid w:val="001E2938"/>
    <w:rsid w:val="001E2992"/>
    <w:rsid w:val="001E2FE6"/>
    <w:rsid w:val="001E42E9"/>
    <w:rsid w:val="001E4A33"/>
    <w:rsid w:val="001E5534"/>
    <w:rsid w:val="001E64CE"/>
    <w:rsid w:val="001E7E39"/>
    <w:rsid w:val="001F0449"/>
    <w:rsid w:val="001F26CE"/>
    <w:rsid w:val="001F2FCB"/>
    <w:rsid w:val="001F5D0C"/>
    <w:rsid w:val="001F6B8C"/>
    <w:rsid w:val="001F71CF"/>
    <w:rsid w:val="002006C6"/>
    <w:rsid w:val="002017E7"/>
    <w:rsid w:val="00201ACF"/>
    <w:rsid w:val="00203919"/>
    <w:rsid w:val="00204F8F"/>
    <w:rsid w:val="00205273"/>
    <w:rsid w:val="00205CCB"/>
    <w:rsid w:val="002070E3"/>
    <w:rsid w:val="00207AD9"/>
    <w:rsid w:val="00211CFF"/>
    <w:rsid w:val="00212277"/>
    <w:rsid w:val="0021256E"/>
    <w:rsid w:val="00212CC7"/>
    <w:rsid w:val="00212E6F"/>
    <w:rsid w:val="00212EC4"/>
    <w:rsid w:val="002136A5"/>
    <w:rsid w:val="00214C20"/>
    <w:rsid w:val="00215B56"/>
    <w:rsid w:val="0021672F"/>
    <w:rsid w:val="0021769B"/>
    <w:rsid w:val="00217F7A"/>
    <w:rsid w:val="00221DE4"/>
    <w:rsid w:val="00221E24"/>
    <w:rsid w:val="00222599"/>
    <w:rsid w:val="00222D68"/>
    <w:rsid w:val="002234BF"/>
    <w:rsid w:val="00223862"/>
    <w:rsid w:val="00225F33"/>
    <w:rsid w:val="0022667B"/>
    <w:rsid w:val="00226840"/>
    <w:rsid w:val="0022733B"/>
    <w:rsid w:val="00227714"/>
    <w:rsid w:val="002305D6"/>
    <w:rsid w:val="00231BA0"/>
    <w:rsid w:val="002321E2"/>
    <w:rsid w:val="002336BF"/>
    <w:rsid w:val="002338A9"/>
    <w:rsid w:val="00235D86"/>
    <w:rsid w:val="00236DEF"/>
    <w:rsid w:val="002400D2"/>
    <w:rsid w:val="002403E0"/>
    <w:rsid w:val="00241823"/>
    <w:rsid w:val="00242113"/>
    <w:rsid w:val="002427F2"/>
    <w:rsid w:val="00242811"/>
    <w:rsid w:val="00242B33"/>
    <w:rsid w:val="00242CB6"/>
    <w:rsid w:val="00242FC0"/>
    <w:rsid w:val="0024498D"/>
    <w:rsid w:val="0024551A"/>
    <w:rsid w:val="002460A0"/>
    <w:rsid w:val="00246447"/>
    <w:rsid w:val="00246D7B"/>
    <w:rsid w:val="00247303"/>
    <w:rsid w:val="00250501"/>
    <w:rsid w:val="002514AF"/>
    <w:rsid w:val="002522A4"/>
    <w:rsid w:val="00252A76"/>
    <w:rsid w:val="00254555"/>
    <w:rsid w:val="00254706"/>
    <w:rsid w:val="00254978"/>
    <w:rsid w:val="00254F61"/>
    <w:rsid w:val="00255915"/>
    <w:rsid w:val="002561EB"/>
    <w:rsid w:val="002567E1"/>
    <w:rsid w:val="00256E55"/>
    <w:rsid w:val="00257852"/>
    <w:rsid w:val="002620D6"/>
    <w:rsid w:val="0026313E"/>
    <w:rsid w:val="002635C9"/>
    <w:rsid w:val="00266291"/>
    <w:rsid w:val="00266B20"/>
    <w:rsid w:val="00266D5B"/>
    <w:rsid w:val="00266F4F"/>
    <w:rsid w:val="002672F2"/>
    <w:rsid w:val="00267407"/>
    <w:rsid w:val="00267EC9"/>
    <w:rsid w:val="00270156"/>
    <w:rsid w:val="002710A8"/>
    <w:rsid w:val="00271656"/>
    <w:rsid w:val="0027226F"/>
    <w:rsid w:val="00273F2A"/>
    <w:rsid w:val="00274D50"/>
    <w:rsid w:val="00275E2C"/>
    <w:rsid w:val="0027718F"/>
    <w:rsid w:val="0027760A"/>
    <w:rsid w:val="002777E3"/>
    <w:rsid w:val="002801AC"/>
    <w:rsid w:val="002801D0"/>
    <w:rsid w:val="00280E1A"/>
    <w:rsid w:val="00283293"/>
    <w:rsid w:val="002833C9"/>
    <w:rsid w:val="00284274"/>
    <w:rsid w:val="00285526"/>
    <w:rsid w:val="00286462"/>
    <w:rsid w:val="00286C5B"/>
    <w:rsid w:val="002900A2"/>
    <w:rsid w:val="0029154F"/>
    <w:rsid w:val="00292A91"/>
    <w:rsid w:val="00293963"/>
    <w:rsid w:val="002940FE"/>
    <w:rsid w:val="00295BA9"/>
    <w:rsid w:val="00297A61"/>
    <w:rsid w:val="002A0E17"/>
    <w:rsid w:val="002A1330"/>
    <w:rsid w:val="002A24DA"/>
    <w:rsid w:val="002A26E5"/>
    <w:rsid w:val="002A2D90"/>
    <w:rsid w:val="002A5A91"/>
    <w:rsid w:val="002A73F6"/>
    <w:rsid w:val="002B0545"/>
    <w:rsid w:val="002B134F"/>
    <w:rsid w:val="002B149A"/>
    <w:rsid w:val="002B4B8F"/>
    <w:rsid w:val="002B62A3"/>
    <w:rsid w:val="002B779E"/>
    <w:rsid w:val="002C0FF1"/>
    <w:rsid w:val="002C21B6"/>
    <w:rsid w:val="002C2CA9"/>
    <w:rsid w:val="002C34E5"/>
    <w:rsid w:val="002C3C9D"/>
    <w:rsid w:val="002C6A13"/>
    <w:rsid w:val="002C6B5D"/>
    <w:rsid w:val="002C7C14"/>
    <w:rsid w:val="002D11CE"/>
    <w:rsid w:val="002D1773"/>
    <w:rsid w:val="002D2B56"/>
    <w:rsid w:val="002D3AB1"/>
    <w:rsid w:val="002D4203"/>
    <w:rsid w:val="002D4CB9"/>
    <w:rsid w:val="002D4DF1"/>
    <w:rsid w:val="002D7F3F"/>
    <w:rsid w:val="002E1051"/>
    <w:rsid w:val="002E2A09"/>
    <w:rsid w:val="002E3816"/>
    <w:rsid w:val="002E4A0C"/>
    <w:rsid w:val="002E57B4"/>
    <w:rsid w:val="002E5A74"/>
    <w:rsid w:val="002E6068"/>
    <w:rsid w:val="002E7C2B"/>
    <w:rsid w:val="002F0BED"/>
    <w:rsid w:val="002F4258"/>
    <w:rsid w:val="002F5C63"/>
    <w:rsid w:val="002F6CF4"/>
    <w:rsid w:val="002F752F"/>
    <w:rsid w:val="00300D7A"/>
    <w:rsid w:val="00301CC7"/>
    <w:rsid w:val="003020AD"/>
    <w:rsid w:val="003023DC"/>
    <w:rsid w:val="00302C6B"/>
    <w:rsid w:val="00303BED"/>
    <w:rsid w:val="00304372"/>
    <w:rsid w:val="00304491"/>
    <w:rsid w:val="00304AA5"/>
    <w:rsid w:val="00304D5C"/>
    <w:rsid w:val="003068D2"/>
    <w:rsid w:val="003074CB"/>
    <w:rsid w:val="0031003F"/>
    <w:rsid w:val="003101B1"/>
    <w:rsid w:val="0031063C"/>
    <w:rsid w:val="0031093C"/>
    <w:rsid w:val="00310994"/>
    <w:rsid w:val="00311781"/>
    <w:rsid w:val="0031195C"/>
    <w:rsid w:val="003143BF"/>
    <w:rsid w:val="00315046"/>
    <w:rsid w:val="00315672"/>
    <w:rsid w:val="00316860"/>
    <w:rsid w:val="00320C40"/>
    <w:rsid w:val="00320D8E"/>
    <w:rsid w:val="00322765"/>
    <w:rsid w:val="00322F60"/>
    <w:rsid w:val="00324F54"/>
    <w:rsid w:val="00324F6C"/>
    <w:rsid w:val="003278ED"/>
    <w:rsid w:val="00331273"/>
    <w:rsid w:val="00331625"/>
    <w:rsid w:val="00331C04"/>
    <w:rsid w:val="0033278B"/>
    <w:rsid w:val="003329B5"/>
    <w:rsid w:val="00333DF4"/>
    <w:rsid w:val="0033418F"/>
    <w:rsid w:val="0033635C"/>
    <w:rsid w:val="00337EFE"/>
    <w:rsid w:val="00340E0B"/>
    <w:rsid w:val="0034131C"/>
    <w:rsid w:val="003423B5"/>
    <w:rsid w:val="00344567"/>
    <w:rsid w:val="0034469C"/>
    <w:rsid w:val="003452A0"/>
    <w:rsid w:val="00347B9F"/>
    <w:rsid w:val="00347D8C"/>
    <w:rsid w:val="00350FC6"/>
    <w:rsid w:val="00352DB1"/>
    <w:rsid w:val="00353519"/>
    <w:rsid w:val="0035492B"/>
    <w:rsid w:val="00356B7D"/>
    <w:rsid w:val="0035721D"/>
    <w:rsid w:val="00357302"/>
    <w:rsid w:val="00357577"/>
    <w:rsid w:val="003624D3"/>
    <w:rsid w:val="003635EF"/>
    <w:rsid w:val="0036374D"/>
    <w:rsid w:val="00365D7C"/>
    <w:rsid w:val="00366139"/>
    <w:rsid w:val="003661ED"/>
    <w:rsid w:val="00367898"/>
    <w:rsid w:val="00370CBC"/>
    <w:rsid w:val="003717EC"/>
    <w:rsid w:val="00373281"/>
    <w:rsid w:val="0037330C"/>
    <w:rsid w:val="00374552"/>
    <w:rsid w:val="00375005"/>
    <w:rsid w:val="003763CE"/>
    <w:rsid w:val="00377259"/>
    <w:rsid w:val="00377A64"/>
    <w:rsid w:val="0038334B"/>
    <w:rsid w:val="0038397D"/>
    <w:rsid w:val="003860DE"/>
    <w:rsid w:val="00386C37"/>
    <w:rsid w:val="00386DEF"/>
    <w:rsid w:val="00391DA1"/>
    <w:rsid w:val="00391F40"/>
    <w:rsid w:val="003924B5"/>
    <w:rsid w:val="00393223"/>
    <w:rsid w:val="00393489"/>
    <w:rsid w:val="003940B4"/>
    <w:rsid w:val="00396BA8"/>
    <w:rsid w:val="0039735C"/>
    <w:rsid w:val="003A2C2B"/>
    <w:rsid w:val="003A37B5"/>
    <w:rsid w:val="003A47EA"/>
    <w:rsid w:val="003A4CF3"/>
    <w:rsid w:val="003A652C"/>
    <w:rsid w:val="003B02D8"/>
    <w:rsid w:val="003B051D"/>
    <w:rsid w:val="003B0762"/>
    <w:rsid w:val="003B0D59"/>
    <w:rsid w:val="003B1A82"/>
    <w:rsid w:val="003B2EAC"/>
    <w:rsid w:val="003B39BA"/>
    <w:rsid w:val="003B5388"/>
    <w:rsid w:val="003B59BB"/>
    <w:rsid w:val="003B6850"/>
    <w:rsid w:val="003C00DA"/>
    <w:rsid w:val="003C061E"/>
    <w:rsid w:val="003C0A38"/>
    <w:rsid w:val="003C2EEF"/>
    <w:rsid w:val="003C379E"/>
    <w:rsid w:val="003C421B"/>
    <w:rsid w:val="003C48EB"/>
    <w:rsid w:val="003C5934"/>
    <w:rsid w:val="003C648D"/>
    <w:rsid w:val="003C6BFD"/>
    <w:rsid w:val="003D0205"/>
    <w:rsid w:val="003D0251"/>
    <w:rsid w:val="003D03D8"/>
    <w:rsid w:val="003D094D"/>
    <w:rsid w:val="003D2CC6"/>
    <w:rsid w:val="003D4431"/>
    <w:rsid w:val="003D50EF"/>
    <w:rsid w:val="003D5C9F"/>
    <w:rsid w:val="003D676A"/>
    <w:rsid w:val="003D6F0A"/>
    <w:rsid w:val="003D75B3"/>
    <w:rsid w:val="003E0672"/>
    <w:rsid w:val="003E0753"/>
    <w:rsid w:val="003E187B"/>
    <w:rsid w:val="003E3B8B"/>
    <w:rsid w:val="003E6403"/>
    <w:rsid w:val="003E6D7A"/>
    <w:rsid w:val="003F0775"/>
    <w:rsid w:val="003F0B62"/>
    <w:rsid w:val="003F149D"/>
    <w:rsid w:val="003F1D4A"/>
    <w:rsid w:val="003F28D1"/>
    <w:rsid w:val="003F2BC3"/>
    <w:rsid w:val="003F4189"/>
    <w:rsid w:val="003F47D5"/>
    <w:rsid w:val="003F5761"/>
    <w:rsid w:val="003F6449"/>
    <w:rsid w:val="003F6766"/>
    <w:rsid w:val="003F7593"/>
    <w:rsid w:val="0040110E"/>
    <w:rsid w:val="00401EAA"/>
    <w:rsid w:val="00403667"/>
    <w:rsid w:val="00403AAA"/>
    <w:rsid w:val="00403C60"/>
    <w:rsid w:val="004053AB"/>
    <w:rsid w:val="00405712"/>
    <w:rsid w:val="00405A43"/>
    <w:rsid w:val="00405CA9"/>
    <w:rsid w:val="00410422"/>
    <w:rsid w:val="0041223A"/>
    <w:rsid w:val="004122FE"/>
    <w:rsid w:val="0041253D"/>
    <w:rsid w:val="00413AD2"/>
    <w:rsid w:val="00414D30"/>
    <w:rsid w:val="004158CD"/>
    <w:rsid w:val="00415BDB"/>
    <w:rsid w:val="0041758F"/>
    <w:rsid w:val="00417C14"/>
    <w:rsid w:val="00417D4E"/>
    <w:rsid w:val="00420212"/>
    <w:rsid w:val="0042089A"/>
    <w:rsid w:val="004211B2"/>
    <w:rsid w:val="00421E23"/>
    <w:rsid w:val="00421FEA"/>
    <w:rsid w:val="00422681"/>
    <w:rsid w:val="00424AED"/>
    <w:rsid w:val="00425280"/>
    <w:rsid w:val="004258A1"/>
    <w:rsid w:val="00426000"/>
    <w:rsid w:val="00426280"/>
    <w:rsid w:val="004318B1"/>
    <w:rsid w:val="004333D6"/>
    <w:rsid w:val="00433CAA"/>
    <w:rsid w:val="00433DDD"/>
    <w:rsid w:val="004347B0"/>
    <w:rsid w:val="00434BED"/>
    <w:rsid w:val="0043503D"/>
    <w:rsid w:val="004353D3"/>
    <w:rsid w:val="0043554B"/>
    <w:rsid w:val="004361F5"/>
    <w:rsid w:val="004378F8"/>
    <w:rsid w:val="00442F40"/>
    <w:rsid w:val="004441F2"/>
    <w:rsid w:val="00444698"/>
    <w:rsid w:val="00444DAA"/>
    <w:rsid w:val="00445A5A"/>
    <w:rsid w:val="00446C11"/>
    <w:rsid w:val="004510AB"/>
    <w:rsid w:val="004526D0"/>
    <w:rsid w:val="00452F5B"/>
    <w:rsid w:val="00454176"/>
    <w:rsid w:val="004542A6"/>
    <w:rsid w:val="004545B5"/>
    <w:rsid w:val="00454D49"/>
    <w:rsid w:val="004556C0"/>
    <w:rsid w:val="004608DD"/>
    <w:rsid w:val="00461FE0"/>
    <w:rsid w:val="004628A0"/>
    <w:rsid w:val="0046421F"/>
    <w:rsid w:val="004649F3"/>
    <w:rsid w:val="004651D7"/>
    <w:rsid w:val="004652CE"/>
    <w:rsid w:val="004665C5"/>
    <w:rsid w:val="004666F5"/>
    <w:rsid w:val="004676B5"/>
    <w:rsid w:val="0047035C"/>
    <w:rsid w:val="00471F6F"/>
    <w:rsid w:val="0047247F"/>
    <w:rsid w:val="00473AEB"/>
    <w:rsid w:val="00473C85"/>
    <w:rsid w:val="00473CA1"/>
    <w:rsid w:val="00474A16"/>
    <w:rsid w:val="004754FF"/>
    <w:rsid w:val="00476035"/>
    <w:rsid w:val="00480C90"/>
    <w:rsid w:val="00484964"/>
    <w:rsid w:val="00490F73"/>
    <w:rsid w:val="004915FB"/>
    <w:rsid w:val="004924BC"/>
    <w:rsid w:val="00493C28"/>
    <w:rsid w:val="00493D60"/>
    <w:rsid w:val="0049552B"/>
    <w:rsid w:val="0049650E"/>
    <w:rsid w:val="00496BAD"/>
    <w:rsid w:val="004976F3"/>
    <w:rsid w:val="004978D3"/>
    <w:rsid w:val="00497AF5"/>
    <w:rsid w:val="004A0736"/>
    <w:rsid w:val="004A1819"/>
    <w:rsid w:val="004A2D04"/>
    <w:rsid w:val="004A3DFF"/>
    <w:rsid w:val="004A3EF9"/>
    <w:rsid w:val="004A4F65"/>
    <w:rsid w:val="004A63C2"/>
    <w:rsid w:val="004A7B0E"/>
    <w:rsid w:val="004B0BDC"/>
    <w:rsid w:val="004B1C58"/>
    <w:rsid w:val="004B1E99"/>
    <w:rsid w:val="004B22FD"/>
    <w:rsid w:val="004B36BE"/>
    <w:rsid w:val="004B3911"/>
    <w:rsid w:val="004B3968"/>
    <w:rsid w:val="004B3BF9"/>
    <w:rsid w:val="004B466B"/>
    <w:rsid w:val="004B4696"/>
    <w:rsid w:val="004B5B3E"/>
    <w:rsid w:val="004B5B8C"/>
    <w:rsid w:val="004B625F"/>
    <w:rsid w:val="004B7036"/>
    <w:rsid w:val="004B7C8B"/>
    <w:rsid w:val="004C138B"/>
    <w:rsid w:val="004C1BD0"/>
    <w:rsid w:val="004C344A"/>
    <w:rsid w:val="004C5FAA"/>
    <w:rsid w:val="004C6A3C"/>
    <w:rsid w:val="004C7076"/>
    <w:rsid w:val="004C79A2"/>
    <w:rsid w:val="004D0B22"/>
    <w:rsid w:val="004D2CCE"/>
    <w:rsid w:val="004D3620"/>
    <w:rsid w:val="004D40E3"/>
    <w:rsid w:val="004D46D1"/>
    <w:rsid w:val="004D513A"/>
    <w:rsid w:val="004E14B9"/>
    <w:rsid w:val="004E20B5"/>
    <w:rsid w:val="004E30F3"/>
    <w:rsid w:val="004E3E63"/>
    <w:rsid w:val="004E408C"/>
    <w:rsid w:val="004E44C8"/>
    <w:rsid w:val="004E4868"/>
    <w:rsid w:val="004E4E82"/>
    <w:rsid w:val="004E62BF"/>
    <w:rsid w:val="004E7047"/>
    <w:rsid w:val="004F06E1"/>
    <w:rsid w:val="004F0A5C"/>
    <w:rsid w:val="004F1908"/>
    <w:rsid w:val="004F218D"/>
    <w:rsid w:val="004F344A"/>
    <w:rsid w:val="004F39E4"/>
    <w:rsid w:val="004F451C"/>
    <w:rsid w:val="004F5CDF"/>
    <w:rsid w:val="004F630B"/>
    <w:rsid w:val="004F71CB"/>
    <w:rsid w:val="00500FAF"/>
    <w:rsid w:val="00502111"/>
    <w:rsid w:val="00503373"/>
    <w:rsid w:val="0050401F"/>
    <w:rsid w:val="005046B1"/>
    <w:rsid w:val="00504882"/>
    <w:rsid w:val="00506628"/>
    <w:rsid w:val="00510B40"/>
    <w:rsid w:val="00513C20"/>
    <w:rsid w:val="0051433B"/>
    <w:rsid w:val="005155AC"/>
    <w:rsid w:val="00516192"/>
    <w:rsid w:val="005162F7"/>
    <w:rsid w:val="00517E28"/>
    <w:rsid w:val="00521741"/>
    <w:rsid w:val="005220D5"/>
    <w:rsid w:val="00522A77"/>
    <w:rsid w:val="00522FA8"/>
    <w:rsid w:val="00523347"/>
    <w:rsid w:val="005233CE"/>
    <w:rsid w:val="0052771E"/>
    <w:rsid w:val="00527868"/>
    <w:rsid w:val="00531D0B"/>
    <w:rsid w:val="00532D15"/>
    <w:rsid w:val="00536836"/>
    <w:rsid w:val="005369DA"/>
    <w:rsid w:val="00536D61"/>
    <w:rsid w:val="0054115B"/>
    <w:rsid w:val="00541185"/>
    <w:rsid w:val="00541E71"/>
    <w:rsid w:val="00542594"/>
    <w:rsid w:val="0054338D"/>
    <w:rsid w:val="0054422F"/>
    <w:rsid w:val="00544DB0"/>
    <w:rsid w:val="00544DE8"/>
    <w:rsid w:val="00545849"/>
    <w:rsid w:val="0054644E"/>
    <w:rsid w:val="005467B6"/>
    <w:rsid w:val="00546E73"/>
    <w:rsid w:val="00547576"/>
    <w:rsid w:val="005477B4"/>
    <w:rsid w:val="00550215"/>
    <w:rsid w:val="0055064D"/>
    <w:rsid w:val="00550C6F"/>
    <w:rsid w:val="0055156A"/>
    <w:rsid w:val="0055164C"/>
    <w:rsid w:val="0055340F"/>
    <w:rsid w:val="00554391"/>
    <w:rsid w:val="005551CE"/>
    <w:rsid w:val="0055618F"/>
    <w:rsid w:val="005572C3"/>
    <w:rsid w:val="00560576"/>
    <w:rsid w:val="005607BB"/>
    <w:rsid w:val="005608BB"/>
    <w:rsid w:val="00560B00"/>
    <w:rsid w:val="00561DA3"/>
    <w:rsid w:val="005644E7"/>
    <w:rsid w:val="00566E67"/>
    <w:rsid w:val="00573179"/>
    <w:rsid w:val="005738D1"/>
    <w:rsid w:val="00574229"/>
    <w:rsid w:val="00574F31"/>
    <w:rsid w:val="005757C9"/>
    <w:rsid w:val="00576128"/>
    <w:rsid w:val="00576795"/>
    <w:rsid w:val="0057740E"/>
    <w:rsid w:val="005777FE"/>
    <w:rsid w:val="00580FEE"/>
    <w:rsid w:val="00581D9D"/>
    <w:rsid w:val="005824E4"/>
    <w:rsid w:val="00582CCD"/>
    <w:rsid w:val="00583E6D"/>
    <w:rsid w:val="005848A2"/>
    <w:rsid w:val="005852B1"/>
    <w:rsid w:val="005854D0"/>
    <w:rsid w:val="00585B7B"/>
    <w:rsid w:val="0058664D"/>
    <w:rsid w:val="00586947"/>
    <w:rsid w:val="00587917"/>
    <w:rsid w:val="00587958"/>
    <w:rsid w:val="005918A2"/>
    <w:rsid w:val="00592EF5"/>
    <w:rsid w:val="0059388D"/>
    <w:rsid w:val="005938A0"/>
    <w:rsid w:val="00593B0D"/>
    <w:rsid w:val="00593B8D"/>
    <w:rsid w:val="00597E53"/>
    <w:rsid w:val="005A0182"/>
    <w:rsid w:val="005A0F76"/>
    <w:rsid w:val="005A3F97"/>
    <w:rsid w:val="005B0034"/>
    <w:rsid w:val="005B0908"/>
    <w:rsid w:val="005B102D"/>
    <w:rsid w:val="005B2324"/>
    <w:rsid w:val="005B31B4"/>
    <w:rsid w:val="005B3B48"/>
    <w:rsid w:val="005B53B3"/>
    <w:rsid w:val="005B5BE7"/>
    <w:rsid w:val="005B6D4C"/>
    <w:rsid w:val="005C0318"/>
    <w:rsid w:val="005C09BE"/>
    <w:rsid w:val="005C0C7A"/>
    <w:rsid w:val="005C2260"/>
    <w:rsid w:val="005C367E"/>
    <w:rsid w:val="005C5942"/>
    <w:rsid w:val="005C681C"/>
    <w:rsid w:val="005D104B"/>
    <w:rsid w:val="005D2829"/>
    <w:rsid w:val="005D3208"/>
    <w:rsid w:val="005D4919"/>
    <w:rsid w:val="005D496E"/>
    <w:rsid w:val="005D4B65"/>
    <w:rsid w:val="005D5231"/>
    <w:rsid w:val="005D568E"/>
    <w:rsid w:val="005D68BD"/>
    <w:rsid w:val="005D6A1E"/>
    <w:rsid w:val="005D756A"/>
    <w:rsid w:val="005E2E4F"/>
    <w:rsid w:val="005E3DEB"/>
    <w:rsid w:val="005E4486"/>
    <w:rsid w:val="005E4C48"/>
    <w:rsid w:val="005E4C7B"/>
    <w:rsid w:val="005E547D"/>
    <w:rsid w:val="005E7B6F"/>
    <w:rsid w:val="005F138C"/>
    <w:rsid w:val="005F2568"/>
    <w:rsid w:val="005F2B7B"/>
    <w:rsid w:val="005F5118"/>
    <w:rsid w:val="005F5B16"/>
    <w:rsid w:val="005F5EC5"/>
    <w:rsid w:val="005F67EA"/>
    <w:rsid w:val="0060090B"/>
    <w:rsid w:val="00601C14"/>
    <w:rsid w:val="006026C6"/>
    <w:rsid w:val="00603763"/>
    <w:rsid w:val="00604759"/>
    <w:rsid w:val="00605D6E"/>
    <w:rsid w:val="00606161"/>
    <w:rsid w:val="00606F57"/>
    <w:rsid w:val="00610EA8"/>
    <w:rsid w:val="0061147F"/>
    <w:rsid w:val="00612486"/>
    <w:rsid w:val="006129A9"/>
    <w:rsid w:val="00612DE7"/>
    <w:rsid w:val="00615A05"/>
    <w:rsid w:val="00621187"/>
    <w:rsid w:val="006219CE"/>
    <w:rsid w:val="00622B9F"/>
    <w:rsid w:val="00622DE3"/>
    <w:rsid w:val="00626D77"/>
    <w:rsid w:val="006324DF"/>
    <w:rsid w:val="00633D4F"/>
    <w:rsid w:val="00634AF7"/>
    <w:rsid w:val="006359B3"/>
    <w:rsid w:val="00635E63"/>
    <w:rsid w:val="006366E2"/>
    <w:rsid w:val="00640B3C"/>
    <w:rsid w:val="00650C92"/>
    <w:rsid w:val="00650CC8"/>
    <w:rsid w:val="006510B7"/>
    <w:rsid w:val="00651E0F"/>
    <w:rsid w:val="006534F6"/>
    <w:rsid w:val="00654C57"/>
    <w:rsid w:val="00657A45"/>
    <w:rsid w:val="00657DA6"/>
    <w:rsid w:val="006608D1"/>
    <w:rsid w:val="00661205"/>
    <w:rsid w:val="00661E30"/>
    <w:rsid w:val="006637D8"/>
    <w:rsid w:val="006645E9"/>
    <w:rsid w:val="00665397"/>
    <w:rsid w:val="00665A9B"/>
    <w:rsid w:val="00665C71"/>
    <w:rsid w:val="0066665D"/>
    <w:rsid w:val="0066729F"/>
    <w:rsid w:val="00672E15"/>
    <w:rsid w:val="0067333C"/>
    <w:rsid w:val="00674E96"/>
    <w:rsid w:val="00675066"/>
    <w:rsid w:val="00675E94"/>
    <w:rsid w:val="00676331"/>
    <w:rsid w:val="00676BD0"/>
    <w:rsid w:val="0068096F"/>
    <w:rsid w:val="00680B77"/>
    <w:rsid w:val="00680EA8"/>
    <w:rsid w:val="00681C37"/>
    <w:rsid w:val="00681D81"/>
    <w:rsid w:val="00682375"/>
    <w:rsid w:val="00684856"/>
    <w:rsid w:val="00691AC8"/>
    <w:rsid w:val="0069207F"/>
    <w:rsid w:val="00692877"/>
    <w:rsid w:val="006928C8"/>
    <w:rsid w:val="00693B42"/>
    <w:rsid w:val="0069478C"/>
    <w:rsid w:val="006957CA"/>
    <w:rsid w:val="006A1201"/>
    <w:rsid w:val="006A3A38"/>
    <w:rsid w:val="006A4616"/>
    <w:rsid w:val="006A4AFC"/>
    <w:rsid w:val="006A5B22"/>
    <w:rsid w:val="006A603C"/>
    <w:rsid w:val="006A625D"/>
    <w:rsid w:val="006A6A7F"/>
    <w:rsid w:val="006B15A4"/>
    <w:rsid w:val="006B1B4F"/>
    <w:rsid w:val="006B2401"/>
    <w:rsid w:val="006B2856"/>
    <w:rsid w:val="006B4D43"/>
    <w:rsid w:val="006B573B"/>
    <w:rsid w:val="006B7900"/>
    <w:rsid w:val="006C06BF"/>
    <w:rsid w:val="006C15A2"/>
    <w:rsid w:val="006C2F64"/>
    <w:rsid w:val="006C5885"/>
    <w:rsid w:val="006C5F20"/>
    <w:rsid w:val="006C79D1"/>
    <w:rsid w:val="006D2A75"/>
    <w:rsid w:val="006D2F8F"/>
    <w:rsid w:val="006D5798"/>
    <w:rsid w:val="006D5F4D"/>
    <w:rsid w:val="006D67E5"/>
    <w:rsid w:val="006D694A"/>
    <w:rsid w:val="006D7912"/>
    <w:rsid w:val="006E1D57"/>
    <w:rsid w:val="006E2934"/>
    <w:rsid w:val="006E604A"/>
    <w:rsid w:val="006E7CB1"/>
    <w:rsid w:val="006F2E27"/>
    <w:rsid w:val="006F4A25"/>
    <w:rsid w:val="006F4C1A"/>
    <w:rsid w:val="006F5819"/>
    <w:rsid w:val="006F629D"/>
    <w:rsid w:val="006F6438"/>
    <w:rsid w:val="0070062B"/>
    <w:rsid w:val="00700E94"/>
    <w:rsid w:val="00701C78"/>
    <w:rsid w:val="00701FD6"/>
    <w:rsid w:val="0070210D"/>
    <w:rsid w:val="00702195"/>
    <w:rsid w:val="0070264F"/>
    <w:rsid w:val="00703496"/>
    <w:rsid w:val="00704A7F"/>
    <w:rsid w:val="007062AF"/>
    <w:rsid w:val="007067DE"/>
    <w:rsid w:val="007102CC"/>
    <w:rsid w:val="007104DF"/>
    <w:rsid w:val="00711B1B"/>
    <w:rsid w:val="00714342"/>
    <w:rsid w:val="00714A90"/>
    <w:rsid w:val="00714DF0"/>
    <w:rsid w:val="00715C02"/>
    <w:rsid w:val="00716942"/>
    <w:rsid w:val="007178E6"/>
    <w:rsid w:val="007219FF"/>
    <w:rsid w:val="007228EE"/>
    <w:rsid w:val="00723D70"/>
    <w:rsid w:val="0072513F"/>
    <w:rsid w:val="00725DF1"/>
    <w:rsid w:val="00725F4E"/>
    <w:rsid w:val="00726CE9"/>
    <w:rsid w:val="00726DDD"/>
    <w:rsid w:val="00731416"/>
    <w:rsid w:val="00732611"/>
    <w:rsid w:val="007334BC"/>
    <w:rsid w:val="0073389F"/>
    <w:rsid w:val="00733A46"/>
    <w:rsid w:val="007376D0"/>
    <w:rsid w:val="00741D92"/>
    <w:rsid w:val="007449DA"/>
    <w:rsid w:val="00751A73"/>
    <w:rsid w:val="00752ADE"/>
    <w:rsid w:val="00752C60"/>
    <w:rsid w:val="00752D8F"/>
    <w:rsid w:val="00752F83"/>
    <w:rsid w:val="007532FA"/>
    <w:rsid w:val="00754E76"/>
    <w:rsid w:val="00755601"/>
    <w:rsid w:val="00755875"/>
    <w:rsid w:val="00760BCC"/>
    <w:rsid w:val="00761F1F"/>
    <w:rsid w:val="00762026"/>
    <w:rsid w:val="007637DC"/>
    <w:rsid w:val="007639CF"/>
    <w:rsid w:val="00763BF8"/>
    <w:rsid w:val="00764D3F"/>
    <w:rsid w:val="0077104E"/>
    <w:rsid w:val="0077132D"/>
    <w:rsid w:val="00772E67"/>
    <w:rsid w:val="007747D6"/>
    <w:rsid w:val="0077493E"/>
    <w:rsid w:val="00774B6B"/>
    <w:rsid w:val="007755D6"/>
    <w:rsid w:val="00775713"/>
    <w:rsid w:val="00775A8C"/>
    <w:rsid w:val="00775D58"/>
    <w:rsid w:val="007772B4"/>
    <w:rsid w:val="00777604"/>
    <w:rsid w:val="00777E9F"/>
    <w:rsid w:val="00780305"/>
    <w:rsid w:val="007816F3"/>
    <w:rsid w:val="00782E41"/>
    <w:rsid w:val="00784393"/>
    <w:rsid w:val="007844A9"/>
    <w:rsid w:val="00784BFD"/>
    <w:rsid w:val="007853FB"/>
    <w:rsid w:val="00785ACA"/>
    <w:rsid w:val="007868AD"/>
    <w:rsid w:val="00790968"/>
    <w:rsid w:val="00791626"/>
    <w:rsid w:val="00794988"/>
    <w:rsid w:val="00794FAB"/>
    <w:rsid w:val="00795047"/>
    <w:rsid w:val="00795633"/>
    <w:rsid w:val="007957A8"/>
    <w:rsid w:val="00796DD7"/>
    <w:rsid w:val="00797C82"/>
    <w:rsid w:val="007A2891"/>
    <w:rsid w:val="007A2CF9"/>
    <w:rsid w:val="007A341A"/>
    <w:rsid w:val="007A4CB1"/>
    <w:rsid w:val="007A554D"/>
    <w:rsid w:val="007A7805"/>
    <w:rsid w:val="007B2221"/>
    <w:rsid w:val="007B2B03"/>
    <w:rsid w:val="007B4A94"/>
    <w:rsid w:val="007B750F"/>
    <w:rsid w:val="007C05BE"/>
    <w:rsid w:val="007C0A33"/>
    <w:rsid w:val="007C241D"/>
    <w:rsid w:val="007C2682"/>
    <w:rsid w:val="007C313C"/>
    <w:rsid w:val="007C40DE"/>
    <w:rsid w:val="007C4821"/>
    <w:rsid w:val="007C495F"/>
    <w:rsid w:val="007C5829"/>
    <w:rsid w:val="007D1C1E"/>
    <w:rsid w:val="007D1CA4"/>
    <w:rsid w:val="007D3584"/>
    <w:rsid w:val="007D3FD8"/>
    <w:rsid w:val="007D44C3"/>
    <w:rsid w:val="007D597F"/>
    <w:rsid w:val="007D7738"/>
    <w:rsid w:val="007E02C8"/>
    <w:rsid w:val="007E1125"/>
    <w:rsid w:val="007E2B89"/>
    <w:rsid w:val="007E2DDB"/>
    <w:rsid w:val="007E51CC"/>
    <w:rsid w:val="007E59D2"/>
    <w:rsid w:val="007E6BF7"/>
    <w:rsid w:val="007E7CF7"/>
    <w:rsid w:val="007E7E9F"/>
    <w:rsid w:val="007F0A97"/>
    <w:rsid w:val="007F116D"/>
    <w:rsid w:val="007F1853"/>
    <w:rsid w:val="007F2DB9"/>
    <w:rsid w:val="007F3187"/>
    <w:rsid w:val="007F4F15"/>
    <w:rsid w:val="007F5677"/>
    <w:rsid w:val="007F7D30"/>
    <w:rsid w:val="00800E4E"/>
    <w:rsid w:val="00800FC6"/>
    <w:rsid w:val="0080232B"/>
    <w:rsid w:val="00803C32"/>
    <w:rsid w:val="00803E52"/>
    <w:rsid w:val="0080528E"/>
    <w:rsid w:val="00805BA0"/>
    <w:rsid w:val="00806D32"/>
    <w:rsid w:val="008112C8"/>
    <w:rsid w:val="00811928"/>
    <w:rsid w:val="008125D0"/>
    <w:rsid w:val="00813F0D"/>
    <w:rsid w:val="008164FD"/>
    <w:rsid w:val="00816F5E"/>
    <w:rsid w:val="008215C0"/>
    <w:rsid w:val="00822034"/>
    <w:rsid w:val="008229E4"/>
    <w:rsid w:val="0082372D"/>
    <w:rsid w:val="00823FD3"/>
    <w:rsid w:val="00824BD9"/>
    <w:rsid w:val="00825924"/>
    <w:rsid w:val="008266BD"/>
    <w:rsid w:val="008277AE"/>
    <w:rsid w:val="008279F9"/>
    <w:rsid w:val="00830160"/>
    <w:rsid w:val="00830C3F"/>
    <w:rsid w:val="00833218"/>
    <w:rsid w:val="008352C1"/>
    <w:rsid w:val="00835B04"/>
    <w:rsid w:val="00836B94"/>
    <w:rsid w:val="008371EC"/>
    <w:rsid w:val="008403AE"/>
    <w:rsid w:val="00844254"/>
    <w:rsid w:val="00845599"/>
    <w:rsid w:val="00847EE7"/>
    <w:rsid w:val="00852917"/>
    <w:rsid w:val="00853A34"/>
    <w:rsid w:val="0085671C"/>
    <w:rsid w:val="00856757"/>
    <w:rsid w:val="008569C4"/>
    <w:rsid w:val="00857334"/>
    <w:rsid w:val="008604BA"/>
    <w:rsid w:val="008609A6"/>
    <w:rsid w:val="00861563"/>
    <w:rsid w:val="0086190E"/>
    <w:rsid w:val="00861C7A"/>
    <w:rsid w:val="00862301"/>
    <w:rsid w:val="00863F3D"/>
    <w:rsid w:val="00864110"/>
    <w:rsid w:val="00865E8C"/>
    <w:rsid w:val="0086616C"/>
    <w:rsid w:val="00866F90"/>
    <w:rsid w:val="00871565"/>
    <w:rsid w:val="00871DC2"/>
    <w:rsid w:val="00872B4E"/>
    <w:rsid w:val="00872DC4"/>
    <w:rsid w:val="00873115"/>
    <w:rsid w:val="008755A0"/>
    <w:rsid w:val="008763F1"/>
    <w:rsid w:val="00880362"/>
    <w:rsid w:val="008811CE"/>
    <w:rsid w:val="008825C4"/>
    <w:rsid w:val="008837EE"/>
    <w:rsid w:val="0088538C"/>
    <w:rsid w:val="00885CEA"/>
    <w:rsid w:val="00887AFE"/>
    <w:rsid w:val="00891D9B"/>
    <w:rsid w:val="00891FCD"/>
    <w:rsid w:val="00892F11"/>
    <w:rsid w:val="008934A2"/>
    <w:rsid w:val="00893A0F"/>
    <w:rsid w:val="00896610"/>
    <w:rsid w:val="00896AE0"/>
    <w:rsid w:val="00896B4B"/>
    <w:rsid w:val="00896FC5"/>
    <w:rsid w:val="008A130A"/>
    <w:rsid w:val="008A13AA"/>
    <w:rsid w:val="008A3A2C"/>
    <w:rsid w:val="008A5DF9"/>
    <w:rsid w:val="008A6BF6"/>
    <w:rsid w:val="008B0416"/>
    <w:rsid w:val="008B0651"/>
    <w:rsid w:val="008B0D23"/>
    <w:rsid w:val="008B0DEA"/>
    <w:rsid w:val="008B6972"/>
    <w:rsid w:val="008C0109"/>
    <w:rsid w:val="008C0BCC"/>
    <w:rsid w:val="008C0F3E"/>
    <w:rsid w:val="008C2A09"/>
    <w:rsid w:val="008C3197"/>
    <w:rsid w:val="008C346B"/>
    <w:rsid w:val="008C3FEE"/>
    <w:rsid w:val="008C5DC7"/>
    <w:rsid w:val="008D062C"/>
    <w:rsid w:val="008D3608"/>
    <w:rsid w:val="008D5A7E"/>
    <w:rsid w:val="008E0492"/>
    <w:rsid w:val="008E0E5F"/>
    <w:rsid w:val="008E1EE8"/>
    <w:rsid w:val="008E221A"/>
    <w:rsid w:val="008E2C18"/>
    <w:rsid w:val="008E2E0E"/>
    <w:rsid w:val="008E424F"/>
    <w:rsid w:val="008E5203"/>
    <w:rsid w:val="008E5FEA"/>
    <w:rsid w:val="008E62E4"/>
    <w:rsid w:val="008E63CA"/>
    <w:rsid w:val="008E6A1E"/>
    <w:rsid w:val="008E75D4"/>
    <w:rsid w:val="008E76F3"/>
    <w:rsid w:val="008F0F62"/>
    <w:rsid w:val="008F1D70"/>
    <w:rsid w:val="008F1DA2"/>
    <w:rsid w:val="008F2571"/>
    <w:rsid w:val="008F33EB"/>
    <w:rsid w:val="008F36B0"/>
    <w:rsid w:val="008F6919"/>
    <w:rsid w:val="008F779F"/>
    <w:rsid w:val="008F796C"/>
    <w:rsid w:val="00900D0E"/>
    <w:rsid w:val="00901B03"/>
    <w:rsid w:val="009034B8"/>
    <w:rsid w:val="00903C78"/>
    <w:rsid w:val="00905D13"/>
    <w:rsid w:val="00906B7A"/>
    <w:rsid w:val="00907769"/>
    <w:rsid w:val="0091154D"/>
    <w:rsid w:val="009172B3"/>
    <w:rsid w:val="00920084"/>
    <w:rsid w:val="00920533"/>
    <w:rsid w:val="009207A6"/>
    <w:rsid w:val="009212F5"/>
    <w:rsid w:val="00922A59"/>
    <w:rsid w:val="009239AF"/>
    <w:rsid w:val="009250B9"/>
    <w:rsid w:val="00925D61"/>
    <w:rsid w:val="009262DD"/>
    <w:rsid w:val="00927F1F"/>
    <w:rsid w:val="00931715"/>
    <w:rsid w:val="0093276E"/>
    <w:rsid w:val="00932E6B"/>
    <w:rsid w:val="0093367F"/>
    <w:rsid w:val="00933AA3"/>
    <w:rsid w:val="00935A55"/>
    <w:rsid w:val="009372A9"/>
    <w:rsid w:val="0093736B"/>
    <w:rsid w:val="00937380"/>
    <w:rsid w:val="00940210"/>
    <w:rsid w:val="00941254"/>
    <w:rsid w:val="00946424"/>
    <w:rsid w:val="00947093"/>
    <w:rsid w:val="009477B5"/>
    <w:rsid w:val="00947F55"/>
    <w:rsid w:val="00950812"/>
    <w:rsid w:val="009514E1"/>
    <w:rsid w:val="00951AAB"/>
    <w:rsid w:val="00951D93"/>
    <w:rsid w:val="00953DAC"/>
    <w:rsid w:val="00957CF9"/>
    <w:rsid w:val="009600F4"/>
    <w:rsid w:val="00960BCE"/>
    <w:rsid w:val="00961608"/>
    <w:rsid w:val="009629D7"/>
    <w:rsid w:val="00965557"/>
    <w:rsid w:val="00965A20"/>
    <w:rsid w:val="0096606D"/>
    <w:rsid w:val="00966355"/>
    <w:rsid w:val="00967216"/>
    <w:rsid w:val="00967315"/>
    <w:rsid w:val="009702D2"/>
    <w:rsid w:val="00971BEB"/>
    <w:rsid w:val="009727DC"/>
    <w:rsid w:val="00972FB9"/>
    <w:rsid w:val="00973A4D"/>
    <w:rsid w:val="00973DB6"/>
    <w:rsid w:val="00974CF1"/>
    <w:rsid w:val="0097584F"/>
    <w:rsid w:val="0098092A"/>
    <w:rsid w:val="00982ECD"/>
    <w:rsid w:val="00983DCD"/>
    <w:rsid w:val="009852B2"/>
    <w:rsid w:val="00985C63"/>
    <w:rsid w:val="00985C6A"/>
    <w:rsid w:val="00986739"/>
    <w:rsid w:val="00987ED4"/>
    <w:rsid w:val="009905C2"/>
    <w:rsid w:val="00990DD3"/>
    <w:rsid w:val="00994423"/>
    <w:rsid w:val="00995A10"/>
    <w:rsid w:val="00995B9E"/>
    <w:rsid w:val="00995F72"/>
    <w:rsid w:val="00995F78"/>
    <w:rsid w:val="0099637E"/>
    <w:rsid w:val="00997D1A"/>
    <w:rsid w:val="009A01E2"/>
    <w:rsid w:val="009A0F62"/>
    <w:rsid w:val="009A16F1"/>
    <w:rsid w:val="009A2E8D"/>
    <w:rsid w:val="009A4047"/>
    <w:rsid w:val="009A472B"/>
    <w:rsid w:val="009A55E9"/>
    <w:rsid w:val="009A55FC"/>
    <w:rsid w:val="009A57E0"/>
    <w:rsid w:val="009A59C9"/>
    <w:rsid w:val="009A6D6D"/>
    <w:rsid w:val="009A733F"/>
    <w:rsid w:val="009B0DA6"/>
    <w:rsid w:val="009B2561"/>
    <w:rsid w:val="009B2F50"/>
    <w:rsid w:val="009B2FBC"/>
    <w:rsid w:val="009B3C2A"/>
    <w:rsid w:val="009B44A3"/>
    <w:rsid w:val="009B5B21"/>
    <w:rsid w:val="009B5DEF"/>
    <w:rsid w:val="009B7AFA"/>
    <w:rsid w:val="009C3962"/>
    <w:rsid w:val="009C3F67"/>
    <w:rsid w:val="009C40AC"/>
    <w:rsid w:val="009C479D"/>
    <w:rsid w:val="009C4C34"/>
    <w:rsid w:val="009C5E07"/>
    <w:rsid w:val="009D0BAC"/>
    <w:rsid w:val="009D0FE6"/>
    <w:rsid w:val="009D14D9"/>
    <w:rsid w:val="009D17D3"/>
    <w:rsid w:val="009D2902"/>
    <w:rsid w:val="009D2FB9"/>
    <w:rsid w:val="009D3286"/>
    <w:rsid w:val="009D435C"/>
    <w:rsid w:val="009D51E0"/>
    <w:rsid w:val="009D6919"/>
    <w:rsid w:val="009D7B13"/>
    <w:rsid w:val="009D7BB7"/>
    <w:rsid w:val="009E0567"/>
    <w:rsid w:val="009E0F68"/>
    <w:rsid w:val="009E17BE"/>
    <w:rsid w:val="009E1A42"/>
    <w:rsid w:val="009E1AF0"/>
    <w:rsid w:val="009E1B04"/>
    <w:rsid w:val="009E1E6B"/>
    <w:rsid w:val="009E381D"/>
    <w:rsid w:val="009E4EA9"/>
    <w:rsid w:val="009E557B"/>
    <w:rsid w:val="009E5CF8"/>
    <w:rsid w:val="009E5F88"/>
    <w:rsid w:val="009E73E9"/>
    <w:rsid w:val="009E7739"/>
    <w:rsid w:val="009E77B9"/>
    <w:rsid w:val="009E78E2"/>
    <w:rsid w:val="009F0D1B"/>
    <w:rsid w:val="009F282E"/>
    <w:rsid w:val="009F4AC9"/>
    <w:rsid w:val="009F69C2"/>
    <w:rsid w:val="00A002FD"/>
    <w:rsid w:val="00A00754"/>
    <w:rsid w:val="00A01341"/>
    <w:rsid w:val="00A03747"/>
    <w:rsid w:val="00A03FC9"/>
    <w:rsid w:val="00A05186"/>
    <w:rsid w:val="00A0564B"/>
    <w:rsid w:val="00A06855"/>
    <w:rsid w:val="00A07D1A"/>
    <w:rsid w:val="00A1148B"/>
    <w:rsid w:val="00A11E72"/>
    <w:rsid w:val="00A12091"/>
    <w:rsid w:val="00A125C1"/>
    <w:rsid w:val="00A12FE0"/>
    <w:rsid w:val="00A135FB"/>
    <w:rsid w:val="00A14340"/>
    <w:rsid w:val="00A17936"/>
    <w:rsid w:val="00A17D46"/>
    <w:rsid w:val="00A20600"/>
    <w:rsid w:val="00A217CB"/>
    <w:rsid w:val="00A21F58"/>
    <w:rsid w:val="00A2261C"/>
    <w:rsid w:val="00A23105"/>
    <w:rsid w:val="00A2325A"/>
    <w:rsid w:val="00A23332"/>
    <w:rsid w:val="00A2393C"/>
    <w:rsid w:val="00A244DE"/>
    <w:rsid w:val="00A24767"/>
    <w:rsid w:val="00A24F8F"/>
    <w:rsid w:val="00A259D9"/>
    <w:rsid w:val="00A269C8"/>
    <w:rsid w:val="00A26DE9"/>
    <w:rsid w:val="00A27FB3"/>
    <w:rsid w:val="00A3009B"/>
    <w:rsid w:val="00A33AC3"/>
    <w:rsid w:val="00A340B3"/>
    <w:rsid w:val="00A34EFF"/>
    <w:rsid w:val="00A36DD7"/>
    <w:rsid w:val="00A37172"/>
    <w:rsid w:val="00A404DC"/>
    <w:rsid w:val="00A40DAA"/>
    <w:rsid w:val="00A40FC4"/>
    <w:rsid w:val="00A431AA"/>
    <w:rsid w:val="00A44124"/>
    <w:rsid w:val="00A466DB"/>
    <w:rsid w:val="00A50935"/>
    <w:rsid w:val="00A51AD8"/>
    <w:rsid w:val="00A522D6"/>
    <w:rsid w:val="00A5384E"/>
    <w:rsid w:val="00A5397E"/>
    <w:rsid w:val="00A53B71"/>
    <w:rsid w:val="00A546CB"/>
    <w:rsid w:val="00A548F9"/>
    <w:rsid w:val="00A566B8"/>
    <w:rsid w:val="00A60A03"/>
    <w:rsid w:val="00A60E8A"/>
    <w:rsid w:val="00A61821"/>
    <w:rsid w:val="00A6233C"/>
    <w:rsid w:val="00A64634"/>
    <w:rsid w:val="00A662E6"/>
    <w:rsid w:val="00A67A76"/>
    <w:rsid w:val="00A67F2B"/>
    <w:rsid w:val="00A72140"/>
    <w:rsid w:val="00A72852"/>
    <w:rsid w:val="00A72AF7"/>
    <w:rsid w:val="00A730BB"/>
    <w:rsid w:val="00A73460"/>
    <w:rsid w:val="00A75E56"/>
    <w:rsid w:val="00A76588"/>
    <w:rsid w:val="00A776D8"/>
    <w:rsid w:val="00A805DD"/>
    <w:rsid w:val="00A80B9F"/>
    <w:rsid w:val="00A80BC5"/>
    <w:rsid w:val="00A8254B"/>
    <w:rsid w:val="00A84867"/>
    <w:rsid w:val="00A8670E"/>
    <w:rsid w:val="00A867AF"/>
    <w:rsid w:val="00A86835"/>
    <w:rsid w:val="00A86E8C"/>
    <w:rsid w:val="00A91EB9"/>
    <w:rsid w:val="00A9225D"/>
    <w:rsid w:val="00A93F8A"/>
    <w:rsid w:val="00A9470D"/>
    <w:rsid w:val="00A96829"/>
    <w:rsid w:val="00AA0D60"/>
    <w:rsid w:val="00AA26CF"/>
    <w:rsid w:val="00AA287E"/>
    <w:rsid w:val="00AA46CC"/>
    <w:rsid w:val="00AA48B7"/>
    <w:rsid w:val="00AA48C6"/>
    <w:rsid w:val="00AA4B1A"/>
    <w:rsid w:val="00AA6A5D"/>
    <w:rsid w:val="00AA72FA"/>
    <w:rsid w:val="00AA7A52"/>
    <w:rsid w:val="00AB0581"/>
    <w:rsid w:val="00AB080E"/>
    <w:rsid w:val="00AB1444"/>
    <w:rsid w:val="00AB1E81"/>
    <w:rsid w:val="00AB2982"/>
    <w:rsid w:val="00AB2AFC"/>
    <w:rsid w:val="00AB2F41"/>
    <w:rsid w:val="00AB3368"/>
    <w:rsid w:val="00AB3553"/>
    <w:rsid w:val="00AB4CA3"/>
    <w:rsid w:val="00AC25D3"/>
    <w:rsid w:val="00AC26A1"/>
    <w:rsid w:val="00AC2C7E"/>
    <w:rsid w:val="00AC5481"/>
    <w:rsid w:val="00AC5F5B"/>
    <w:rsid w:val="00AC737D"/>
    <w:rsid w:val="00AD3328"/>
    <w:rsid w:val="00AD5AC0"/>
    <w:rsid w:val="00AD71A0"/>
    <w:rsid w:val="00AD7C23"/>
    <w:rsid w:val="00AE18A5"/>
    <w:rsid w:val="00AE1E94"/>
    <w:rsid w:val="00AE22F5"/>
    <w:rsid w:val="00AE3084"/>
    <w:rsid w:val="00AE3C25"/>
    <w:rsid w:val="00AE3C2F"/>
    <w:rsid w:val="00AE74C9"/>
    <w:rsid w:val="00AF0733"/>
    <w:rsid w:val="00AF188C"/>
    <w:rsid w:val="00AF1EE4"/>
    <w:rsid w:val="00AF33B8"/>
    <w:rsid w:val="00AF456E"/>
    <w:rsid w:val="00AF4774"/>
    <w:rsid w:val="00AF4B77"/>
    <w:rsid w:val="00AF63EE"/>
    <w:rsid w:val="00AF694F"/>
    <w:rsid w:val="00AF774F"/>
    <w:rsid w:val="00AF7A58"/>
    <w:rsid w:val="00B01319"/>
    <w:rsid w:val="00B01379"/>
    <w:rsid w:val="00B0258C"/>
    <w:rsid w:val="00B027F0"/>
    <w:rsid w:val="00B033F4"/>
    <w:rsid w:val="00B03645"/>
    <w:rsid w:val="00B039D0"/>
    <w:rsid w:val="00B05829"/>
    <w:rsid w:val="00B079FE"/>
    <w:rsid w:val="00B11CE3"/>
    <w:rsid w:val="00B11CF9"/>
    <w:rsid w:val="00B15336"/>
    <w:rsid w:val="00B154C8"/>
    <w:rsid w:val="00B15791"/>
    <w:rsid w:val="00B164D1"/>
    <w:rsid w:val="00B16DEC"/>
    <w:rsid w:val="00B20C7E"/>
    <w:rsid w:val="00B22637"/>
    <w:rsid w:val="00B24153"/>
    <w:rsid w:val="00B25767"/>
    <w:rsid w:val="00B26024"/>
    <w:rsid w:val="00B26E0E"/>
    <w:rsid w:val="00B26EA4"/>
    <w:rsid w:val="00B30129"/>
    <w:rsid w:val="00B32DED"/>
    <w:rsid w:val="00B34BCC"/>
    <w:rsid w:val="00B34E25"/>
    <w:rsid w:val="00B362DD"/>
    <w:rsid w:val="00B364F3"/>
    <w:rsid w:val="00B36F5F"/>
    <w:rsid w:val="00B36F80"/>
    <w:rsid w:val="00B4103C"/>
    <w:rsid w:val="00B4260A"/>
    <w:rsid w:val="00B43282"/>
    <w:rsid w:val="00B43301"/>
    <w:rsid w:val="00B44417"/>
    <w:rsid w:val="00B453C6"/>
    <w:rsid w:val="00B46106"/>
    <w:rsid w:val="00B461AB"/>
    <w:rsid w:val="00B4761E"/>
    <w:rsid w:val="00B47EB0"/>
    <w:rsid w:val="00B51B97"/>
    <w:rsid w:val="00B522A6"/>
    <w:rsid w:val="00B52C91"/>
    <w:rsid w:val="00B53EC3"/>
    <w:rsid w:val="00B53F8D"/>
    <w:rsid w:val="00B555E9"/>
    <w:rsid w:val="00B556C3"/>
    <w:rsid w:val="00B567AA"/>
    <w:rsid w:val="00B568CF"/>
    <w:rsid w:val="00B606A2"/>
    <w:rsid w:val="00B61362"/>
    <w:rsid w:val="00B6146C"/>
    <w:rsid w:val="00B6170E"/>
    <w:rsid w:val="00B61BBE"/>
    <w:rsid w:val="00B61F5A"/>
    <w:rsid w:val="00B64749"/>
    <w:rsid w:val="00B654E6"/>
    <w:rsid w:val="00B70B9B"/>
    <w:rsid w:val="00B710C5"/>
    <w:rsid w:val="00B711CF"/>
    <w:rsid w:val="00B73CA0"/>
    <w:rsid w:val="00B7465E"/>
    <w:rsid w:val="00B7668E"/>
    <w:rsid w:val="00B76E40"/>
    <w:rsid w:val="00B77FFD"/>
    <w:rsid w:val="00B80CB9"/>
    <w:rsid w:val="00B82EC2"/>
    <w:rsid w:val="00B8675F"/>
    <w:rsid w:val="00B86A83"/>
    <w:rsid w:val="00B90050"/>
    <w:rsid w:val="00B91B9A"/>
    <w:rsid w:val="00B945DB"/>
    <w:rsid w:val="00B94E9F"/>
    <w:rsid w:val="00B967D0"/>
    <w:rsid w:val="00BA152C"/>
    <w:rsid w:val="00BA1CED"/>
    <w:rsid w:val="00BA2656"/>
    <w:rsid w:val="00BA284C"/>
    <w:rsid w:val="00BA2A38"/>
    <w:rsid w:val="00BA3445"/>
    <w:rsid w:val="00BA4363"/>
    <w:rsid w:val="00BA4AB1"/>
    <w:rsid w:val="00BA57FE"/>
    <w:rsid w:val="00BA5B48"/>
    <w:rsid w:val="00BA5E9B"/>
    <w:rsid w:val="00BA69F3"/>
    <w:rsid w:val="00BB28FA"/>
    <w:rsid w:val="00BB53BA"/>
    <w:rsid w:val="00BB5FF7"/>
    <w:rsid w:val="00BB6656"/>
    <w:rsid w:val="00BB7D7A"/>
    <w:rsid w:val="00BC0BC5"/>
    <w:rsid w:val="00BC0CFA"/>
    <w:rsid w:val="00BC113F"/>
    <w:rsid w:val="00BC1968"/>
    <w:rsid w:val="00BC2326"/>
    <w:rsid w:val="00BC2940"/>
    <w:rsid w:val="00BC2C67"/>
    <w:rsid w:val="00BC35E5"/>
    <w:rsid w:val="00BC4135"/>
    <w:rsid w:val="00BC568A"/>
    <w:rsid w:val="00BC5A30"/>
    <w:rsid w:val="00BC5CF0"/>
    <w:rsid w:val="00BC72DA"/>
    <w:rsid w:val="00BC7E64"/>
    <w:rsid w:val="00BD0D0E"/>
    <w:rsid w:val="00BD0F42"/>
    <w:rsid w:val="00BD1DBB"/>
    <w:rsid w:val="00BD566D"/>
    <w:rsid w:val="00BD7B98"/>
    <w:rsid w:val="00BE1446"/>
    <w:rsid w:val="00BE1F40"/>
    <w:rsid w:val="00BE2743"/>
    <w:rsid w:val="00BE3437"/>
    <w:rsid w:val="00BE4BB3"/>
    <w:rsid w:val="00BE5A14"/>
    <w:rsid w:val="00BE7691"/>
    <w:rsid w:val="00BF1F38"/>
    <w:rsid w:val="00BF2DD6"/>
    <w:rsid w:val="00BF3C74"/>
    <w:rsid w:val="00BF7E01"/>
    <w:rsid w:val="00C00539"/>
    <w:rsid w:val="00C00CD3"/>
    <w:rsid w:val="00C01E08"/>
    <w:rsid w:val="00C0278F"/>
    <w:rsid w:val="00C02FEE"/>
    <w:rsid w:val="00C05523"/>
    <w:rsid w:val="00C10624"/>
    <w:rsid w:val="00C106A6"/>
    <w:rsid w:val="00C128F7"/>
    <w:rsid w:val="00C12B0A"/>
    <w:rsid w:val="00C12C21"/>
    <w:rsid w:val="00C12C52"/>
    <w:rsid w:val="00C13984"/>
    <w:rsid w:val="00C1496B"/>
    <w:rsid w:val="00C1695A"/>
    <w:rsid w:val="00C169E5"/>
    <w:rsid w:val="00C17C26"/>
    <w:rsid w:val="00C17F21"/>
    <w:rsid w:val="00C2043D"/>
    <w:rsid w:val="00C23943"/>
    <w:rsid w:val="00C23ADA"/>
    <w:rsid w:val="00C2449B"/>
    <w:rsid w:val="00C24C02"/>
    <w:rsid w:val="00C25404"/>
    <w:rsid w:val="00C262F4"/>
    <w:rsid w:val="00C263D2"/>
    <w:rsid w:val="00C26B76"/>
    <w:rsid w:val="00C26C57"/>
    <w:rsid w:val="00C275F8"/>
    <w:rsid w:val="00C30650"/>
    <w:rsid w:val="00C33574"/>
    <w:rsid w:val="00C347F0"/>
    <w:rsid w:val="00C34C0E"/>
    <w:rsid w:val="00C37F77"/>
    <w:rsid w:val="00C40AA8"/>
    <w:rsid w:val="00C41700"/>
    <w:rsid w:val="00C41853"/>
    <w:rsid w:val="00C445D8"/>
    <w:rsid w:val="00C451D8"/>
    <w:rsid w:val="00C45B41"/>
    <w:rsid w:val="00C45D1A"/>
    <w:rsid w:val="00C46628"/>
    <w:rsid w:val="00C46752"/>
    <w:rsid w:val="00C46E89"/>
    <w:rsid w:val="00C47CE8"/>
    <w:rsid w:val="00C50043"/>
    <w:rsid w:val="00C53A70"/>
    <w:rsid w:val="00C53C8F"/>
    <w:rsid w:val="00C54007"/>
    <w:rsid w:val="00C54F0E"/>
    <w:rsid w:val="00C5578C"/>
    <w:rsid w:val="00C56891"/>
    <w:rsid w:val="00C614EC"/>
    <w:rsid w:val="00C61ADE"/>
    <w:rsid w:val="00C61CC6"/>
    <w:rsid w:val="00C62AD1"/>
    <w:rsid w:val="00C641D9"/>
    <w:rsid w:val="00C64AAC"/>
    <w:rsid w:val="00C655F6"/>
    <w:rsid w:val="00C71040"/>
    <w:rsid w:val="00C7139B"/>
    <w:rsid w:val="00C71C9E"/>
    <w:rsid w:val="00C740FB"/>
    <w:rsid w:val="00C76934"/>
    <w:rsid w:val="00C813B7"/>
    <w:rsid w:val="00C82D4B"/>
    <w:rsid w:val="00C844E2"/>
    <w:rsid w:val="00C85C02"/>
    <w:rsid w:val="00C906AA"/>
    <w:rsid w:val="00C91D6D"/>
    <w:rsid w:val="00C92B48"/>
    <w:rsid w:val="00C9311E"/>
    <w:rsid w:val="00C93880"/>
    <w:rsid w:val="00C938B0"/>
    <w:rsid w:val="00C953DB"/>
    <w:rsid w:val="00C97DA6"/>
    <w:rsid w:val="00C97E99"/>
    <w:rsid w:val="00CA0FDC"/>
    <w:rsid w:val="00CA14E7"/>
    <w:rsid w:val="00CA358B"/>
    <w:rsid w:val="00CA3AD4"/>
    <w:rsid w:val="00CA75AE"/>
    <w:rsid w:val="00CA7601"/>
    <w:rsid w:val="00CA7B57"/>
    <w:rsid w:val="00CB05B1"/>
    <w:rsid w:val="00CB0D25"/>
    <w:rsid w:val="00CB3396"/>
    <w:rsid w:val="00CB3DAD"/>
    <w:rsid w:val="00CB5FFE"/>
    <w:rsid w:val="00CB650E"/>
    <w:rsid w:val="00CB700A"/>
    <w:rsid w:val="00CB7A1E"/>
    <w:rsid w:val="00CB7F47"/>
    <w:rsid w:val="00CC07D4"/>
    <w:rsid w:val="00CC308F"/>
    <w:rsid w:val="00CC43DF"/>
    <w:rsid w:val="00CC6325"/>
    <w:rsid w:val="00CC6867"/>
    <w:rsid w:val="00CC7892"/>
    <w:rsid w:val="00CD13AB"/>
    <w:rsid w:val="00CD355C"/>
    <w:rsid w:val="00CD3654"/>
    <w:rsid w:val="00CD6363"/>
    <w:rsid w:val="00CD7B35"/>
    <w:rsid w:val="00CD7C8B"/>
    <w:rsid w:val="00CE0468"/>
    <w:rsid w:val="00CE46EE"/>
    <w:rsid w:val="00CE7228"/>
    <w:rsid w:val="00CF0171"/>
    <w:rsid w:val="00CF04C4"/>
    <w:rsid w:val="00CF090A"/>
    <w:rsid w:val="00CF18F7"/>
    <w:rsid w:val="00CF1B3A"/>
    <w:rsid w:val="00CF2617"/>
    <w:rsid w:val="00CF2BF6"/>
    <w:rsid w:val="00CF5028"/>
    <w:rsid w:val="00CF661B"/>
    <w:rsid w:val="00CF695E"/>
    <w:rsid w:val="00D0264F"/>
    <w:rsid w:val="00D0314D"/>
    <w:rsid w:val="00D03B80"/>
    <w:rsid w:val="00D05239"/>
    <w:rsid w:val="00D06745"/>
    <w:rsid w:val="00D06835"/>
    <w:rsid w:val="00D076E0"/>
    <w:rsid w:val="00D1299A"/>
    <w:rsid w:val="00D1328E"/>
    <w:rsid w:val="00D1750B"/>
    <w:rsid w:val="00D219FC"/>
    <w:rsid w:val="00D22CB9"/>
    <w:rsid w:val="00D23116"/>
    <w:rsid w:val="00D244DC"/>
    <w:rsid w:val="00D252FD"/>
    <w:rsid w:val="00D27E61"/>
    <w:rsid w:val="00D27EDB"/>
    <w:rsid w:val="00D30D5D"/>
    <w:rsid w:val="00D30FA9"/>
    <w:rsid w:val="00D313C0"/>
    <w:rsid w:val="00D316F8"/>
    <w:rsid w:val="00D31766"/>
    <w:rsid w:val="00D32B91"/>
    <w:rsid w:val="00D3495A"/>
    <w:rsid w:val="00D35430"/>
    <w:rsid w:val="00D359B6"/>
    <w:rsid w:val="00D37E3E"/>
    <w:rsid w:val="00D43A18"/>
    <w:rsid w:val="00D43F83"/>
    <w:rsid w:val="00D46195"/>
    <w:rsid w:val="00D50505"/>
    <w:rsid w:val="00D518D2"/>
    <w:rsid w:val="00D51EA7"/>
    <w:rsid w:val="00D52534"/>
    <w:rsid w:val="00D53450"/>
    <w:rsid w:val="00D5365C"/>
    <w:rsid w:val="00D53CEA"/>
    <w:rsid w:val="00D53D45"/>
    <w:rsid w:val="00D5537A"/>
    <w:rsid w:val="00D560F2"/>
    <w:rsid w:val="00D57CB2"/>
    <w:rsid w:val="00D611DD"/>
    <w:rsid w:val="00D61A1A"/>
    <w:rsid w:val="00D64D77"/>
    <w:rsid w:val="00D652BA"/>
    <w:rsid w:val="00D65543"/>
    <w:rsid w:val="00D65BD9"/>
    <w:rsid w:val="00D70134"/>
    <w:rsid w:val="00D7020C"/>
    <w:rsid w:val="00D70DAD"/>
    <w:rsid w:val="00D7174B"/>
    <w:rsid w:val="00D71DB2"/>
    <w:rsid w:val="00D73237"/>
    <w:rsid w:val="00D742BE"/>
    <w:rsid w:val="00D74375"/>
    <w:rsid w:val="00D759CC"/>
    <w:rsid w:val="00D77DAD"/>
    <w:rsid w:val="00D80061"/>
    <w:rsid w:val="00D81577"/>
    <w:rsid w:val="00D81FE8"/>
    <w:rsid w:val="00D82215"/>
    <w:rsid w:val="00D82AD2"/>
    <w:rsid w:val="00D833FD"/>
    <w:rsid w:val="00D84C6B"/>
    <w:rsid w:val="00D84D71"/>
    <w:rsid w:val="00D85680"/>
    <w:rsid w:val="00D86334"/>
    <w:rsid w:val="00D87AA3"/>
    <w:rsid w:val="00D87E74"/>
    <w:rsid w:val="00D91B57"/>
    <w:rsid w:val="00D956D4"/>
    <w:rsid w:val="00D96FD7"/>
    <w:rsid w:val="00D9746F"/>
    <w:rsid w:val="00DA11A7"/>
    <w:rsid w:val="00DA288F"/>
    <w:rsid w:val="00DA44D2"/>
    <w:rsid w:val="00DA478A"/>
    <w:rsid w:val="00DA4FA7"/>
    <w:rsid w:val="00DA566B"/>
    <w:rsid w:val="00DA591B"/>
    <w:rsid w:val="00DA7762"/>
    <w:rsid w:val="00DA79E1"/>
    <w:rsid w:val="00DB087A"/>
    <w:rsid w:val="00DB1908"/>
    <w:rsid w:val="00DB1DC5"/>
    <w:rsid w:val="00DB1DE2"/>
    <w:rsid w:val="00DB2495"/>
    <w:rsid w:val="00DB2B86"/>
    <w:rsid w:val="00DB3CAD"/>
    <w:rsid w:val="00DB4360"/>
    <w:rsid w:val="00DB4748"/>
    <w:rsid w:val="00DB4C15"/>
    <w:rsid w:val="00DB5029"/>
    <w:rsid w:val="00DB5802"/>
    <w:rsid w:val="00DB5D4F"/>
    <w:rsid w:val="00DB5D9C"/>
    <w:rsid w:val="00DB6043"/>
    <w:rsid w:val="00DB6BA7"/>
    <w:rsid w:val="00DB6F18"/>
    <w:rsid w:val="00DB7178"/>
    <w:rsid w:val="00DB7E1D"/>
    <w:rsid w:val="00DC1672"/>
    <w:rsid w:val="00DC4813"/>
    <w:rsid w:val="00DC5020"/>
    <w:rsid w:val="00DC60E6"/>
    <w:rsid w:val="00DC678A"/>
    <w:rsid w:val="00DC7789"/>
    <w:rsid w:val="00DC7EBD"/>
    <w:rsid w:val="00DD00BD"/>
    <w:rsid w:val="00DD07EA"/>
    <w:rsid w:val="00DD1123"/>
    <w:rsid w:val="00DD1CC7"/>
    <w:rsid w:val="00DD3A00"/>
    <w:rsid w:val="00DD42CC"/>
    <w:rsid w:val="00DD6F13"/>
    <w:rsid w:val="00DD71DC"/>
    <w:rsid w:val="00DD75E9"/>
    <w:rsid w:val="00DE0CA1"/>
    <w:rsid w:val="00DE1022"/>
    <w:rsid w:val="00DE1376"/>
    <w:rsid w:val="00DE1A41"/>
    <w:rsid w:val="00DE27CE"/>
    <w:rsid w:val="00DE322A"/>
    <w:rsid w:val="00DE7722"/>
    <w:rsid w:val="00DF01DF"/>
    <w:rsid w:val="00DF07B8"/>
    <w:rsid w:val="00DF2049"/>
    <w:rsid w:val="00DF3097"/>
    <w:rsid w:val="00DF391D"/>
    <w:rsid w:val="00DF4246"/>
    <w:rsid w:val="00DF4DB3"/>
    <w:rsid w:val="00DF52D6"/>
    <w:rsid w:val="00E028C4"/>
    <w:rsid w:val="00E02991"/>
    <w:rsid w:val="00E02E27"/>
    <w:rsid w:val="00E0587F"/>
    <w:rsid w:val="00E07058"/>
    <w:rsid w:val="00E07144"/>
    <w:rsid w:val="00E07E3A"/>
    <w:rsid w:val="00E07E96"/>
    <w:rsid w:val="00E103DA"/>
    <w:rsid w:val="00E11D00"/>
    <w:rsid w:val="00E12046"/>
    <w:rsid w:val="00E13810"/>
    <w:rsid w:val="00E14976"/>
    <w:rsid w:val="00E164C3"/>
    <w:rsid w:val="00E16520"/>
    <w:rsid w:val="00E16AC2"/>
    <w:rsid w:val="00E20FCD"/>
    <w:rsid w:val="00E21811"/>
    <w:rsid w:val="00E21F45"/>
    <w:rsid w:val="00E229F8"/>
    <w:rsid w:val="00E23BD6"/>
    <w:rsid w:val="00E23DE4"/>
    <w:rsid w:val="00E242EC"/>
    <w:rsid w:val="00E244DE"/>
    <w:rsid w:val="00E25391"/>
    <w:rsid w:val="00E267F6"/>
    <w:rsid w:val="00E26FBA"/>
    <w:rsid w:val="00E2770B"/>
    <w:rsid w:val="00E30C8E"/>
    <w:rsid w:val="00E311D3"/>
    <w:rsid w:val="00E319F7"/>
    <w:rsid w:val="00E3214F"/>
    <w:rsid w:val="00E34141"/>
    <w:rsid w:val="00E341EE"/>
    <w:rsid w:val="00E345F1"/>
    <w:rsid w:val="00E34C77"/>
    <w:rsid w:val="00E35FA9"/>
    <w:rsid w:val="00E3625F"/>
    <w:rsid w:val="00E3628D"/>
    <w:rsid w:val="00E37195"/>
    <w:rsid w:val="00E37A5D"/>
    <w:rsid w:val="00E40F12"/>
    <w:rsid w:val="00E412DC"/>
    <w:rsid w:val="00E416A2"/>
    <w:rsid w:val="00E4196D"/>
    <w:rsid w:val="00E4199F"/>
    <w:rsid w:val="00E42044"/>
    <w:rsid w:val="00E42A1B"/>
    <w:rsid w:val="00E43395"/>
    <w:rsid w:val="00E460C9"/>
    <w:rsid w:val="00E46997"/>
    <w:rsid w:val="00E4705A"/>
    <w:rsid w:val="00E52195"/>
    <w:rsid w:val="00E53523"/>
    <w:rsid w:val="00E553F1"/>
    <w:rsid w:val="00E561D2"/>
    <w:rsid w:val="00E5774F"/>
    <w:rsid w:val="00E579D7"/>
    <w:rsid w:val="00E61A34"/>
    <w:rsid w:val="00E62FBE"/>
    <w:rsid w:val="00E646FD"/>
    <w:rsid w:val="00E647A0"/>
    <w:rsid w:val="00E64DC6"/>
    <w:rsid w:val="00E6575F"/>
    <w:rsid w:val="00E672A2"/>
    <w:rsid w:val="00E7603D"/>
    <w:rsid w:val="00E76B37"/>
    <w:rsid w:val="00E7737E"/>
    <w:rsid w:val="00E800DE"/>
    <w:rsid w:val="00E821F1"/>
    <w:rsid w:val="00E8252A"/>
    <w:rsid w:val="00E8283E"/>
    <w:rsid w:val="00E843F6"/>
    <w:rsid w:val="00E84464"/>
    <w:rsid w:val="00E847BB"/>
    <w:rsid w:val="00E865EA"/>
    <w:rsid w:val="00E86C6D"/>
    <w:rsid w:val="00E90F90"/>
    <w:rsid w:val="00E91901"/>
    <w:rsid w:val="00E924A9"/>
    <w:rsid w:val="00E954DA"/>
    <w:rsid w:val="00E95E56"/>
    <w:rsid w:val="00E9740B"/>
    <w:rsid w:val="00EA1AF0"/>
    <w:rsid w:val="00EA32E3"/>
    <w:rsid w:val="00EA5398"/>
    <w:rsid w:val="00EA5A4C"/>
    <w:rsid w:val="00EB1E6A"/>
    <w:rsid w:val="00EB422C"/>
    <w:rsid w:val="00EB49A5"/>
    <w:rsid w:val="00EB5C44"/>
    <w:rsid w:val="00EB6F56"/>
    <w:rsid w:val="00EB7092"/>
    <w:rsid w:val="00EC07E0"/>
    <w:rsid w:val="00EC1207"/>
    <w:rsid w:val="00EC1633"/>
    <w:rsid w:val="00EC1A7A"/>
    <w:rsid w:val="00EC2DF0"/>
    <w:rsid w:val="00EC30C7"/>
    <w:rsid w:val="00EC3753"/>
    <w:rsid w:val="00EC430E"/>
    <w:rsid w:val="00EC563D"/>
    <w:rsid w:val="00EC5783"/>
    <w:rsid w:val="00EC747E"/>
    <w:rsid w:val="00ED1148"/>
    <w:rsid w:val="00ED1EF5"/>
    <w:rsid w:val="00ED218C"/>
    <w:rsid w:val="00ED3EB8"/>
    <w:rsid w:val="00ED4CA2"/>
    <w:rsid w:val="00ED731C"/>
    <w:rsid w:val="00EE1B43"/>
    <w:rsid w:val="00EE3F9A"/>
    <w:rsid w:val="00EE54DE"/>
    <w:rsid w:val="00EE5B37"/>
    <w:rsid w:val="00EE6F58"/>
    <w:rsid w:val="00EF09B9"/>
    <w:rsid w:val="00EF28DA"/>
    <w:rsid w:val="00EF29E9"/>
    <w:rsid w:val="00EF37AF"/>
    <w:rsid w:val="00EF3C83"/>
    <w:rsid w:val="00EF3E11"/>
    <w:rsid w:val="00EF4A7C"/>
    <w:rsid w:val="00EF4D52"/>
    <w:rsid w:val="00F00CEE"/>
    <w:rsid w:val="00F01F72"/>
    <w:rsid w:val="00F029AE"/>
    <w:rsid w:val="00F03508"/>
    <w:rsid w:val="00F0611A"/>
    <w:rsid w:val="00F10207"/>
    <w:rsid w:val="00F102BF"/>
    <w:rsid w:val="00F107B9"/>
    <w:rsid w:val="00F111F5"/>
    <w:rsid w:val="00F13510"/>
    <w:rsid w:val="00F1369A"/>
    <w:rsid w:val="00F13736"/>
    <w:rsid w:val="00F156A5"/>
    <w:rsid w:val="00F16843"/>
    <w:rsid w:val="00F17D24"/>
    <w:rsid w:val="00F20FD9"/>
    <w:rsid w:val="00F216D4"/>
    <w:rsid w:val="00F220F6"/>
    <w:rsid w:val="00F2220A"/>
    <w:rsid w:val="00F22544"/>
    <w:rsid w:val="00F24C01"/>
    <w:rsid w:val="00F25EEE"/>
    <w:rsid w:val="00F2601E"/>
    <w:rsid w:val="00F3046D"/>
    <w:rsid w:val="00F329B9"/>
    <w:rsid w:val="00F3438C"/>
    <w:rsid w:val="00F36144"/>
    <w:rsid w:val="00F363A2"/>
    <w:rsid w:val="00F36683"/>
    <w:rsid w:val="00F40B92"/>
    <w:rsid w:val="00F411CD"/>
    <w:rsid w:val="00F41229"/>
    <w:rsid w:val="00F419C6"/>
    <w:rsid w:val="00F41FFB"/>
    <w:rsid w:val="00F42371"/>
    <w:rsid w:val="00F42DA7"/>
    <w:rsid w:val="00F43D3A"/>
    <w:rsid w:val="00F4406D"/>
    <w:rsid w:val="00F46586"/>
    <w:rsid w:val="00F4676B"/>
    <w:rsid w:val="00F46FD3"/>
    <w:rsid w:val="00F47107"/>
    <w:rsid w:val="00F47204"/>
    <w:rsid w:val="00F50DC9"/>
    <w:rsid w:val="00F50E18"/>
    <w:rsid w:val="00F510B3"/>
    <w:rsid w:val="00F52E44"/>
    <w:rsid w:val="00F549B0"/>
    <w:rsid w:val="00F56C59"/>
    <w:rsid w:val="00F61773"/>
    <w:rsid w:val="00F6199E"/>
    <w:rsid w:val="00F65501"/>
    <w:rsid w:val="00F71C6E"/>
    <w:rsid w:val="00F75F6C"/>
    <w:rsid w:val="00F7637D"/>
    <w:rsid w:val="00F77427"/>
    <w:rsid w:val="00F777DC"/>
    <w:rsid w:val="00F778F9"/>
    <w:rsid w:val="00F800CD"/>
    <w:rsid w:val="00F81018"/>
    <w:rsid w:val="00F81D81"/>
    <w:rsid w:val="00F85920"/>
    <w:rsid w:val="00F85BEC"/>
    <w:rsid w:val="00F90D79"/>
    <w:rsid w:val="00F91078"/>
    <w:rsid w:val="00F91633"/>
    <w:rsid w:val="00F95262"/>
    <w:rsid w:val="00F9569E"/>
    <w:rsid w:val="00F95792"/>
    <w:rsid w:val="00F96251"/>
    <w:rsid w:val="00F97EF9"/>
    <w:rsid w:val="00FA54AE"/>
    <w:rsid w:val="00FA78C3"/>
    <w:rsid w:val="00FA7C64"/>
    <w:rsid w:val="00FB0D6A"/>
    <w:rsid w:val="00FB2A38"/>
    <w:rsid w:val="00FB3132"/>
    <w:rsid w:val="00FB326B"/>
    <w:rsid w:val="00FB3B9A"/>
    <w:rsid w:val="00FB3DD4"/>
    <w:rsid w:val="00FB4343"/>
    <w:rsid w:val="00FB7CDA"/>
    <w:rsid w:val="00FB7DCE"/>
    <w:rsid w:val="00FC233B"/>
    <w:rsid w:val="00FC2581"/>
    <w:rsid w:val="00FC27DB"/>
    <w:rsid w:val="00FC3E67"/>
    <w:rsid w:val="00FC4545"/>
    <w:rsid w:val="00FC4F87"/>
    <w:rsid w:val="00FC597A"/>
    <w:rsid w:val="00FC60AB"/>
    <w:rsid w:val="00FC63B4"/>
    <w:rsid w:val="00FD31DC"/>
    <w:rsid w:val="00FD31FA"/>
    <w:rsid w:val="00FD3876"/>
    <w:rsid w:val="00FD4561"/>
    <w:rsid w:val="00FD4BDD"/>
    <w:rsid w:val="00FD4D9B"/>
    <w:rsid w:val="00FD7460"/>
    <w:rsid w:val="00FE1108"/>
    <w:rsid w:val="00FE2A07"/>
    <w:rsid w:val="00FE3B57"/>
    <w:rsid w:val="00FE520F"/>
    <w:rsid w:val="00FE5A6F"/>
    <w:rsid w:val="00FE6B37"/>
    <w:rsid w:val="00FF12D4"/>
    <w:rsid w:val="00FF18C2"/>
    <w:rsid w:val="00FF33DE"/>
    <w:rsid w:val="00FF39D6"/>
    <w:rsid w:val="00FF6FF0"/>
    <w:rsid w:val="00FF7F77"/>
    <w:rsid w:val="018C06D1"/>
    <w:rsid w:val="01E342F6"/>
    <w:rsid w:val="01ED0D53"/>
    <w:rsid w:val="023E0A5E"/>
    <w:rsid w:val="02446A91"/>
    <w:rsid w:val="0254752A"/>
    <w:rsid w:val="03337242"/>
    <w:rsid w:val="03464FEA"/>
    <w:rsid w:val="0404363E"/>
    <w:rsid w:val="0440724E"/>
    <w:rsid w:val="049404F4"/>
    <w:rsid w:val="053E5623"/>
    <w:rsid w:val="055176D1"/>
    <w:rsid w:val="06153691"/>
    <w:rsid w:val="072A3546"/>
    <w:rsid w:val="07463507"/>
    <w:rsid w:val="07754842"/>
    <w:rsid w:val="07A35A2F"/>
    <w:rsid w:val="07C22AA8"/>
    <w:rsid w:val="07DA0E07"/>
    <w:rsid w:val="07E73A5A"/>
    <w:rsid w:val="0857737E"/>
    <w:rsid w:val="08EA4A35"/>
    <w:rsid w:val="08F94436"/>
    <w:rsid w:val="096718D9"/>
    <w:rsid w:val="096C1EB9"/>
    <w:rsid w:val="09B87034"/>
    <w:rsid w:val="09E775C1"/>
    <w:rsid w:val="0A052928"/>
    <w:rsid w:val="0A0D21EF"/>
    <w:rsid w:val="0A336455"/>
    <w:rsid w:val="0A7D7202"/>
    <w:rsid w:val="0AA647FB"/>
    <w:rsid w:val="0B5D0ECD"/>
    <w:rsid w:val="0BAE2D1B"/>
    <w:rsid w:val="0C2B45FF"/>
    <w:rsid w:val="0CA77DF4"/>
    <w:rsid w:val="0CB20777"/>
    <w:rsid w:val="0CE009F2"/>
    <w:rsid w:val="0D2D6AB5"/>
    <w:rsid w:val="0D466B19"/>
    <w:rsid w:val="0D757A42"/>
    <w:rsid w:val="0D9E7C25"/>
    <w:rsid w:val="0DA46D17"/>
    <w:rsid w:val="0DF71234"/>
    <w:rsid w:val="0E17285A"/>
    <w:rsid w:val="0E3E4CAA"/>
    <w:rsid w:val="0E7F3CD1"/>
    <w:rsid w:val="0E84105E"/>
    <w:rsid w:val="0EB732A9"/>
    <w:rsid w:val="0F160C16"/>
    <w:rsid w:val="0F636E8E"/>
    <w:rsid w:val="0FD973C6"/>
    <w:rsid w:val="104D478E"/>
    <w:rsid w:val="10542A28"/>
    <w:rsid w:val="10870050"/>
    <w:rsid w:val="11276FC2"/>
    <w:rsid w:val="112D4CC4"/>
    <w:rsid w:val="115D3279"/>
    <w:rsid w:val="115E1F17"/>
    <w:rsid w:val="11B10D79"/>
    <w:rsid w:val="11EA1E5D"/>
    <w:rsid w:val="12512849"/>
    <w:rsid w:val="12B25D1E"/>
    <w:rsid w:val="145263EE"/>
    <w:rsid w:val="14896136"/>
    <w:rsid w:val="149123E9"/>
    <w:rsid w:val="14DC2672"/>
    <w:rsid w:val="14FD20EC"/>
    <w:rsid w:val="15001E0B"/>
    <w:rsid w:val="159066A9"/>
    <w:rsid w:val="15EC467B"/>
    <w:rsid w:val="15ED1B2C"/>
    <w:rsid w:val="16385248"/>
    <w:rsid w:val="16797D91"/>
    <w:rsid w:val="16C134AC"/>
    <w:rsid w:val="16E87243"/>
    <w:rsid w:val="175E5223"/>
    <w:rsid w:val="17C4547B"/>
    <w:rsid w:val="17EE6729"/>
    <w:rsid w:val="17FB2621"/>
    <w:rsid w:val="188348B8"/>
    <w:rsid w:val="18BF32D0"/>
    <w:rsid w:val="18FF0B0C"/>
    <w:rsid w:val="19263B0E"/>
    <w:rsid w:val="195E3F93"/>
    <w:rsid w:val="19B113D6"/>
    <w:rsid w:val="1A2A5CE6"/>
    <w:rsid w:val="1A603CF6"/>
    <w:rsid w:val="1A932DD0"/>
    <w:rsid w:val="1B3B7ED7"/>
    <w:rsid w:val="1B7A4A70"/>
    <w:rsid w:val="1BF575BA"/>
    <w:rsid w:val="1C24113C"/>
    <w:rsid w:val="1C3339F8"/>
    <w:rsid w:val="1C73430B"/>
    <w:rsid w:val="1C9B1645"/>
    <w:rsid w:val="1CA83F4F"/>
    <w:rsid w:val="1CBD71E1"/>
    <w:rsid w:val="1D35689B"/>
    <w:rsid w:val="1D3C1A04"/>
    <w:rsid w:val="1DC543BD"/>
    <w:rsid w:val="1DE212EE"/>
    <w:rsid w:val="1DE2140C"/>
    <w:rsid w:val="1E355F90"/>
    <w:rsid w:val="1E4323DB"/>
    <w:rsid w:val="1E85554E"/>
    <w:rsid w:val="1EA33222"/>
    <w:rsid w:val="1EB84777"/>
    <w:rsid w:val="1EE53107"/>
    <w:rsid w:val="1EF6109F"/>
    <w:rsid w:val="1EF84EEB"/>
    <w:rsid w:val="1F7600E2"/>
    <w:rsid w:val="1F801AAF"/>
    <w:rsid w:val="1F9E2CBA"/>
    <w:rsid w:val="1FD76B75"/>
    <w:rsid w:val="20994EC2"/>
    <w:rsid w:val="2105371B"/>
    <w:rsid w:val="21775BD7"/>
    <w:rsid w:val="22A83271"/>
    <w:rsid w:val="23257B81"/>
    <w:rsid w:val="232E4824"/>
    <w:rsid w:val="234A4D59"/>
    <w:rsid w:val="23CD3B23"/>
    <w:rsid w:val="23D44482"/>
    <w:rsid w:val="23E37CED"/>
    <w:rsid w:val="245A793C"/>
    <w:rsid w:val="247069A2"/>
    <w:rsid w:val="265D3EF0"/>
    <w:rsid w:val="26A83AF9"/>
    <w:rsid w:val="26FE1F3F"/>
    <w:rsid w:val="27117F97"/>
    <w:rsid w:val="278C4608"/>
    <w:rsid w:val="27DB76C6"/>
    <w:rsid w:val="280E6512"/>
    <w:rsid w:val="284C7B02"/>
    <w:rsid w:val="288C54E0"/>
    <w:rsid w:val="28B61E35"/>
    <w:rsid w:val="28F25CFE"/>
    <w:rsid w:val="29B35721"/>
    <w:rsid w:val="29CD0646"/>
    <w:rsid w:val="2A922875"/>
    <w:rsid w:val="2ADA3FE7"/>
    <w:rsid w:val="2ADC7DA3"/>
    <w:rsid w:val="2AFF04F6"/>
    <w:rsid w:val="2B7C18DE"/>
    <w:rsid w:val="2C623354"/>
    <w:rsid w:val="2CB16B8E"/>
    <w:rsid w:val="2CD23084"/>
    <w:rsid w:val="2D5629FB"/>
    <w:rsid w:val="2DDD4918"/>
    <w:rsid w:val="2DE12317"/>
    <w:rsid w:val="2E101BCF"/>
    <w:rsid w:val="2E1B5DDD"/>
    <w:rsid w:val="2E2A459A"/>
    <w:rsid w:val="2E3956F4"/>
    <w:rsid w:val="2E6D52A9"/>
    <w:rsid w:val="2EA34324"/>
    <w:rsid w:val="2EC520E8"/>
    <w:rsid w:val="2F2336FC"/>
    <w:rsid w:val="2FE679AE"/>
    <w:rsid w:val="2FF665D1"/>
    <w:rsid w:val="304A5DC5"/>
    <w:rsid w:val="30FC6BD4"/>
    <w:rsid w:val="30FE3DF8"/>
    <w:rsid w:val="31622927"/>
    <w:rsid w:val="31703E3B"/>
    <w:rsid w:val="31752FBD"/>
    <w:rsid w:val="3232777C"/>
    <w:rsid w:val="325F1746"/>
    <w:rsid w:val="32E767C6"/>
    <w:rsid w:val="32FC5719"/>
    <w:rsid w:val="331E7BEA"/>
    <w:rsid w:val="33980616"/>
    <w:rsid w:val="34191465"/>
    <w:rsid w:val="34DC32D1"/>
    <w:rsid w:val="34E328A5"/>
    <w:rsid w:val="34F7306F"/>
    <w:rsid w:val="350F4BF4"/>
    <w:rsid w:val="35372771"/>
    <w:rsid w:val="3570664B"/>
    <w:rsid w:val="357E534F"/>
    <w:rsid w:val="35A12151"/>
    <w:rsid w:val="367B7543"/>
    <w:rsid w:val="36993CCE"/>
    <w:rsid w:val="36BE34E8"/>
    <w:rsid w:val="36F62EF5"/>
    <w:rsid w:val="37192190"/>
    <w:rsid w:val="37416092"/>
    <w:rsid w:val="37595936"/>
    <w:rsid w:val="37633E76"/>
    <w:rsid w:val="3801408B"/>
    <w:rsid w:val="380D257D"/>
    <w:rsid w:val="38AD6125"/>
    <w:rsid w:val="38CF71C9"/>
    <w:rsid w:val="39207D21"/>
    <w:rsid w:val="39500471"/>
    <w:rsid w:val="39B421BD"/>
    <w:rsid w:val="39B53085"/>
    <w:rsid w:val="39D709AA"/>
    <w:rsid w:val="39D868A8"/>
    <w:rsid w:val="3A1A2246"/>
    <w:rsid w:val="3A3B54EF"/>
    <w:rsid w:val="3AA81C76"/>
    <w:rsid w:val="3BA51509"/>
    <w:rsid w:val="3BBC6BD1"/>
    <w:rsid w:val="3C5C5841"/>
    <w:rsid w:val="3C8844DE"/>
    <w:rsid w:val="3C916100"/>
    <w:rsid w:val="3CA85734"/>
    <w:rsid w:val="3CAE1CA6"/>
    <w:rsid w:val="3EE12E2E"/>
    <w:rsid w:val="3F4705DB"/>
    <w:rsid w:val="40583732"/>
    <w:rsid w:val="406C7085"/>
    <w:rsid w:val="40C15F00"/>
    <w:rsid w:val="411238B8"/>
    <w:rsid w:val="413D3FFF"/>
    <w:rsid w:val="418E1B45"/>
    <w:rsid w:val="41AE45B6"/>
    <w:rsid w:val="41D92FD7"/>
    <w:rsid w:val="41E159CC"/>
    <w:rsid w:val="42230D32"/>
    <w:rsid w:val="424E00ED"/>
    <w:rsid w:val="42D57E61"/>
    <w:rsid w:val="42EA70A0"/>
    <w:rsid w:val="42EC658C"/>
    <w:rsid w:val="430056BE"/>
    <w:rsid w:val="43051951"/>
    <w:rsid w:val="431A1875"/>
    <w:rsid w:val="439A3794"/>
    <w:rsid w:val="439E27DB"/>
    <w:rsid w:val="43CF3D06"/>
    <w:rsid w:val="43E14579"/>
    <w:rsid w:val="43EB365E"/>
    <w:rsid w:val="44111AE8"/>
    <w:rsid w:val="44BC5D77"/>
    <w:rsid w:val="44EC4FBE"/>
    <w:rsid w:val="453B2485"/>
    <w:rsid w:val="456A7241"/>
    <w:rsid w:val="45B326C0"/>
    <w:rsid w:val="4626521E"/>
    <w:rsid w:val="46947B33"/>
    <w:rsid w:val="46A8043F"/>
    <w:rsid w:val="46F66A3B"/>
    <w:rsid w:val="477C6AFE"/>
    <w:rsid w:val="479E20E3"/>
    <w:rsid w:val="47C840F8"/>
    <w:rsid w:val="4815747C"/>
    <w:rsid w:val="481A5D30"/>
    <w:rsid w:val="48314A30"/>
    <w:rsid w:val="48990D66"/>
    <w:rsid w:val="489E448D"/>
    <w:rsid w:val="493E3916"/>
    <w:rsid w:val="49B91BD7"/>
    <w:rsid w:val="4AAE06ED"/>
    <w:rsid w:val="4ACE2083"/>
    <w:rsid w:val="4AFD6C67"/>
    <w:rsid w:val="4BAC3435"/>
    <w:rsid w:val="4BB35BDE"/>
    <w:rsid w:val="4BC67E48"/>
    <w:rsid w:val="4BDB51E4"/>
    <w:rsid w:val="4C2A13A8"/>
    <w:rsid w:val="4C3C0B47"/>
    <w:rsid w:val="4C4D57C4"/>
    <w:rsid w:val="4C885927"/>
    <w:rsid w:val="4CEC6C9B"/>
    <w:rsid w:val="4CF30B8C"/>
    <w:rsid w:val="4D6B6940"/>
    <w:rsid w:val="4E2476DB"/>
    <w:rsid w:val="4E6C729B"/>
    <w:rsid w:val="4E6E7773"/>
    <w:rsid w:val="4EB37A06"/>
    <w:rsid w:val="4ED41AE4"/>
    <w:rsid w:val="4EEE2D49"/>
    <w:rsid w:val="4F244E2E"/>
    <w:rsid w:val="4FC82BD8"/>
    <w:rsid w:val="50C40D5E"/>
    <w:rsid w:val="50C808B7"/>
    <w:rsid w:val="510E25C2"/>
    <w:rsid w:val="52222C1B"/>
    <w:rsid w:val="5226191A"/>
    <w:rsid w:val="524427FC"/>
    <w:rsid w:val="527A52D9"/>
    <w:rsid w:val="535B3702"/>
    <w:rsid w:val="5363304D"/>
    <w:rsid w:val="53D023E5"/>
    <w:rsid w:val="53DA2E1A"/>
    <w:rsid w:val="542E692B"/>
    <w:rsid w:val="5498606D"/>
    <w:rsid w:val="5598377A"/>
    <w:rsid w:val="55D56855"/>
    <w:rsid w:val="5655581F"/>
    <w:rsid w:val="56681422"/>
    <w:rsid w:val="56D17608"/>
    <w:rsid w:val="57622E43"/>
    <w:rsid w:val="57882757"/>
    <w:rsid w:val="58165F76"/>
    <w:rsid w:val="58180EF3"/>
    <w:rsid w:val="587C7FEF"/>
    <w:rsid w:val="5883514E"/>
    <w:rsid w:val="58A6358A"/>
    <w:rsid w:val="5A054BE8"/>
    <w:rsid w:val="5A480816"/>
    <w:rsid w:val="5A85229F"/>
    <w:rsid w:val="5A89551D"/>
    <w:rsid w:val="5AEA2932"/>
    <w:rsid w:val="5B4A7C51"/>
    <w:rsid w:val="5B5F0A2A"/>
    <w:rsid w:val="5B644C60"/>
    <w:rsid w:val="5BB17948"/>
    <w:rsid w:val="5C3909DC"/>
    <w:rsid w:val="5C884122"/>
    <w:rsid w:val="5CD83ADA"/>
    <w:rsid w:val="5CD95402"/>
    <w:rsid w:val="5E287CBE"/>
    <w:rsid w:val="5EC37EC6"/>
    <w:rsid w:val="5ED07D06"/>
    <w:rsid w:val="5F55277A"/>
    <w:rsid w:val="5F600254"/>
    <w:rsid w:val="5F9D1A0B"/>
    <w:rsid w:val="60C93925"/>
    <w:rsid w:val="615106BA"/>
    <w:rsid w:val="617008DE"/>
    <w:rsid w:val="617151A3"/>
    <w:rsid w:val="61B7623A"/>
    <w:rsid w:val="61FE533E"/>
    <w:rsid w:val="620E44B7"/>
    <w:rsid w:val="6273356B"/>
    <w:rsid w:val="62EB745E"/>
    <w:rsid w:val="630E1A17"/>
    <w:rsid w:val="632A255A"/>
    <w:rsid w:val="63B1373C"/>
    <w:rsid w:val="63BE7DFB"/>
    <w:rsid w:val="63F73B0B"/>
    <w:rsid w:val="644A7071"/>
    <w:rsid w:val="648A1ADC"/>
    <w:rsid w:val="64AD0A9F"/>
    <w:rsid w:val="651849F2"/>
    <w:rsid w:val="65345628"/>
    <w:rsid w:val="655D2A4B"/>
    <w:rsid w:val="655F6BC7"/>
    <w:rsid w:val="657A7722"/>
    <w:rsid w:val="657C79E1"/>
    <w:rsid w:val="65B95152"/>
    <w:rsid w:val="65C30523"/>
    <w:rsid w:val="666E2F69"/>
    <w:rsid w:val="667542B2"/>
    <w:rsid w:val="66F206C2"/>
    <w:rsid w:val="67211116"/>
    <w:rsid w:val="67416EBD"/>
    <w:rsid w:val="678E48EE"/>
    <w:rsid w:val="67AE7779"/>
    <w:rsid w:val="67F37585"/>
    <w:rsid w:val="68787876"/>
    <w:rsid w:val="68FA598C"/>
    <w:rsid w:val="69007ADE"/>
    <w:rsid w:val="690657B9"/>
    <w:rsid w:val="69774614"/>
    <w:rsid w:val="69F529AF"/>
    <w:rsid w:val="6A5862CF"/>
    <w:rsid w:val="6A9727EE"/>
    <w:rsid w:val="6AFC716C"/>
    <w:rsid w:val="6B591BCF"/>
    <w:rsid w:val="6B6609D8"/>
    <w:rsid w:val="6B9A7FF3"/>
    <w:rsid w:val="6BB46104"/>
    <w:rsid w:val="6C121E08"/>
    <w:rsid w:val="6C2A6FE9"/>
    <w:rsid w:val="6C751F82"/>
    <w:rsid w:val="6D0F684A"/>
    <w:rsid w:val="6D55770A"/>
    <w:rsid w:val="6E0A33BB"/>
    <w:rsid w:val="6E191CFD"/>
    <w:rsid w:val="6E386020"/>
    <w:rsid w:val="6E5C1BA0"/>
    <w:rsid w:val="6EB266BA"/>
    <w:rsid w:val="6EE23C8D"/>
    <w:rsid w:val="6F453F5C"/>
    <w:rsid w:val="6F5A53DB"/>
    <w:rsid w:val="6FAB4443"/>
    <w:rsid w:val="6FDE333B"/>
    <w:rsid w:val="70B172BF"/>
    <w:rsid w:val="70B232BE"/>
    <w:rsid w:val="70C81FF1"/>
    <w:rsid w:val="720A6B53"/>
    <w:rsid w:val="72260850"/>
    <w:rsid w:val="72900F30"/>
    <w:rsid w:val="72AD30D2"/>
    <w:rsid w:val="72B87153"/>
    <w:rsid w:val="72E32A7B"/>
    <w:rsid w:val="72FC6658"/>
    <w:rsid w:val="731E3482"/>
    <w:rsid w:val="732B30C8"/>
    <w:rsid w:val="73FA0F25"/>
    <w:rsid w:val="745B5884"/>
    <w:rsid w:val="747B16EC"/>
    <w:rsid w:val="7497057C"/>
    <w:rsid w:val="74BB5B89"/>
    <w:rsid w:val="74D544E3"/>
    <w:rsid w:val="754A66DE"/>
    <w:rsid w:val="756B7B5C"/>
    <w:rsid w:val="757D22C4"/>
    <w:rsid w:val="75D55B68"/>
    <w:rsid w:val="769A236C"/>
    <w:rsid w:val="769B667F"/>
    <w:rsid w:val="76CC4C70"/>
    <w:rsid w:val="76D337C3"/>
    <w:rsid w:val="771B6EFD"/>
    <w:rsid w:val="77676AC8"/>
    <w:rsid w:val="77805396"/>
    <w:rsid w:val="77D5305A"/>
    <w:rsid w:val="7813460E"/>
    <w:rsid w:val="7836551C"/>
    <w:rsid w:val="78595487"/>
    <w:rsid w:val="78872DAD"/>
    <w:rsid w:val="78884684"/>
    <w:rsid w:val="789E0DFA"/>
    <w:rsid w:val="78E82ADF"/>
    <w:rsid w:val="7902541A"/>
    <w:rsid w:val="794C625F"/>
    <w:rsid w:val="797B59B8"/>
    <w:rsid w:val="798C601A"/>
    <w:rsid w:val="79985408"/>
    <w:rsid w:val="79B63BCE"/>
    <w:rsid w:val="79BE3F1C"/>
    <w:rsid w:val="79F3455C"/>
    <w:rsid w:val="7A066934"/>
    <w:rsid w:val="7A4C01B4"/>
    <w:rsid w:val="7AD416D3"/>
    <w:rsid w:val="7ADF345D"/>
    <w:rsid w:val="7B0D5325"/>
    <w:rsid w:val="7BE66710"/>
    <w:rsid w:val="7C4C28F6"/>
    <w:rsid w:val="7CD167FB"/>
    <w:rsid w:val="7CE8032B"/>
    <w:rsid w:val="7CF73F37"/>
    <w:rsid w:val="7D2A4E0B"/>
    <w:rsid w:val="7D434C0D"/>
    <w:rsid w:val="7DCA4A14"/>
    <w:rsid w:val="7E0A276D"/>
    <w:rsid w:val="7E1E74FC"/>
    <w:rsid w:val="7E3C7EE4"/>
    <w:rsid w:val="7ED02418"/>
    <w:rsid w:val="7F3A4444"/>
    <w:rsid w:val="7F457BC7"/>
    <w:rsid w:val="7F480D1E"/>
    <w:rsid w:val="7F524414"/>
    <w:rsid w:val="7F6D326A"/>
    <w:rsid w:val="7F9F70CA"/>
    <w:rsid w:val="7FB41E07"/>
    <w:rsid w:val="7FF738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uiPriority w:val="0"/>
    <w:pPr>
      <w:keepNext/>
      <w:keepLines/>
      <w:spacing w:before="100" w:after="100" w:line="416" w:lineRule="auto"/>
      <w:outlineLvl w:val="2"/>
    </w:pPr>
    <w:rPr>
      <w:b/>
      <w:bCs/>
      <w:sz w:val="28"/>
      <w:szCs w:val="32"/>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rPr>
      <w:sz w:val="24"/>
    </w:rPr>
  </w:style>
  <w:style w:type="paragraph" w:styleId="3">
    <w:name w:val="Body Text Indent"/>
    <w:basedOn w:val="1"/>
    <w:next w:val="4"/>
    <w:link w:val="91"/>
    <w:qFormat/>
    <w:uiPriority w:val="0"/>
    <w:pPr>
      <w:spacing w:line="360" w:lineRule="auto"/>
      <w:ind w:firstLine="560" w:firstLineChars="200"/>
    </w:pPr>
    <w:rPr>
      <w:sz w:val="28"/>
      <w:szCs w:val="28"/>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8">
    <w:name w:val="Normal Indent"/>
    <w:basedOn w:val="9"/>
    <w:link w:val="45"/>
    <w:qFormat/>
    <w:uiPriority w:val="0"/>
    <w:pPr>
      <w:tabs>
        <w:tab w:val="left" w:pos="4648"/>
      </w:tabs>
      <w:spacing w:after="0" w:line="360" w:lineRule="auto"/>
      <w:ind w:firstLine="480" w:firstLineChars="200"/>
    </w:pPr>
    <w:rPr>
      <w:sz w:val="24"/>
    </w:rPr>
  </w:style>
  <w:style w:type="paragraph" w:styleId="9">
    <w:name w:val="Body Text First Indent"/>
    <w:basedOn w:val="10"/>
    <w:link w:val="46"/>
    <w:qFormat/>
    <w:uiPriority w:val="0"/>
    <w:pPr>
      <w:spacing w:after="120"/>
      <w:ind w:firstLine="420" w:firstLineChars="100"/>
    </w:pPr>
    <w:rPr>
      <w:sz w:val="21"/>
    </w:rPr>
  </w:style>
  <w:style w:type="paragraph" w:styleId="10">
    <w:name w:val="Body Text"/>
    <w:basedOn w:val="1"/>
    <w:qFormat/>
    <w:uiPriority w:val="0"/>
    <w:rPr>
      <w:sz w:val="18"/>
    </w:rPr>
  </w:style>
  <w:style w:type="paragraph" w:styleId="11">
    <w:name w:val="Document Map"/>
    <w:basedOn w:val="1"/>
    <w:semiHidden/>
    <w:qFormat/>
    <w:uiPriority w:val="0"/>
    <w:pPr>
      <w:shd w:val="clear" w:color="auto" w:fill="000080"/>
    </w:pPr>
  </w:style>
  <w:style w:type="paragraph" w:styleId="12">
    <w:name w:val="annotation text"/>
    <w:basedOn w:val="1"/>
    <w:semiHidden/>
    <w:qFormat/>
    <w:uiPriority w:val="0"/>
    <w:pPr>
      <w:jc w:val="left"/>
    </w:pPr>
  </w:style>
  <w:style w:type="paragraph" w:styleId="13">
    <w:name w:val="Body Text 3"/>
    <w:basedOn w:val="1"/>
    <w:qFormat/>
    <w:uiPriority w:val="0"/>
    <w:pPr>
      <w:jc w:val="center"/>
    </w:pPr>
  </w:style>
  <w:style w:type="paragraph" w:styleId="14">
    <w:name w:val="toc 3"/>
    <w:basedOn w:val="1"/>
    <w:next w:val="1"/>
    <w:qFormat/>
    <w:uiPriority w:val="0"/>
    <w:pPr>
      <w:ind w:left="840" w:leftChars="400"/>
    </w:pPr>
  </w:style>
  <w:style w:type="paragraph" w:styleId="15">
    <w:name w:val="Plain Text"/>
    <w:basedOn w:val="1"/>
    <w:link w:val="44"/>
    <w:qFormat/>
    <w:uiPriority w:val="0"/>
    <w:rPr>
      <w:rFonts w:ascii="宋体" w:hAnsi="Courier New" w:cs="Courier New"/>
      <w:szCs w:val="21"/>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9"/>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next w:val="20"/>
    <w:qFormat/>
    <w:uiPriority w:val="0"/>
    <w:pPr>
      <w:pBdr>
        <w:bottom w:val="single" w:color="auto" w:sz="6" w:space="1"/>
      </w:pBdr>
      <w:tabs>
        <w:tab w:val="center" w:pos="4153"/>
        <w:tab w:val="right" w:pos="8306"/>
      </w:tabs>
      <w:snapToGrid w:val="0"/>
      <w:jc w:val="center"/>
    </w:pPr>
    <w:rPr>
      <w:sz w:val="18"/>
      <w:szCs w:val="18"/>
    </w:rPr>
  </w:style>
  <w:style w:type="paragraph" w:customStyle="1" w:styleId="20">
    <w:name w:val="样式5"/>
    <w:basedOn w:val="21"/>
    <w:qFormat/>
    <w:uiPriority w:val="0"/>
    <w:pPr>
      <w:snapToGrid w:val="0"/>
      <w:spacing w:line="360" w:lineRule="auto"/>
      <w:ind w:firstLine="510"/>
    </w:pPr>
    <w:rPr>
      <w:sz w:val="24"/>
    </w:rPr>
  </w:style>
  <w:style w:type="paragraph" w:customStyle="1" w:styleId="21">
    <w:name w:val="正文1"/>
    <w:basedOn w:val="1"/>
    <w:next w:val="1"/>
    <w:qFormat/>
    <w:uiPriority w:val="0"/>
    <w:pPr>
      <w:ind w:firstLine="420" w:firstLineChars="200"/>
    </w:pPr>
    <w:rPr>
      <w:rFonts w:ascii="宋体" w:hAnsi="宋体"/>
      <w:kern w:val="21"/>
      <w:sz w:val="24"/>
    </w:rPr>
  </w:style>
  <w:style w:type="paragraph" w:styleId="22">
    <w:name w:val="toc 1"/>
    <w:basedOn w:val="1"/>
    <w:next w:val="1"/>
    <w:qFormat/>
    <w:uiPriority w:val="0"/>
    <w:pPr>
      <w:tabs>
        <w:tab w:val="right" w:leader="dot" w:pos="9174"/>
      </w:tabs>
      <w:jc w:val="left"/>
    </w:pPr>
    <w:rPr>
      <w:rFonts w:cs="宋体"/>
      <w:b/>
      <w:bCs/>
      <w:caps/>
      <w:kern w:val="0"/>
      <w:sz w:val="24"/>
    </w:rPr>
  </w:style>
  <w:style w:type="paragraph" w:styleId="23">
    <w:name w:val="Body Text Indent 3"/>
    <w:basedOn w:val="1"/>
    <w:qFormat/>
    <w:uiPriority w:val="0"/>
    <w:pPr>
      <w:spacing w:line="360" w:lineRule="auto"/>
      <w:ind w:firstLine="561"/>
    </w:pPr>
    <w:rPr>
      <w:sz w:val="28"/>
    </w:rPr>
  </w:style>
  <w:style w:type="paragraph" w:styleId="24">
    <w:name w:val="toc 2"/>
    <w:basedOn w:val="1"/>
    <w:next w:val="1"/>
    <w:qFormat/>
    <w:uiPriority w:val="0"/>
    <w:pPr>
      <w:ind w:left="420" w:leftChars="200"/>
    </w:pPr>
  </w:style>
  <w:style w:type="paragraph" w:styleId="2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qFormat/>
    <w:uiPriority w:val="0"/>
    <w:pPr>
      <w:widowControl/>
      <w:spacing w:before="100" w:beforeAutospacing="1" w:after="100" w:afterAutospacing="1" w:line="330" w:lineRule="atLeast"/>
      <w:jc w:val="left"/>
    </w:pPr>
    <w:rPr>
      <w:rFonts w:ascii="宋体" w:hAnsi="宋体" w:cs="宋体"/>
      <w:kern w:val="0"/>
      <w:szCs w:val="21"/>
    </w:rPr>
  </w:style>
  <w:style w:type="paragraph" w:styleId="27">
    <w:name w:val="annotation subject"/>
    <w:basedOn w:val="12"/>
    <w:next w:val="12"/>
    <w:qFormat/>
    <w:uiPriority w:val="0"/>
    <w:rPr>
      <w:b/>
      <w:bCs/>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Hyperlink"/>
    <w:basedOn w:val="31"/>
    <w:qFormat/>
    <w:uiPriority w:val="0"/>
    <w:rPr>
      <w:color w:val="000000"/>
      <w:u w:val="none"/>
    </w:rPr>
  </w:style>
  <w:style w:type="character" w:styleId="34">
    <w:name w:val="annotation reference"/>
    <w:basedOn w:val="31"/>
    <w:semiHidden/>
    <w:qFormat/>
    <w:uiPriority w:val="0"/>
    <w:rPr>
      <w:sz w:val="21"/>
      <w:szCs w:val="21"/>
    </w:rPr>
  </w:style>
  <w:style w:type="paragraph" w:customStyle="1" w:styleId="35">
    <w:name w:val="正文 首行缩进:  2 字符"/>
    <w:basedOn w:val="1"/>
    <w:qFormat/>
    <w:uiPriority w:val="99"/>
    <w:pPr>
      <w:ind w:firstLine="579" w:firstLineChars="200"/>
    </w:pPr>
    <w:rPr>
      <w:rFonts w:cs="宋体"/>
    </w:rPr>
  </w:style>
  <w:style w:type="character" w:customStyle="1" w:styleId="36">
    <w:name w:val="Char Char"/>
    <w:basedOn w:val="31"/>
    <w:qFormat/>
    <w:uiPriority w:val="0"/>
    <w:rPr>
      <w:rFonts w:eastAsia="宋体"/>
      <w:sz w:val="24"/>
      <w:szCs w:val="24"/>
      <w:lang w:val="en-US" w:eastAsia="zh-CN" w:bidi="ar-SA"/>
    </w:rPr>
  </w:style>
  <w:style w:type="character" w:customStyle="1" w:styleId="37">
    <w:name w:val="表格文字 Char"/>
    <w:basedOn w:val="31"/>
    <w:link w:val="38"/>
    <w:qFormat/>
    <w:uiPriority w:val="0"/>
    <w:rPr>
      <w:rFonts w:ascii="仿宋_GB2312" w:hAnsi="Arial Black" w:eastAsia="仿宋_GB2312"/>
      <w:kern w:val="44"/>
      <w:sz w:val="24"/>
      <w:lang w:val="en-US" w:eastAsia="zh-CN" w:bidi="ar-SA"/>
    </w:rPr>
  </w:style>
  <w:style w:type="paragraph" w:customStyle="1" w:styleId="38">
    <w:name w:val="表格文字"/>
    <w:basedOn w:val="1"/>
    <w:link w:val="37"/>
    <w:qFormat/>
    <w:uiPriority w:val="0"/>
    <w:pPr>
      <w:jc w:val="center"/>
    </w:pPr>
    <w:rPr>
      <w:rFonts w:ascii="仿宋_GB2312" w:hAnsi="Arial Black" w:eastAsia="仿宋_GB2312"/>
      <w:kern w:val="44"/>
      <w:sz w:val="24"/>
      <w:szCs w:val="20"/>
    </w:rPr>
  </w:style>
  <w:style w:type="character" w:customStyle="1" w:styleId="39">
    <w:name w:val="表格 Char Char"/>
    <w:basedOn w:val="31"/>
    <w:link w:val="40"/>
    <w:qFormat/>
    <w:uiPriority w:val="0"/>
    <w:rPr>
      <w:rFonts w:eastAsia="宋体"/>
      <w:sz w:val="18"/>
      <w:szCs w:val="18"/>
      <w:lang w:val="en-US" w:eastAsia="zh-CN" w:bidi="ar-SA"/>
    </w:rPr>
  </w:style>
  <w:style w:type="paragraph" w:customStyle="1" w:styleId="40">
    <w:name w:val="表格"/>
    <w:basedOn w:val="1"/>
    <w:next w:val="1"/>
    <w:link w:val="39"/>
    <w:qFormat/>
    <w:uiPriority w:val="0"/>
    <w:pPr>
      <w:adjustRightInd w:val="0"/>
      <w:jc w:val="center"/>
      <w:textAlignment w:val="baseline"/>
    </w:pPr>
    <w:rPr>
      <w:sz w:val="18"/>
      <w:szCs w:val="18"/>
    </w:rPr>
  </w:style>
  <w:style w:type="character" w:customStyle="1" w:styleId="41">
    <w:name w:val="纯文本 Char"/>
    <w:basedOn w:val="31"/>
    <w:link w:val="42"/>
    <w:qFormat/>
    <w:uiPriority w:val="0"/>
    <w:rPr>
      <w:rFonts w:ascii="宋体" w:hAnsi="Courier New" w:eastAsia="宋体"/>
      <w:kern w:val="2"/>
      <w:sz w:val="21"/>
      <w:lang w:val="en-US" w:eastAsia="zh-CN" w:bidi="ar-SA"/>
    </w:rPr>
  </w:style>
  <w:style w:type="paragraph" w:customStyle="1" w:styleId="42">
    <w:name w:val="纯文本1"/>
    <w:basedOn w:val="1"/>
    <w:link w:val="41"/>
    <w:qFormat/>
    <w:uiPriority w:val="0"/>
    <w:pPr>
      <w:adjustRightInd w:val="0"/>
    </w:pPr>
    <w:rPr>
      <w:rFonts w:ascii="宋体" w:hAnsi="Courier New"/>
      <w:szCs w:val="20"/>
    </w:rPr>
  </w:style>
  <w:style w:type="character" w:customStyle="1" w:styleId="43">
    <w:name w:val="标题 2 Char"/>
    <w:basedOn w:val="31"/>
    <w:link w:val="6"/>
    <w:qFormat/>
    <w:uiPriority w:val="0"/>
    <w:rPr>
      <w:rFonts w:ascii="Arial" w:hAnsi="Arial" w:eastAsia="黑体"/>
      <w:b/>
      <w:bCs/>
      <w:kern w:val="2"/>
      <w:sz w:val="32"/>
      <w:szCs w:val="32"/>
      <w:lang w:val="en-US" w:eastAsia="zh-CN" w:bidi="ar-SA"/>
    </w:rPr>
  </w:style>
  <w:style w:type="character" w:customStyle="1" w:styleId="44">
    <w:name w:val="纯文本 Char1"/>
    <w:basedOn w:val="31"/>
    <w:link w:val="15"/>
    <w:qFormat/>
    <w:uiPriority w:val="0"/>
    <w:rPr>
      <w:rFonts w:ascii="宋体" w:hAnsi="Courier New" w:cs="Courier New"/>
      <w:kern w:val="2"/>
      <w:sz w:val="21"/>
      <w:szCs w:val="21"/>
    </w:rPr>
  </w:style>
  <w:style w:type="character" w:customStyle="1" w:styleId="45">
    <w:name w:val="正文缩进 Char"/>
    <w:basedOn w:val="31"/>
    <w:link w:val="8"/>
    <w:qFormat/>
    <w:uiPriority w:val="0"/>
    <w:rPr>
      <w:rFonts w:eastAsia="宋体"/>
      <w:sz w:val="24"/>
      <w:szCs w:val="24"/>
      <w:lang w:val="en-US" w:eastAsia="zh-CN" w:bidi="ar-SA"/>
    </w:rPr>
  </w:style>
  <w:style w:type="character" w:customStyle="1" w:styleId="46">
    <w:name w:val="正文首行缩进 Char"/>
    <w:basedOn w:val="31"/>
    <w:link w:val="9"/>
    <w:semiHidden/>
    <w:qFormat/>
    <w:uiPriority w:val="0"/>
    <w:rPr>
      <w:rFonts w:eastAsia="宋体"/>
      <w:kern w:val="2"/>
      <w:sz w:val="21"/>
      <w:szCs w:val="24"/>
      <w:lang w:val="en-US" w:eastAsia="zh-CN" w:bidi="ar-SA"/>
    </w:rPr>
  </w:style>
  <w:style w:type="character" w:customStyle="1" w:styleId="47">
    <w:name w:val="1、正文 Char"/>
    <w:basedOn w:val="31"/>
    <w:link w:val="48"/>
    <w:qFormat/>
    <w:uiPriority w:val="0"/>
    <w:rPr>
      <w:rFonts w:eastAsia="宋体"/>
      <w:bCs/>
      <w:sz w:val="24"/>
      <w:szCs w:val="24"/>
      <w:lang w:val="en-US" w:eastAsia="zh-CN" w:bidi="ar-SA"/>
    </w:rPr>
  </w:style>
  <w:style w:type="paragraph" w:customStyle="1" w:styleId="48">
    <w:name w:val="1、正文"/>
    <w:basedOn w:val="1"/>
    <w:link w:val="47"/>
    <w:qFormat/>
    <w:uiPriority w:val="0"/>
    <w:pPr>
      <w:spacing w:line="360" w:lineRule="auto"/>
      <w:ind w:firstLine="480" w:firstLineChars="200"/>
    </w:pPr>
    <w:rPr>
      <w:bCs/>
      <w:kern w:val="0"/>
      <w:sz w:val="24"/>
    </w:rPr>
  </w:style>
  <w:style w:type="character" w:customStyle="1" w:styleId="49">
    <w:name w:val="批注框文本 Char"/>
    <w:basedOn w:val="31"/>
    <w:link w:val="17"/>
    <w:semiHidden/>
    <w:qFormat/>
    <w:uiPriority w:val="0"/>
    <w:rPr>
      <w:rFonts w:eastAsia="宋体"/>
      <w:kern w:val="2"/>
      <w:sz w:val="18"/>
      <w:szCs w:val="18"/>
      <w:lang w:val="en-US" w:eastAsia="zh-CN" w:bidi="ar-SA"/>
    </w:rPr>
  </w:style>
  <w:style w:type="paragraph" w:customStyle="1" w:styleId="50">
    <w:name w:val="表第一列"/>
    <w:basedOn w:val="9"/>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1"/>
    </w:rPr>
  </w:style>
  <w:style w:type="paragraph" w:customStyle="1" w:styleId="51">
    <w:name w:val="Char Char5 Char Char Char Char"/>
    <w:basedOn w:val="1"/>
    <w:qFormat/>
    <w:uiPriority w:val="0"/>
    <w:pPr>
      <w:spacing w:line="360" w:lineRule="auto"/>
      <w:ind w:firstLine="200" w:firstLineChars="200"/>
    </w:pPr>
  </w:style>
  <w:style w:type="paragraph" w:customStyle="1" w:styleId="52">
    <w:name w:val="Definition Term"/>
    <w:basedOn w:val="1"/>
    <w:next w:val="1"/>
    <w:qFormat/>
    <w:uiPriority w:val="0"/>
    <w:pPr>
      <w:autoSpaceDE w:val="0"/>
      <w:autoSpaceDN w:val="0"/>
      <w:adjustRightInd w:val="0"/>
      <w:jc w:val="left"/>
    </w:pPr>
    <w:rPr>
      <w:kern w:val="0"/>
      <w:sz w:val="24"/>
      <w:szCs w:val="20"/>
    </w:rPr>
  </w:style>
  <w:style w:type="paragraph" w:customStyle="1" w:styleId="53">
    <w:name w:val="Char Char Char Char Char Char Char Char Char Char Char Char Char"/>
    <w:basedOn w:val="1"/>
    <w:qFormat/>
    <w:uiPriority w:val="0"/>
  </w:style>
  <w:style w:type="paragraph" w:customStyle="1" w:styleId="54">
    <w:name w:val="五级条标题"/>
    <w:basedOn w:val="1"/>
    <w:next w:val="1"/>
    <w:qFormat/>
    <w:uiPriority w:val="0"/>
    <w:pPr>
      <w:widowControl/>
      <w:tabs>
        <w:tab w:val="left" w:pos="360"/>
        <w:tab w:val="left" w:pos="840"/>
        <w:tab w:val="left" w:pos="903"/>
        <w:tab w:val="left" w:pos="1080"/>
        <w:tab w:val="left" w:pos="1440"/>
        <w:tab w:val="left" w:pos="1800"/>
      </w:tabs>
      <w:ind w:left="1800" w:hanging="1800"/>
      <w:outlineLvl w:val="6"/>
    </w:pPr>
    <w:rPr>
      <w:rFonts w:ascii="黑体" w:eastAsia="黑体"/>
      <w:kern w:val="0"/>
      <w:szCs w:val="20"/>
    </w:rPr>
  </w:style>
  <w:style w:type="paragraph" w:customStyle="1" w:styleId="55">
    <w:name w:val="页眉 New New"/>
    <w:basedOn w:val="5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56">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7">
    <w:name w:val="页眉 New"/>
    <w:basedOn w:val="5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5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表"/>
    <w:basedOn w:val="1"/>
    <w:qFormat/>
    <w:uiPriority w:val="0"/>
    <w:pPr>
      <w:spacing w:line="300" w:lineRule="auto"/>
      <w:jc w:val="center"/>
    </w:pPr>
    <w:rPr>
      <w:szCs w:val="21"/>
    </w:rPr>
  </w:style>
  <w:style w:type="paragraph" w:customStyle="1" w:styleId="61">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62">
    <w:name w:val="参考标题"/>
    <w:basedOn w:val="10"/>
    <w:next w:val="1"/>
    <w:qFormat/>
    <w:uiPriority w:val="0"/>
    <w:pPr>
      <w:widowControl/>
      <w:spacing w:before="560" w:after="160"/>
      <w:jc w:val="center"/>
    </w:pPr>
    <w:rPr>
      <w:rFonts w:ascii="黑体" w:eastAsia="黑体"/>
      <w:kern w:val="0"/>
      <w:sz w:val="21"/>
      <w:szCs w:val="20"/>
    </w:rPr>
  </w:style>
  <w:style w:type="paragraph" w:customStyle="1" w:styleId="63">
    <w:name w:val="表内式样"/>
    <w:qFormat/>
    <w:uiPriority w:val="0"/>
    <w:pPr>
      <w:widowControl w:val="0"/>
      <w:kinsoku w:val="0"/>
      <w:adjustRightInd w:val="0"/>
      <w:spacing w:line="360" w:lineRule="atLeast"/>
      <w:jc w:val="both"/>
      <w:textAlignment w:val="baseline"/>
    </w:pPr>
    <w:rPr>
      <w:rFonts w:ascii="宋体" w:hAnsi="Times New Roman" w:eastAsia="宋体" w:cs="Times New Roman"/>
      <w:snapToGrid w:val="0"/>
      <w:sz w:val="21"/>
      <w:lang w:val="en-US" w:eastAsia="zh-CN" w:bidi="ar-SA"/>
    </w:rPr>
  </w:style>
  <w:style w:type="paragraph" w:customStyle="1" w:styleId="64">
    <w:name w:val="_Style 24"/>
    <w:basedOn w:val="1"/>
    <w:qFormat/>
    <w:uiPriority w:val="0"/>
    <w:rPr>
      <w:szCs w:val="20"/>
    </w:rPr>
  </w:style>
  <w:style w:type="paragraph" w:customStyle="1" w:styleId="65">
    <w:name w:val="默认段落字体 Para Char"/>
    <w:basedOn w:val="1"/>
    <w:qFormat/>
    <w:uiPriority w:val="0"/>
  </w:style>
  <w:style w:type="paragraph" w:customStyle="1" w:styleId="66">
    <w:name w:val="简单回函地址"/>
    <w:basedOn w:val="1"/>
    <w:qFormat/>
    <w:uiPriority w:val="0"/>
  </w:style>
  <w:style w:type="paragraph" w:customStyle="1" w:styleId="67">
    <w:name w:val="表格中"/>
    <w:basedOn w:val="1"/>
    <w:qFormat/>
    <w:uiPriority w:val="0"/>
    <w:pPr>
      <w:spacing w:line="280" w:lineRule="exact"/>
      <w:jc w:val="center"/>
    </w:pPr>
    <w:rPr>
      <w:rFonts w:ascii="宋体"/>
      <w:sz w:val="18"/>
    </w:rPr>
  </w:style>
  <w:style w:type="paragraph" w:customStyle="1" w:styleId="68">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69">
    <w:name w:val="样式1"/>
    <w:basedOn w:val="1"/>
    <w:qFormat/>
    <w:uiPriority w:val="0"/>
    <w:pPr>
      <w:snapToGrid w:val="0"/>
      <w:jc w:val="center"/>
    </w:pPr>
    <w:rPr>
      <w:rFonts w:ascii="宋体"/>
      <w:szCs w:val="20"/>
    </w:rPr>
  </w:style>
  <w:style w:type="paragraph" w:customStyle="1" w:styleId="70">
    <w:name w:val="表内剧中"/>
    <w:basedOn w:val="1"/>
    <w:qFormat/>
    <w:uiPriority w:val="0"/>
    <w:pPr>
      <w:jc w:val="center"/>
    </w:pPr>
    <w:rPr>
      <w:rFonts w:cs="宋体"/>
      <w:szCs w:val="20"/>
    </w:rPr>
  </w:style>
  <w:style w:type="paragraph" w:customStyle="1" w:styleId="71">
    <w:name w:val="Char"/>
    <w:basedOn w:val="1"/>
    <w:qFormat/>
    <w:uiPriority w:val="0"/>
    <w:pPr>
      <w:widowControl/>
      <w:spacing w:after="160" w:line="240" w:lineRule="exact"/>
      <w:ind w:left="100" w:leftChars="-100" w:hanging="200" w:hangingChars="200"/>
      <w:jc w:val="left"/>
    </w:pPr>
    <w:rPr>
      <w:szCs w:val="20"/>
    </w:rPr>
  </w:style>
  <w:style w:type="paragraph" w:customStyle="1" w:styleId="72">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4">
    <w:name w:val="Char Char Char Char Char Char"/>
    <w:basedOn w:val="11"/>
    <w:qFormat/>
    <w:uiPriority w:val="0"/>
    <w:pPr>
      <w:adjustRightInd w:val="0"/>
      <w:spacing w:line="436" w:lineRule="exact"/>
      <w:ind w:left="357"/>
      <w:jc w:val="left"/>
      <w:outlineLvl w:val="3"/>
    </w:pPr>
    <w:rPr>
      <w:rFonts w:ascii="Tahoma" w:hAnsi="Tahoma"/>
      <w:b/>
      <w:sz w:val="24"/>
    </w:rPr>
  </w:style>
  <w:style w:type="paragraph" w:customStyle="1" w:styleId="75">
    <w:name w:val="Char1"/>
    <w:basedOn w:val="1"/>
    <w:qFormat/>
    <w:uiPriority w:val="0"/>
    <w:pPr>
      <w:spacing w:line="360" w:lineRule="auto"/>
      <w:ind w:firstLine="200" w:firstLineChars="200"/>
    </w:pPr>
    <w:rPr>
      <w:rFonts w:ascii="宋体" w:hAnsi="宋体" w:cs="宋体"/>
      <w:sz w:val="24"/>
    </w:rPr>
  </w:style>
  <w:style w:type="paragraph" w:customStyle="1" w:styleId="76">
    <w:name w:val="普通(网站)1"/>
    <w:basedOn w:val="1"/>
    <w:qFormat/>
    <w:uiPriority w:val="0"/>
    <w:pPr>
      <w:widowControl/>
      <w:spacing w:before="100" w:beforeAutospacing="1" w:after="100" w:afterAutospacing="1"/>
      <w:jc w:val="left"/>
    </w:pPr>
    <w:rPr>
      <w:rFonts w:ascii="宋体" w:hAnsi="宋体" w:cs="Century"/>
      <w:kern w:val="0"/>
      <w:sz w:val="24"/>
    </w:rPr>
  </w:style>
  <w:style w:type="paragraph" w:customStyle="1" w:styleId="77">
    <w:name w:val="前言、引言标题"/>
    <w:next w:val="1"/>
    <w:qFormat/>
    <w:uiPriority w:val="0"/>
    <w:pPr>
      <w:shd w:val="clear" w:color="FFFFFF" w:fill="FFFFFF"/>
      <w:tabs>
        <w:tab w:val="left" w:pos="84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8">
    <w:name w:val="页脚 New"/>
    <w:basedOn w:val="58"/>
    <w:qFormat/>
    <w:uiPriority w:val="0"/>
    <w:pPr>
      <w:tabs>
        <w:tab w:val="center" w:pos="4153"/>
        <w:tab w:val="right" w:pos="8306"/>
      </w:tabs>
      <w:snapToGrid w:val="0"/>
      <w:jc w:val="left"/>
    </w:pPr>
    <w:rPr>
      <w:sz w:val="18"/>
    </w:rPr>
  </w:style>
  <w:style w:type="paragraph" w:customStyle="1" w:styleId="79">
    <w:name w:val="论文正文"/>
    <w:basedOn w:val="8"/>
    <w:qFormat/>
    <w:uiPriority w:val="0"/>
    <w:pPr>
      <w:tabs>
        <w:tab w:val="clear" w:pos="4648"/>
      </w:tabs>
      <w:spacing w:line="240" w:lineRule="auto"/>
    </w:pPr>
    <w:rPr>
      <w:rFonts w:ascii="宋体" w:hAnsi="宋体"/>
      <w:sz w:val="28"/>
    </w:rPr>
  </w:style>
  <w:style w:type="paragraph" w:customStyle="1" w:styleId="80">
    <w:name w:val="页脚 New New"/>
    <w:basedOn w:val="56"/>
    <w:qFormat/>
    <w:uiPriority w:val="0"/>
    <w:pPr>
      <w:tabs>
        <w:tab w:val="center" w:pos="4153"/>
        <w:tab w:val="right" w:pos="8306"/>
      </w:tabs>
      <w:snapToGrid w:val="0"/>
      <w:jc w:val="left"/>
    </w:pPr>
    <w:rPr>
      <w:sz w:val="18"/>
    </w:rPr>
  </w:style>
  <w:style w:type="paragraph" w:customStyle="1" w:styleId="81">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82">
    <w:name w:val="正文2表格"/>
    <w:basedOn w:val="1"/>
    <w:qFormat/>
    <w:uiPriority w:val="0"/>
    <w:pPr>
      <w:spacing w:line="400" w:lineRule="exact"/>
      <w:jc w:val="center"/>
    </w:pPr>
    <w:rPr>
      <w:rFonts w:ascii="宋体" w:hAnsi="宋体"/>
    </w:rPr>
  </w:style>
  <w:style w:type="paragraph" w:customStyle="1" w:styleId="83">
    <w:name w:val="Char2"/>
    <w:basedOn w:val="1"/>
    <w:qFormat/>
    <w:uiPriority w:val="0"/>
    <w:pPr>
      <w:spacing w:line="360" w:lineRule="auto"/>
      <w:ind w:firstLine="200" w:firstLineChars="200"/>
    </w:pPr>
  </w:style>
  <w:style w:type="paragraph" w:customStyle="1" w:styleId="84">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85">
    <w:name w:val="默认段落字体 Para Char Char Char Char"/>
    <w:basedOn w:val="1"/>
    <w:qFormat/>
    <w:uiPriority w:val="0"/>
    <w:pPr>
      <w:spacing w:beforeLines="50" w:afterLines="50" w:line="360" w:lineRule="auto"/>
      <w:jc w:val="left"/>
    </w:pPr>
    <w:rPr>
      <w:rFonts w:eastAsia="黑体"/>
      <w:sz w:val="30"/>
    </w:rPr>
  </w:style>
  <w:style w:type="paragraph" w:customStyle="1" w:styleId="86">
    <w:name w:val="表格正文"/>
    <w:basedOn w:val="1"/>
    <w:qFormat/>
    <w:uiPriority w:val="0"/>
    <w:pPr>
      <w:spacing w:line="360" w:lineRule="exact"/>
      <w:jc w:val="center"/>
    </w:pPr>
  </w:style>
  <w:style w:type="paragraph" w:customStyle="1" w:styleId="87">
    <w:name w:val="Normal_0"/>
    <w:qFormat/>
    <w:uiPriority w:val="0"/>
    <w:pPr>
      <w:widowControl w:val="0"/>
      <w:jc w:val="both"/>
    </w:pPr>
    <w:rPr>
      <w:rFonts w:ascii="Calibri" w:hAnsi="Calibri" w:eastAsia="宋体" w:cs="Times New Roman"/>
      <w:sz w:val="21"/>
      <w:szCs w:val="22"/>
      <w:lang w:val="en-US" w:eastAsia="zh-CN" w:bidi="ar-SA"/>
    </w:rPr>
  </w:style>
  <w:style w:type="paragraph" w:customStyle="1" w:styleId="88">
    <w:name w:val="表头"/>
    <w:basedOn w:val="1"/>
    <w:qFormat/>
    <w:uiPriority w:val="0"/>
    <w:pPr>
      <w:spacing w:line="360" w:lineRule="auto"/>
      <w:jc w:val="center"/>
    </w:pPr>
    <w:rPr>
      <w:rFonts w:ascii="宋体" w:hAnsi="PMingLiU" w:cs="宋体"/>
      <w:b/>
      <w:bCs/>
      <w:sz w:val="24"/>
      <w:szCs w:val="20"/>
    </w:rPr>
  </w:style>
  <w:style w:type="paragraph" w:customStyle="1" w:styleId="89">
    <w:name w:val="Char Char Char1"/>
    <w:basedOn w:val="1"/>
    <w:qFormat/>
    <w:uiPriority w:val="0"/>
  </w:style>
  <w:style w:type="paragraph" w:styleId="90">
    <w:name w:val="List Paragraph"/>
    <w:basedOn w:val="1"/>
    <w:unhideWhenUsed/>
    <w:qFormat/>
    <w:uiPriority w:val="99"/>
    <w:pPr>
      <w:ind w:firstLine="420" w:firstLineChars="200"/>
    </w:pPr>
  </w:style>
  <w:style w:type="character" w:customStyle="1" w:styleId="91">
    <w:name w:val="正文文本缩进 Char"/>
    <w:basedOn w:val="31"/>
    <w:link w:val="3"/>
    <w:qFormat/>
    <w:uiPriority w:val="0"/>
    <w:rPr>
      <w:kern w:val="2"/>
      <w:sz w:val="28"/>
      <w:szCs w:val="28"/>
    </w:rPr>
  </w:style>
  <w:style w:type="paragraph" w:customStyle="1" w:styleId="92">
    <w:name w:val="WPSOffice手动目录 1"/>
    <w:qFormat/>
    <w:uiPriority w:val="0"/>
    <w:pPr>
      <w:ind w:leftChars="0"/>
    </w:pPr>
    <w:rPr>
      <w:rFonts w:ascii="Times New Roman" w:hAnsi="Times New Roman" w:eastAsia="宋体" w:cs="Times New Roman"/>
      <w:sz w:val="20"/>
      <w:szCs w:val="20"/>
    </w:rPr>
  </w:style>
  <w:style w:type="paragraph" w:customStyle="1" w:styleId="93">
    <w:name w:val="WPSOffice手动目录 2"/>
    <w:qFormat/>
    <w:uiPriority w:val="0"/>
    <w:pPr>
      <w:ind w:leftChars="200"/>
    </w:pPr>
    <w:rPr>
      <w:rFonts w:ascii="Times New Roman" w:hAnsi="Times New Roman" w:eastAsia="宋体" w:cs="Times New Roman"/>
      <w:sz w:val="20"/>
      <w:szCs w:val="20"/>
    </w:rPr>
  </w:style>
  <w:style w:type="paragraph" w:customStyle="1" w:styleId="94">
    <w:name w:val="WPSOffice手动目录 3"/>
    <w:qFormat/>
    <w:uiPriority w:val="0"/>
    <w:pPr>
      <w:ind w:leftChars="400"/>
    </w:pPr>
    <w:rPr>
      <w:rFonts w:ascii="Times New Roman" w:hAnsi="Times New Roman" w:eastAsia="宋体" w:cs="Times New Roman"/>
      <w:sz w:val="20"/>
      <w:szCs w:val="20"/>
    </w:rPr>
  </w:style>
  <w:style w:type="paragraph" w:customStyle="1" w:styleId="95">
    <w:name w:val="正文文本 22"/>
    <w:basedOn w:val="1"/>
    <w:qFormat/>
    <w:uiPriority w:val="0"/>
    <w:pPr>
      <w:autoSpaceDE w:val="0"/>
      <w:autoSpaceDN w:val="0"/>
      <w:adjustRightInd w:val="0"/>
      <w:spacing w:line="480" w:lineRule="atLeast"/>
      <w:ind w:firstLine="570"/>
      <w:textAlignment w:val="baseline"/>
    </w:pPr>
    <w:rPr>
      <w:rFonts w:ascii="宋体" w:hAnsi="Tms Rmn"/>
      <w:kern w:val="0"/>
      <w:sz w:val="28"/>
      <w:szCs w:val="20"/>
    </w:rPr>
  </w:style>
  <w:style w:type="paragraph" w:customStyle="1" w:styleId="96">
    <w:name w:val="xl25"/>
    <w:basedOn w:val="1"/>
    <w:qFormat/>
    <w:uiPriority w:val="99"/>
    <w:pPr>
      <w:widowControl/>
      <w:pBdr>
        <w:bottom w:val="single" w:color="auto" w:sz="4" w:space="0"/>
        <w:right w:val="single" w:color="auto" w:sz="4" w:space="0"/>
      </w:pBdr>
      <w:spacing w:before="100" w:beforeAutospacing="1" w:after="100" w:afterAutospacing="1"/>
      <w:jc w:val="center"/>
      <w:textAlignment w:val="top"/>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image" Target="media/image3.wmf"/><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AEE0E-C6C9-4623-9737-5FFB6B0BA69A}">
  <ds:schemaRefs/>
</ds:datastoreItem>
</file>

<file path=docProps/app.xml><?xml version="1.0" encoding="utf-8"?>
<Properties xmlns="http://schemas.openxmlformats.org/officeDocument/2006/extended-properties" xmlns:vt="http://schemas.openxmlformats.org/officeDocument/2006/docPropsVTypes">
  <Template>Normal</Template>
  <Pages>38</Pages>
  <Words>9881</Words>
  <Characters>11597</Characters>
  <Lines>32</Lines>
  <Paragraphs>31</Paragraphs>
  <TotalTime>40</TotalTime>
  <ScaleCrop>false</ScaleCrop>
  <LinksUpToDate>false</LinksUpToDate>
  <CharactersWithSpaces>12154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2018-03-25T09:24:00Z</dcterms:created>
  <dc:creator>Gao</dc:creator>
  <cp:lastModifiedBy>露</cp:lastModifiedBy>
  <cp:lastPrinted>2020-11-05T03:43:02Z</cp:lastPrinted>
  <dcterms:modified xsi:type="dcterms:W3CDTF">2020-11-05T03:58:59Z</dcterms:modified>
  <dc:title>建设项目竣工环境保护</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