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sz w:val="21"/>
                <w:szCs w:val="21"/>
                <w:lang w:val="en-GB" w:eastAsia="zh-CN"/>
              </w:rPr>
              <w:t>山东益香宝生物科技有限公司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ZW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A01006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202204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山东省潍坊市寒亭区固堤街道办事处别化村北首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"https://www.tianyancha.com/human/1817564051-c3025057455" \o "刘金光"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刘金光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李晋 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张秀光、葛立平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李晋 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李晋 、葛立平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"https://www.tianyancha.com/human/1817564051-c3025057455" \o "刘金光"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刘金光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09825" cy="1591310"/>
                  <wp:effectExtent l="0" t="0" r="952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543175" cy="16192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66975" cy="16097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62E6498"/>
    <w:rsid w:val="06D44B52"/>
    <w:rsid w:val="071E3B63"/>
    <w:rsid w:val="07962202"/>
    <w:rsid w:val="08F652BC"/>
    <w:rsid w:val="09E1611A"/>
    <w:rsid w:val="0AE845A2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B06615E"/>
    <w:rsid w:val="1B3F4FE7"/>
    <w:rsid w:val="1B64030D"/>
    <w:rsid w:val="1B9E4717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E77628D"/>
    <w:rsid w:val="2F527A35"/>
    <w:rsid w:val="312A7DC5"/>
    <w:rsid w:val="31D73F45"/>
    <w:rsid w:val="32BB1053"/>
    <w:rsid w:val="32ED19A2"/>
    <w:rsid w:val="34597A86"/>
    <w:rsid w:val="35C75389"/>
    <w:rsid w:val="36CE73AF"/>
    <w:rsid w:val="37544D57"/>
    <w:rsid w:val="37B57664"/>
    <w:rsid w:val="38F341DC"/>
    <w:rsid w:val="39C05E9E"/>
    <w:rsid w:val="39EC67D8"/>
    <w:rsid w:val="3AA8768F"/>
    <w:rsid w:val="3C67025E"/>
    <w:rsid w:val="3E5C1F81"/>
    <w:rsid w:val="3EFB4F29"/>
    <w:rsid w:val="3F471E19"/>
    <w:rsid w:val="3FC92B98"/>
    <w:rsid w:val="402351A2"/>
    <w:rsid w:val="411A78A1"/>
    <w:rsid w:val="42175C62"/>
    <w:rsid w:val="42F046B4"/>
    <w:rsid w:val="43105650"/>
    <w:rsid w:val="44570FAC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A167C01"/>
    <w:rsid w:val="5BD01FE3"/>
    <w:rsid w:val="5C8B0CED"/>
    <w:rsid w:val="5C9F632F"/>
    <w:rsid w:val="5DE43FE7"/>
    <w:rsid w:val="5E0E5071"/>
    <w:rsid w:val="5E747105"/>
    <w:rsid w:val="619011E5"/>
    <w:rsid w:val="635844AE"/>
    <w:rsid w:val="64A6717F"/>
    <w:rsid w:val="64D902CF"/>
    <w:rsid w:val="64E4322D"/>
    <w:rsid w:val="652438EB"/>
    <w:rsid w:val="667F7CE0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2C492D"/>
    <w:rsid w:val="6E6C11F4"/>
    <w:rsid w:val="6ED729EF"/>
    <w:rsid w:val="7218347E"/>
    <w:rsid w:val="726E6668"/>
    <w:rsid w:val="73610529"/>
    <w:rsid w:val="741E64AD"/>
    <w:rsid w:val="748052C6"/>
    <w:rsid w:val="749369DA"/>
    <w:rsid w:val="74F029E5"/>
    <w:rsid w:val="756D77F9"/>
    <w:rsid w:val="77235AF5"/>
    <w:rsid w:val="797C3FB6"/>
    <w:rsid w:val="79FC79A7"/>
    <w:rsid w:val="7B0E1265"/>
    <w:rsid w:val="7B367328"/>
    <w:rsid w:val="7C714CF8"/>
    <w:rsid w:val="7C9F19A7"/>
    <w:rsid w:val="7CD700B3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143</Words>
  <Characters>167</Characters>
  <Lines>1</Lines>
  <Paragraphs>1</Paragraphs>
  <TotalTime>5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2022-04-28T08:35:25Z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