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val="0"/>
        <w:snapToGrid w:val="0"/>
        <w:spacing w:before="624" w:line="240" w:lineRule="auto"/>
        <w:ind w:firstLine="0" w:firstLineChars="0"/>
        <w:jc w:val="both"/>
        <w:rPr>
          <w:rFonts w:cs="Times New Roman" w:eastAsiaTheme="minorEastAsia"/>
          <w:b/>
          <w:bCs/>
          <w:spacing w:val="20"/>
          <w:sz w:val="52"/>
          <w:szCs w:val="52"/>
        </w:rPr>
      </w:pPr>
    </w:p>
    <w:p>
      <w:pPr>
        <w:widowControl w:val="0"/>
        <w:spacing w:after="120" w:line="240" w:lineRule="auto"/>
        <w:ind w:left="480" w:leftChars="200" w:firstLine="420"/>
        <w:jc w:val="both"/>
        <w:rPr>
          <w:rFonts w:cs="Times New Roman" w:eastAsiaTheme="minorEastAsia"/>
          <w:sz w:val="21"/>
          <w:szCs w:val="24"/>
        </w:rPr>
      </w:pPr>
    </w:p>
    <w:p>
      <w:pPr>
        <w:widowControl w:val="0"/>
        <w:adjustRightInd w:val="0"/>
        <w:snapToGrid w:val="0"/>
        <w:spacing w:before="624" w:line="240" w:lineRule="auto"/>
        <w:ind w:firstLine="0" w:firstLineChars="0"/>
        <w:jc w:val="center"/>
        <w:rPr>
          <w:rFonts w:hint="eastAsia" w:cs="Times New Roman" w:eastAsiaTheme="minorEastAsia"/>
          <w:b/>
          <w:bCs/>
          <w:spacing w:val="23"/>
          <w:w w:val="90"/>
          <w:sz w:val="52"/>
          <w:szCs w:val="52"/>
          <w:lang w:eastAsia="zh-CN"/>
        </w:rPr>
      </w:pPr>
      <w:r>
        <w:rPr>
          <w:rFonts w:hint="eastAsia" w:cs="Times New Roman" w:eastAsiaTheme="minorEastAsia"/>
          <w:b/>
          <w:bCs/>
          <w:spacing w:val="23"/>
          <w:w w:val="90"/>
          <w:sz w:val="52"/>
          <w:szCs w:val="52"/>
          <w:lang w:eastAsia="zh-CN"/>
        </w:rPr>
        <w:t>灌装间提升技改项目</w:t>
      </w:r>
    </w:p>
    <w:p>
      <w:pPr>
        <w:widowControl w:val="0"/>
        <w:adjustRightInd w:val="0"/>
        <w:snapToGrid w:val="0"/>
        <w:spacing w:before="624" w:line="240" w:lineRule="auto"/>
        <w:ind w:firstLine="0" w:firstLineChars="0"/>
        <w:jc w:val="center"/>
        <w:outlineLvl w:val="0"/>
        <w:rPr>
          <w:rFonts w:cs="Times New Roman" w:eastAsiaTheme="minorEastAsia"/>
          <w:spacing w:val="20"/>
          <w:sz w:val="56"/>
          <w:szCs w:val="56"/>
        </w:rPr>
      </w:pPr>
      <w:bookmarkStart w:id="0" w:name="_Toc80224136"/>
      <w:r>
        <w:rPr>
          <w:rFonts w:cs="Times New Roman" w:eastAsiaTheme="minorEastAsia"/>
          <w:b/>
          <w:bCs/>
          <w:spacing w:val="20"/>
          <w:sz w:val="52"/>
          <w:szCs w:val="52"/>
        </w:rPr>
        <w:t>竣工环境保护验收监测报告</w:t>
      </w:r>
      <w:bookmarkEnd w:id="0"/>
    </w:p>
    <w:p>
      <w:pPr>
        <w:widowControl w:val="0"/>
        <w:spacing w:line="240" w:lineRule="auto"/>
        <w:ind w:firstLine="0" w:firstLineChars="0"/>
        <w:jc w:val="both"/>
        <w:rPr>
          <w:rFonts w:cs="Times New Roman" w:eastAsiaTheme="minorEastAsia"/>
          <w:sz w:val="32"/>
          <w:szCs w:val="24"/>
        </w:rPr>
      </w:pPr>
    </w:p>
    <w:p>
      <w:pPr>
        <w:widowControl w:val="0"/>
        <w:spacing w:line="240" w:lineRule="auto"/>
        <w:ind w:firstLine="0" w:firstLineChars="0"/>
        <w:jc w:val="both"/>
        <w:rPr>
          <w:rFonts w:cs="Times New Roman" w:eastAsiaTheme="minorEastAsia"/>
          <w:sz w:val="32"/>
          <w:szCs w:val="24"/>
        </w:rPr>
      </w:pPr>
    </w:p>
    <w:p>
      <w:pPr>
        <w:widowControl w:val="0"/>
        <w:spacing w:line="240" w:lineRule="auto"/>
        <w:ind w:firstLine="0" w:firstLineChars="0"/>
        <w:jc w:val="both"/>
        <w:rPr>
          <w:rFonts w:cs="Times New Roman" w:eastAsiaTheme="minorEastAsia"/>
          <w:sz w:val="32"/>
          <w:szCs w:val="24"/>
        </w:rPr>
      </w:pPr>
    </w:p>
    <w:p>
      <w:pPr>
        <w:widowControl w:val="0"/>
        <w:spacing w:line="240" w:lineRule="auto"/>
        <w:ind w:firstLine="0" w:firstLineChars="0"/>
        <w:jc w:val="both"/>
        <w:rPr>
          <w:rFonts w:cs="Times New Roman" w:eastAsiaTheme="minorEastAsia"/>
          <w:b/>
          <w:sz w:val="32"/>
          <w:szCs w:val="32"/>
        </w:rPr>
      </w:pPr>
    </w:p>
    <w:p>
      <w:pPr>
        <w:widowControl w:val="0"/>
        <w:spacing w:after="120" w:line="240" w:lineRule="auto"/>
        <w:ind w:left="480" w:leftChars="200" w:firstLine="0" w:firstLineChars="0"/>
        <w:jc w:val="both"/>
        <w:rPr>
          <w:rFonts w:cs="Times New Roman" w:eastAsiaTheme="minorEastAsia"/>
          <w:sz w:val="21"/>
          <w:szCs w:val="24"/>
        </w:rPr>
      </w:pPr>
    </w:p>
    <w:p>
      <w:pPr>
        <w:widowControl w:val="0"/>
        <w:spacing w:after="120" w:line="240" w:lineRule="auto"/>
        <w:ind w:left="480" w:leftChars="200" w:firstLine="0" w:firstLineChars="0"/>
        <w:jc w:val="both"/>
        <w:rPr>
          <w:rFonts w:cs="Times New Roman" w:eastAsiaTheme="minorEastAsia"/>
          <w:sz w:val="21"/>
          <w:szCs w:val="24"/>
        </w:rPr>
      </w:pPr>
    </w:p>
    <w:p>
      <w:pPr>
        <w:widowControl w:val="0"/>
        <w:spacing w:after="120" w:line="240" w:lineRule="auto"/>
        <w:ind w:left="480" w:leftChars="200" w:firstLine="0" w:firstLineChars="0"/>
        <w:jc w:val="both"/>
        <w:rPr>
          <w:rFonts w:cs="Times New Roman" w:eastAsiaTheme="minorEastAsia"/>
          <w:sz w:val="21"/>
          <w:szCs w:val="24"/>
        </w:rPr>
      </w:pPr>
    </w:p>
    <w:p>
      <w:pPr>
        <w:widowControl w:val="0"/>
        <w:spacing w:after="120" w:line="240" w:lineRule="auto"/>
        <w:ind w:left="480" w:leftChars="200" w:firstLine="0" w:firstLineChars="0"/>
        <w:jc w:val="both"/>
        <w:rPr>
          <w:rFonts w:cs="Times New Roman" w:eastAsiaTheme="minorEastAsia"/>
          <w:sz w:val="32"/>
          <w:szCs w:val="32"/>
        </w:rPr>
      </w:pPr>
    </w:p>
    <w:p>
      <w:pPr>
        <w:widowControl w:val="0"/>
        <w:spacing w:line="240" w:lineRule="auto"/>
        <w:ind w:firstLine="0" w:firstLineChars="0"/>
        <w:jc w:val="both"/>
        <w:rPr>
          <w:rFonts w:cs="Times New Roman" w:eastAsiaTheme="minorEastAsia"/>
          <w:b/>
          <w:sz w:val="32"/>
          <w:szCs w:val="32"/>
        </w:rPr>
      </w:pPr>
    </w:p>
    <w:p>
      <w:pPr>
        <w:widowControl w:val="0"/>
        <w:spacing w:after="120" w:line="240" w:lineRule="auto"/>
        <w:ind w:left="480" w:leftChars="200" w:firstLine="643"/>
        <w:jc w:val="both"/>
        <w:rPr>
          <w:rFonts w:cs="Times New Roman" w:eastAsiaTheme="minorEastAsia"/>
          <w:b/>
          <w:sz w:val="32"/>
          <w:szCs w:val="32"/>
        </w:rPr>
      </w:pPr>
    </w:p>
    <w:p>
      <w:pPr>
        <w:widowControl w:val="0"/>
        <w:spacing w:line="240" w:lineRule="auto"/>
        <w:ind w:firstLine="0" w:firstLineChars="0"/>
        <w:jc w:val="both"/>
        <w:rPr>
          <w:rFonts w:cs="Times New Roman" w:eastAsiaTheme="minorEastAsia"/>
          <w:b/>
          <w:sz w:val="32"/>
          <w:szCs w:val="32"/>
        </w:rPr>
      </w:pPr>
    </w:p>
    <w:p>
      <w:pPr>
        <w:widowControl w:val="0"/>
        <w:spacing w:after="120" w:line="240" w:lineRule="auto"/>
        <w:ind w:left="480" w:leftChars="200" w:firstLine="643"/>
        <w:jc w:val="both"/>
        <w:rPr>
          <w:rFonts w:cs="Times New Roman" w:eastAsiaTheme="minorEastAsia"/>
          <w:b/>
          <w:sz w:val="32"/>
          <w:szCs w:val="32"/>
        </w:rPr>
      </w:pPr>
    </w:p>
    <w:p>
      <w:pPr>
        <w:widowControl w:val="0"/>
        <w:spacing w:line="240" w:lineRule="auto"/>
        <w:ind w:firstLine="0" w:firstLineChars="0"/>
        <w:jc w:val="both"/>
        <w:rPr>
          <w:rFonts w:cs="Times New Roman" w:eastAsiaTheme="minorEastAsia"/>
          <w:sz w:val="21"/>
          <w:szCs w:val="24"/>
        </w:rPr>
      </w:pPr>
    </w:p>
    <w:p>
      <w:pPr>
        <w:widowControl w:val="0"/>
        <w:spacing w:after="120" w:line="240" w:lineRule="auto"/>
        <w:ind w:left="480" w:leftChars="200" w:firstLine="0" w:firstLineChars="0"/>
        <w:jc w:val="both"/>
        <w:rPr>
          <w:rFonts w:cs="Times New Roman" w:eastAsiaTheme="minorEastAsia"/>
          <w:sz w:val="21"/>
          <w:szCs w:val="24"/>
        </w:rPr>
      </w:pPr>
    </w:p>
    <w:p>
      <w:pPr>
        <w:widowControl w:val="0"/>
        <w:spacing w:line="240" w:lineRule="auto"/>
        <w:ind w:firstLine="0" w:firstLineChars="0"/>
        <w:jc w:val="center"/>
        <w:rPr>
          <w:rFonts w:hint="eastAsia" w:cs="Times New Roman" w:eastAsiaTheme="minorEastAsia"/>
          <w:b/>
          <w:bCs/>
          <w:sz w:val="32"/>
          <w:szCs w:val="32"/>
          <w:lang w:eastAsia="zh-CN"/>
        </w:rPr>
      </w:pPr>
      <w:r>
        <w:rPr>
          <w:rFonts w:hint="eastAsia" w:cs="Times New Roman" w:eastAsiaTheme="minorEastAsia"/>
          <w:bCs/>
          <w:sz w:val="32"/>
          <w:szCs w:val="32"/>
          <w:lang w:eastAsia="zh-CN"/>
        </w:rPr>
        <w:t>山东民基新材料科技有限公司</w:t>
      </w:r>
    </w:p>
    <w:p>
      <w:pPr>
        <w:widowControl w:val="0"/>
        <w:spacing w:line="240" w:lineRule="auto"/>
        <w:ind w:firstLine="0" w:firstLineChars="0"/>
        <w:jc w:val="center"/>
        <w:rPr>
          <w:rFonts w:hint="eastAsia" w:cs="Times New Roman" w:eastAsiaTheme="minorEastAsia"/>
          <w:bCs/>
          <w:sz w:val="32"/>
          <w:szCs w:val="32"/>
          <w:lang w:eastAsia="zh-CN"/>
        </w:rPr>
      </w:pPr>
      <w:r>
        <w:rPr>
          <w:rFonts w:hint="eastAsia" w:cs="Times New Roman" w:eastAsiaTheme="minorEastAsia"/>
          <w:bCs/>
          <w:sz w:val="32"/>
          <w:szCs w:val="32"/>
          <w:lang w:eastAsia="zh-CN"/>
        </w:rPr>
        <w:t>二〇二三年二</w:t>
      </w:r>
      <w:bookmarkStart w:id="154" w:name="_GoBack"/>
      <w:bookmarkEnd w:id="154"/>
      <w:r>
        <w:rPr>
          <w:rFonts w:hint="eastAsia" w:cs="Times New Roman" w:eastAsiaTheme="minorEastAsia"/>
          <w:bCs/>
          <w:sz w:val="32"/>
          <w:szCs w:val="32"/>
          <w:lang w:eastAsia="zh-CN"/>
        </w:rPr>
        <w:t>月</w:t>
      </w:r>
    </w:p>
    <w:p>
      <w:pPr>
        <w:widowControl w:val="0"/>
        <w:spacing w:line="240" w:lineRule="auto"/>
        <w:ind w:firstLine="0" w:firstLineChars="0"/>
        <w:jc w:val="center"/>
        <w:rPr>
          <w:rFonts w:cs="Times New Roman" w:eastAsiaTheme="minorEastAsia"/>
          <w:b/>
          <w:bCs/>
          <w:sz w:val="32"/>
          <w:szCs w:val="32"/>
        </w:rPr>
      </w:pPr>
      <w:r>
        <w:rPr>
          <w:rFonts w:cs="Times New Roman" w:eastAsiaTheme="minorEastAsia"/>
          <w:b/>
          <w:bCs/>
          <w:sz w:val="32"/>
          <w:szCs w:val="32"/>
        </w:rPr>
        <w:br w:type="page"/>
      </w:r>
      <w:r>
        <w:rPr>
          <w:rFonts w:cs="Times New Roman" w:eastAsiaTheme="minorEastAsia"/>
          <w:b/>
          <w:bCs/>
          <w:sz w:val="32"/>
          <w:szCs w:val="32"/>
        </w:rPr>
        <w:br w:type="page"/>
      </w:r>
    </w:p>
    <w:p>
      <w:pPr>
        <w:pStyle w:val="28"/>
        <w:widowControl w:val="0"/>
        <w:spacing w:before="624" w:beforeLines="200" w:after="936" w:afterLines="300"/>
        <w:ind w:firstLine="0" w:firstLineChars="0"/>
        <w:outlineLvl w:val="9"/>
        <w:rPr>
          <w:rFonts w:ascii="Times New Roman" w:hAnsi="Times New Roman" w:cs="Times New Roman" w:eastAsiaTheme="minorEastAsia"/>
          <w:b w:val="0"/>
        </w:rPr>
      </w:pPr>
      <w:r>
        <w:rPr>
          <w:rFonts w:ascii="Times New Roman" w:hAnsi="Times New Roman" w:cs="Times New Roman" w:eastAsiaTheme="minorEastAsia"/>
        </w:rPr>
        <w:t>目    录</w:t>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TOC \o "1-1" \h \z \u </w:instrText>
      </w:r>
      <w:r>
        <w:rPr>
          <w:rFonts w:ascii="Times New Roman" w:hAnsi="Times New Roman" w:cs="Times New Roman" w:eastAsiaTheme="minorEastAsia"/>
          <w:b w:val="0"/>
        </w:rPr>
        <w:fldChar w:fldCharType="separate"/>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"_Toc80224138" </w:instrText>
      </w:r>
      <w:r>
        <w:fldChar w:fldCharType="separate"/>
      </w:r>
      <w:r>
        <w:rPr>
          <w:rStyle w:val="42"/>
          <w:rFonts w:ascii="Times New Roman" w:hAnsi="Times New Roman" w:cs="Times New Roman" w:eastAsiaTheme="minorEastAsia"/>
          <w:b w:val="0"/>
        </w:rPr>
        <w:t>第一章</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总论</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_Toc80224138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1</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"_Toc80224139" </w:instrText>
      </w:r>
      <w:r>
        <w:fldChar w:fldCharType="separate"/>
      </w:r>
      <w:r>
        <w:rPr>
          <w:rStyle w:val="42"/>
          <w:rFonts w:ascii="Times New Roman" w:hAnsi="Times New Roman" w:cs="Times New Roman" w:eastAsiaTheme="minorEastAsia"/>
          <w:b w:val="0"/>
        </w:rPr>
        <w:t>第二章</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建设项目概况</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_Toc80224139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3</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"_Toc80224140" </w:instrText>
      </w:r>
      <w:r>
        <w:fldChar w:fldCharType="separate"/>
      </w:r>
      <w:r>
        <w:rPr>
          <w:rStyle w:val="42"/>
          <w:rFonts w:ascii="Times New Roman" w:hAnsi="Times New Roman" w:cs="Times New Roman" w:eastAsiaTheme="minorEastAsia"/>
          <w:b w:val="0"/>
        </w:rPr>
        <w:t>第三章</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环评建议及环评批复要求</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_Toc80224140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9</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"_Toc80224141" </w:instrText>
      </w:r>
      <w:r>
        <w:fldChar w:fldCharType="separate"/>
      </w:r>
      <w:r>
        <w:rPr>
          <w:rStyle w:val="42"/>
          <w:rFonts w:ascii="Times New Roman" w:hAnsi="Times New Roman" w:cs="Times New Roman" w:eastAsiaTheme="minorEastAsia"/>
          <w:b w:val="0"/>
        </w:rPr>
        <w:t>第四章</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验收监测调查</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_Toc80224141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12</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"_Toc80224142" </w:instrText>
      </w:r>
      <w:r>
        <w:fldChar w:fldCharType="separate"/>
      </w:r>
      <w:r>
        <w:rPr>
          <w:rStyle w:val="42"/>
          <w:rFonts w:ascii="Times New Roman" w:hAnsi="Times New Roman" w:cs="Times New Roman" w:eastAsiaTheme="minorEastAsia"/>
          <w:b w:val="0"/>
        </w:rPr>
        <w:t>第五章</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验收监测内容</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_Toc80224142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13</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"_Toc80224143" </w:instrText>
      </w:r>
      <w:r>
        <w:fldChar w:fldCharType="separate"/>
      </w:r>
      <w:r>
        <w:rPr>
          <w:rStyle w:val="42"/>
          <w:rFonts w:ascii="Times New Roman" w:hAnsi="Times New Roman" w:cs="Times New Roman" w:eastAsiaTheme="minorEastAsia"/>
          <w:b w:val="0"/>
        </w:rPr>
        <w:t>第六章</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环境管理调查</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_Toc80224143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19</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"_Toc80224143" </w:instrText>
      </w:r>
      <w:r>
        <w:fldChar w:fldCharType="separate"/>
      </w:r>
      <w:r>
        <w:rPr>
          <w:rStyle w:val="42"/>
          <w:rFonts w:ascii="Times New Roman" w:hAnsi="Times New Roman" w:cs="Times New Roman" w:eastAsiaTheme="minorEastAsia"/>
          <w:b w:val="0"/>
        </w:rPr>
        <w:t>第</w:t>
      </w:r>
      <w:r>
        <w:rPr>
          <w:rStyle w:val="42"/>
          <w:rFonts w:hint="eastAsia" w:ascii="Times New Roman" w:hAnsi="Times New Roman" w:cs="Times New Roman" w:eastAsiaTheme="minorEastAsia"/>
          <w:b w:val="0"/>
        </w:rPr>
        <w:t>七</w:t>
      </w:r>
      <w:r>
        <w:rPr>
          <w:rStyle w:val="42"/>
          <w:rFonts w:ascii="Times New Roman" w:hAnsi="Times New Roman" w:cs="Times New Roman" w:eastAsiaTheme="minorEastAsia"/>
          <w:b w:val="0"/>
        </w:rPr>
        <w:t>章</w:t>
      </w:r>
      <w:r>
        <w:rPr>
          <w:rFonts w:ascii="Times New Roman" w:hAnsi="Times New Roman" w:cs="Times New Roman" w:eastAsiaTheme="minorEastAsia"/>
          <w:b w:val="0"/>
          <w:bCs w:val="0"/>
          <w:caps w:val="0"/>
          <w:sz w:val="21"/>
          <w:szCs w:val="22"/>
        </w:rPr>
        <w:tab/>
      </w:r>
      <w:r>
        <w:rPr>
          <w:rStyle w:val="42"/>
          <w:rFonts w:hint="eastAsia" w:ascii="Times New Roman" w:hAnsi="Times New Roman" w:cs="Times New Roman" w:eastAsiaTheme="minorEastAsia"/>
          <w:b w:val="0"/>
        </w:rPr>
        <w:t>环评批复落实情况</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_Toc80224143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19</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ascii="Times New Roman" w:hAnsi="Times New Roman" w:cs="Times New Roman" w:eastAsiaTheme="minorEastAsia"/>
          <w:b w:val="0"/>
        </w:rPr>
      </w:pPr>
      <w:r>
        <w:fldChar w:fldCharType="begin"/>
      </w:r>
      <w:r>
        <w:instrText xml:space="preserve"> HYPERLINK \l "_Toc80224144" </w:instrText>
      </w:r>
      <w:r>
        <w:fldChar w:fldCharType="separate"/>
      </w:r>
      <w:r>
        <w:rPr>
          <w:rStyle w:val="42"/>
          <w:rFonts w:ascii="Times New Roman" w:hAnsi="Times New Roman" w:cs="Times New Roman" w:eastAsiaTheme="minorEastAsia"/>
          <w:b w:val="0"/>
        </w:rPr>
        <w:t>第</w:t>
      </w:r>
      <w:r>
        <w:rPr>
          <w:rStyle w:val="42"/>
          <w:rFonts w:hint="eastAsia" w:ascii="Times New Roman" w:hAnsi="Times New Roman" w:cs="Times New Roman" w:eastAsiaTheme="minorEastAsia"/>
          <w:b w:val="0"/>
        </w:rPr>
        <w:t>八</w:t>
      </w:r>
      <w:r>
        <w:rPr>
          <w:rStyle w:val="42"/>
          <w:rFonts w:ascii="Times New Roman" w:hAnsi="Times New Roman" w:cs="Times New Roman" w:eastAsiaTheme="minorEastAsia"/>
          <w:b w:val="0"/>
        </w:rPr>
        <w:t>章</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结论与建议</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_Toc80224144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23</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"_Toc80224145" </w:instrText>
      </w:r>
      <w:r>
        <w:fldChar w:fldCharType="separate"/>
      </w:r>
      <w:r>
        <w:rPr>
          <w:rStyle w:val="42"/>
          <w:rFonts w:ascii="Times New Roman" w:hAnsi="Times New Roman" w:cs="Times New Roman" w:eastAsiaTheme="minorEastAsia"/>
          <w:b w:val="0"/>
        </w:rPr>
        <w:t>附件1：</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环评批复</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_Toc80224145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26</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"_Toc80224146" </w:instrText>
      </w:r>
      <w:r>
        <w:fldChar w:fldCharType="separate"/>
      </w:r>
      <w:r>
        <w:rPr>
          <w:rStyle w:val="42"/>
          <w:rFonts w:ascii="Times New Roman" w:hAnsi="Times New Roman" w:cs="Times New Roman" w:eastAsiaTheme="minorEastAsia"/>
          <w:b w:val="0"/>
        </w:rPr>
        <w:t>附件2：</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生产负荷证明</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_Toc80224146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30</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pStyle w:val="28"/>
        <w:outlineLvl w:val="9"/>
        <w:rPr>
          <w:rFonts w:hint="eastAsia" w:ascii="Times New Roman" w:hAnsi="Times New Roman" w:cs="Times New Roman" w:eastAsiaTheme="minorEastAsia"/>
          <w:b w:val="0"/>
          <w:bCs w:val="0"/>
          <w:caps w:val="0"/>
          <w:sz w:val="21"/>
          <w:szCs w:val="22"/>
          <w:lang w:val="en-US" w:eastAsia="zh-CN"/>
        </w:rPr>
      </w:pPr>
      <w:r>
        <w:fldChar w:fldCharType="begin"/>
      </w:r>
      <w:r>
        <w:instrText xml:space="preserve"> HYPERLINK \l "_Toc80224148" </w:instrText>
      </w:r>
      <w:r>
        <w:fldChar w:fldCharType="separate"/>
      </w:r>
      <w:r>
        <w:rPr>
          <w:rStyle w:val="42"/>
          <w:rFonts w:ascii="Times New Roman" w:hAnsi="Times New Roman" w:cs="Times New Roman" w:eastAsiaTheme="minorEastAsia"/>
          <w:b w:val="0"/>
        </w:rPr>
        <w:t>附件</w:t>
      </w:r>
      <w:r>
        <w:rPr>
          <w:rStyle w:val="42"/>
          <w:rFonts w:hint="eastAsia" w:ascii="Times New Roman" w:hAnsi="Times New Roman" w:cs="Times New Roman" w:eastAsiaTheme="minorEastAsia"/>
          <w:b w:val="0"/>
          <w:lang w:val="en-US" w:eastAsia="zh-CN"/>
        </w:rPr>
        <w:t>3</w:t>
      </w:r>
      <w:r>
        <w:rPr>
          <w:rStyle w:val="42"/>
          <w:rFonts w:ascii="Times New Roman" w:hAnsi="Times New Roman" w:cs="Times New Roman" w:eastAsiaTheme="minorEastAsia"/>
          <w:b w:val="0"/>
        </w:rPr>
        <w:t>：</w:t>
      </w:r>
      <w:r>
        <w:rPr>
          <w:rFonts w:ascii="Times New Roman" w:hAnsi="Times New Roman" w:cs="Times New Roman" w:eastAsiaTheme="minorEastAsia"/>
          <w:b w:val="0"/>
          <w:bCs w:val="0"/>
          <w:caps w:val="0"/>
          <w:sz w:val="21"/>
          <w:szCs w:val="22"/>
        </w:rPr>
        <w:tab/>
      </w:r>
      <w:r>
        <w:rPr>
          <w:rStyle w:val="42"/>
          <w:rFonts w:ascii="Times New Roman" w:hAnsi="Times New Roman" w:cs="Times New Roman" w:eastAsiaTheme="minorEastAsia"/>
          <w:b w:val="0"/>
        </w:rPr>
        <w:t>验收检测报告</w:t>
      </w:r>
      <w:r>
        <w:rPr>
          <w:rFonts w:ascii="Times New Roman" w:hAnsi="Times New Roman" w:cs="Times New Roman" w:eastAsiaTheme="minorEastAsia"/>
          <w:b w:val="0"/>
        </w:rPr>
        <w:tab/>
      </w:r>
      <w:r>
        <w:rPr>
          <w:rFonts w:hint="eastAsia" w:ascii="Times New Roman" w:hAnsi="Times New Roman" w:cs="Times New Roman" w:eastAsiaTheme="minorEastAsia"/>
          <w:b w:val="0"/>
          <w:lang w:val="en-US" w:eastAsia="zh-CN"/>
        </w:rPr>
        <w:t>3</w:t>
      </w:r>
      <w:r>
        <w:rPr>
          <w:rFonts w:ascii="Times New Roman" w:hAnsi="Times New Roman" w:cs="Times New Roman" w:eastAsiaTheme="minorEastAsia"/>
          <w:b w:val="0"/>
        </w:rPr>
        <w:fldChar w:fldCharType="end"/>
      </w:r>
      <w:r>
        <w:rPr>
          <w:rFonts w:hint="eastAsia" w:ascii="Times New Roman" w:hAnsi="Times New Roman" w:cs="Times New Roman" w:eastAsiaTheme="minorEastAsia"/>
          <w:b w:val="0"/>
          <w:lang w:val="en-US" w:eastAsia="zh-CN"/>
        </w:rPr>
        <w:t>1</w:t>
      </w:r>
    </w:p>
    <w:p>
      <w:pPr>
        <w:pStyle w:val="28"/>
        <w:outlineLvl w:val="9"/>
        <w:rPr>
          <w:rFonts w:ascii="Times New Roman" w:hAnsi="Times New Roman" w:cs="Times New Roman" w:eastAsiaTheme="minorEastAsia"/>
          <w:b w:val="0"/>
          <w:bCs w:val="0"/>
          <w:caps w:val="0"/>
          <w:sz w:val="21"/>
          <w:szCs w:val="22"/>
        </w:rPr>
      </w:pPr>
      <w:r>
        <w:fldChar w:fldCharType="begin"/>
      </w:r>
      <w:r>
        <w:instrText xml:space="preserve"> HYPERLINK \l "_Toc80224149" </w:instrText>
      </w:r>
      <w:r>
        <w:fldChar w:fldCharType="separate"/>
      </w:r>
      <w:r>
        <w:rPr>
          <w:rStyle w:val="42"/>
          <w:rFonts w:ascii="Times New Roman" w:hAnsi="Times New Roman" w:cs="Times New Roman" w:eastAsiaTheme="minorEastAsia"/>
          <w:b w:val="0"/>
          <w:kern w:val="44"/>
        </w:rPr>
        <w:t>建设项目环境保护</w:t>
      </w:r>
      <w:r>
        <w:rPr>
          <w:rStyle w:val="42"/>
          <w:rFonts w:hint="eastAsia" w:ascii="Times New Roman" w:hAnsi="Times New Roman" w:cs="Times New Roman" w:eastAsiaTheme="minorEastAsia"/>
          <w:b w:val="0"/>
          <w:kern w:val="44"/>
        </w:rPr>
        <w:t>“</w:t>
      </w:r>
      <w:r>
        <w:rPr>
          <w:rStyle w:val="42"/>
          <w:rFonts w:ascii="Times New Roman" w:hAnsi="Times New Roman" w:cs="Times New Roman" w:eastAsiaTheme="minorEastAsia"/>
          <w:b w:val="0"/>
          <w:kern w:val="44"/>
        </w:rPr>
        <w:t>三同时</w:t>
      </w:r>
      <w:r>
        <w:rPr>
          <w:rStyle w:val="42"/>
          <w:rFonts w:hint="eastAsia" w:ascii="Times New Roman" w:hAnsi="Times New Roman" w:cs="Times New Roman" w:eastAsiaTheme="minorEastAsia"/>
          <w:b w:val="0"/>
          <w:kern w:val="44"/>
        </w:rPr>
        <w:t>”</w:t>
      </w:r>
      <w:r>
        <w:rPr>
          <w:rStyle w:val="42"/>
          <w:rFonts w:ascii="Times New Roman" w:hAnsi="Times New Roman" w:cs="Times New Roman" w:eastAsiaTheme="minorEastAsia"/>
          <w:b w:val="0"/>
          <w:kern w:val="44"/>
        </w:rPr>
        <w:t>竣工验收登记表</w:t>
      </w:r>
      <w:r>
        <w:rPr>
          <w:rFonts w:ascii="Times New Roman" w:hAnsi="Times New Roman" w:cs="Times New Roman" w:eastAsiaTheme="minorEastAsia"/>
          <w:b w:val="0"/>
        </w:rPr>
        <w:tab/>
      </w: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PAGEREF _Toc80224149 \h </w:instrText>
      </w:r>
      <w:r>
        <w:rPr>
          <w:rFonts w:ascii="Times New Roman" w:hAnsi="Times New Roman" w:cs="Times New Roman" w:eastAsiaTheme="minorEastAsia"/>
          <w:b w:val="0"/>
        </w:rPr>
        <w:fldChar w:fldCharType="separate"/>
      </w:r>
      <w:r>
        <w:rPr>
          <w:rFonts w:ascii="Times New Roman" w:hAnsi="Times New Roman" w:cs="Times New Roman" w:eastAsiaTheme="minorEastAsia"/>
          <w:b w:val="0"/>
        </w:rPr>
        <w:t>38</w:t>
      </w:r>
      <w:r>
        <w:rPr>
          <w:rFonts w:ascii="Times New Roman" w:hAnsi="Times New Roman" w:cs="Times New Roman" w:eastAsiaTheme="minorEastAsia"/>
          <w:b w:val="0"/>
        </w:rPr>
        <w:fldChar w:fldCharType="end"/>
      </w:r>
      <w:r>
        <w:rPr>
          <w:rFonts w:ascii="Times New Roman" w:hAnsi="Times New Roman" w:cs="Times New Roman" w:eastAsiaTheme="minorEastAsia"/>
          <w:b w:val="0"/>
        </w:rPr>
        <w:fldChar w:fldCharType="end"/>
      </w:r>
    </w:p>
    <w:p>
      <w:pPr>
        <w:widowControl w:val="0"/>
        <w:spacing w:line="240" w:lineRule="auto"/>
        <w:ind w:firstLine="0" w:firstLineChars="0"/>
        <w:jc w:val="center"/>
        <w:rPr>
          <w:rFonts w:cs="Times New Roman" w:eastAsiaTheme="minorEastAsia"/>
          <w:b/>
          <w:bCs/>
          <w:sz w:val="32"/>
          <w:szCs w:val="32"/>
        </w:rPr>
      </w:pPr>
      <w:r>
        <w:rPr>
          <w:rFonts w:cs="Times New Roman" w:eastAsiaTheme="minorEastAsia"/>
          <w:bCs/>
          <w:sz w:val="32"/>
          <w:szCs w:val="32"/>
        </w:rPr>
        <w:fldChar w:fldCharType="end"/>
      </w:r>
    </w:p>
    <w:p>
      <w:pPr>
        <w:widowControl w:val="0"/>
        <w:spacing w:line="240" w:lineRule="auto"/>
        <w:ind w:firstLine="0" w:firstLineChars="0"/>
        <w:jc w:val="center"/>
        <w:rPr>
          <w:rFonts w:cs="Times New Roman" w:eastAsiaTheme="minorEastAsia"/>
          <w:b/>
          <w:bCs/>
          <w:sz w:val="32"/>
          <w:szCs w:val="32"/>
        </w:rPr>
      </w:pPr>
    </w:p>
    <w:p>
      <w:pPr>
        <w:widowControl w:val="0"/>
        <w:spacing w:line="240" w:lineRule="auto"/>
        <w:ind w:firstLine="0" w:firstLineChars="0"/>
        <w:jc w:val="center"/>
        <w:rPr>
          <w:rFonts w:cs="Times New Roman" w:eastAsiaTheme="minorEastAsia"/>
          <w:b/>
          <w:bCs/>
          <w:sz w:val="32"/>
          <w:szCs w:val="32"/>
        </w:rPr>
      </w:pPr>
      <w:r>
        <w:rPr>
          <w:rFonts w:cs="Times New Roman" w:eastAsiaTheme="minorEastAsia"/>
          <w:b/>
          <w:bCs/>
          <w:sz w:val="32"/>
          <w:szCs w:val="32"/>
        </w:rPr>
        <w:br w:type="page"/>
      </w:r>
    </w:p>
    <w:p>
      <w:pPr>
        <w:widowControl w:val="0"/>
        <w:spacing w:line="240" w:lineRule="auto"/>
        <w:ind w:firstLine="0" w:firstLineChars="0"/>
        <w:jc w:val="center"/>
        <w:rPr>
          <w:rFonts w:cs="Times New Roman" w:eastAsiaTheme="minorEastAsia"/>
          <w:b/>
          <w:bCs/>
          <w:sz w:val="32"/>
          <w:szCs w:val="32"/>
        </w:rPr>
        <w:sectPr>
          <w:headerReference r:id="rId7" w:type="first"/>
          <w:footerReference r:id="rId9" w:type="first"/>
          <w:headerReference r:id="rId5" w:type="default"/>
          <w:headerReference r:id="rId6" w:type="even"/>
          <w:footerReference r:id="rId8" w:type="even"/>
          <w:pgSz w:w="11906" w:h="16838"/>
          <w:pgMar w:top="1134" w:right="1134" w:bottom="1134" w:left="1134" w:header="850" w:footer="992" w:gutter="0"/>
          <w:pgNumType w:fmt="numberInDash" w:start="1"/>
          <w:cols w:space="720" w:num="1"/>
          <w:docGrid w:type="lines" w:linePitch="312" w:charSpace="0"/>
        </w:sectPr>
      </w:pPr>
      <w:r>
        <w:rPr>
          <w:rFonts w:cs="Times New Roman" w:eastAsiaTheme="minorEastAsia"/>
          <w:b/>
          <w:bCs/>
          <w:sz w:val="32"/>
          <w:szCs w:val="32"/>
        </w:rPr>
        <w:br w:type="page"/>
      </w:r>
    </w:p>
    <w:p>
      <w:pPr>
        <w:widowControl w:val="0"/>
        <w:adjustRightInd w:val="0"/>
        <w:snapToGrid w:val="0"/>
        <w:spacing w:before="340" w:after="330" w:line="576" w:lineRule="auto"/>
        <w:ind w:firstLine="0" w:firstLineChars="0"/>
        <w:jc w:val="center"/>
        <w:outlineLvl w:val="0"/>
        <w:rPr>
          <w:rFonts w:cs="Times New Roman" w:eastAsiaTheme="minorEastAsia"/>
          <w:b/>
          <w:kern w:val="44"/>
          <w:sz w:val="44"/>
          <w:szCs w:val="24"/>
        </w:rPr>
      </w:pPr>
      <w:bookmarkStart w:id="1" w:name="_Toc5619_WPSOffice_Level1"/>
      <w:bookmarkStart w:id="2" w:name="_Toc80224137"/>
      <w:bookmarkStart w:id="3" w:name="_Toc80138029"/>
      <w:bookmarkStart w:id="4" w:name="_Toc17346"/>
      <w:r>
        <w:rPr>
          <w:rFonts w:cs="Times New Roman" w:eastAsiaTheme="minorEastAsia"/>
          <w:b/>
          <w:kern w:val="44"/>
          <w:sz w:val="44"/>
          <w:szCs w:val="24"/>
        </w:rPr>
        <w:t>前    言</w:t>
      </w:r>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before="156" w:beforeLines="50"/>
        <w:ind w:right="720" w:firstLine="544"/>
        <w:textAlignment w:val="auto"/>
        <w:rPr>
          <w:rFonts w:hint="default" w:ascii="Times New Roman" w:hAnsi="Times New Roman" w:cs="Times New Roman" w:eastAsiaTheme="minorEastAsia"/>
          <w:color w:val="auto"/>
          <w:spacing w:val="-4"/>
          <w:sz w:val="28"/>
          <w:lang w:val="en-US" w:eastAsia="zh-CN"/>
        </w:rPr>
      </w:pPr>
      <w:r>
        <w:rPr>
          <w:rFonts w:hint="eastAsia" w:ascii="Times New Roman" w:hAnsi="Times New Roman" w:cs="Times New Roman" w:eastAsiaTheme="minorEastAsia"/>
          <w:color w:val="auto"/>
          <w:spacing w:val="-4"/>
          <w:sz w:val="28"/>
          <w:lang w:eastAsia="zh-CN"/>
        </w:rPr>
        <w:t>山东民基新材料科技有限公司，位于山东省淄博市张店东部化工区昌国东路227号，建设灌装间提升技改项目，</w:t>
      </w:r>
      <w:r>
        <w:rPr>
          <w:rFonts w:hint="eastAsia" w:ascii="Times New Roman" w:hAnsi="Times New Roman" w:cs="Times New Roman" w:eastAsiaTheme="minorEastAsia"/>
          <w:color w:val="auto"/>
          <w:spacing w:val="-4"/>
          <w:sz w:val="28"/>
          <w:lang w:val="en-US" w:eastAsia="zh-CN"/>
        </w:rPr>
        <w:t>项目总</w:t>
      </w:r>
      <w:r>
        <w:rPr>
          <w:rFonts w:hint="default" w:ascii="Times New Roman" w:hAnsi="Times New Roman" w:cs="Times New Roman" w:eastAsiaTheme="minorEastAsia"/>
          <w:color w:val="auto"/>
          <w:spacing w:val="-4"/>
          <w:sz w:val="28"/>
          <w:lang w:val="en-US" w:eastAsia="zh-CN"/>
        </w:rPr>
        <w:t>投资45万元，环保投资5万元</w:t>
      </w:r>
      <w:r>
        <w:rPr>
          <w:rFonts w:hint="eastAsia" w:ascii="Times New Roman" w:hAnsi="Times New Roman" w:cs="Times New Roman" w:eastAsiaTheme="minorEastAsia"/>
          <w:color w:val="auto"/>
          <w:spacing w:val="-4"/>
          <w:sz w:val="28"/>
          <w:lang w:val="en-US" w:eastAsia="zh-CN"/>
        </w:rPr>
        <w:t>，</w:t>
      </w:r>
      <w:r>
        <w:rPr>
          <w:rFonts w:hint="default" w:ascii="Times New Roman" w:hAnsi="Times New Roman" w:cs="Times New Roman" w:eastAsiaTheme="minorEastAsia"/>
          <w:color w:val="auto"/>
          <w:spacing w:val="-4"/>
          <w:sz w:val="28"/>
          <w:lang w:val="en-US" w:eastAsia="zh-CN"/>
        </w:rPr>
        <w:t>将厂区闲置危废库改为灌装间，新购并安装灌</w:t>
      </w:r>
      <w:r>
        <w:rPr>
          <w:rFonts w:hint="eastAsia" w:ascii="Times New Roman" w:hAnsi="Times New Roman" w:cs="Times New Roman" w:eastAsiaTheme="minorEastAsia"/>
          <w:color w:val="auto"/>
          <w:spacing w:val="-4"/>
          <w:sz w:val="28"/>
          <w:lang w:val="en-US" w:eastAsia="zh-CN"/>
        </w:rPr>
        <w:t>装机和输送管线等相关设备，项目不新增占地及构筑物，物料通过输送管线自罐区引至灌装间，通过自动灌装机自动灌装，技改完成后灌装作业由露天改为在密闭车间进行</w:t>
      </w:r>
      <w:r>
        <w:rPr>
          <w:rFonts w:hint="eastAsia" w:cs="Times New Roman" w:eastAsiaTheme="minorEastAsia"/>
          <w:color w:val="auto"/>
          <w:spacing w:val="-4"/>
          <w:sz w:val="28"/>
          <w:lang w:val="en-US" w:eastAsia="zh-CN"/>
        </w:rPr>
        <w:t>。</w:t>
      </w:r>
      <w:r>
        <w:rPr>
          <w:rFonts w:hint="default" w:ascii="Times New Roman" w:hAnsi="Times New Roman" w:cs="Times New Roman" w:eastAsiaTheme="minorEastAsia"/>
          <w:color w:val="auto"/>
          <w:spacing w:val="-4"/>
          <w:sz w:val="28"/>
          <w:lang w:val="en-US" w:eastAsia="zh-CN"/>
        </w:rPr>
        <w:t>技改完成后年灌装10000吨氯代特戊酰氯、1000吨特戊酰氯</w:t>
      </w:r>
      <w:r>
        <w:rPr>
          <w:rFonts w:hint="eastAsia" w:ascii="Times New Roman" w:hAnsi="Times New Roman" w:cs="Times New Roman" w:eastAsiaTheme="minorEastAsia"/>
          <w:color w:val="auto"/>
          <w:spacing w:val="-4"/>
          <w:sz w:val="28"/>
          <w:lang w:val="en-US" w:eastAsia="zh-CN"/>
        </w:rPr>
        <w:t>。</w:t>
      </w:r>
      <w:r>
        <w:rPr>
          <w:rFonts w:hint="eastAsia" w:cs="Times New Roman" w:eastAsiaTheme="minorEastAsia"/>
          <w:color w:val="auto"/>
          <w:spacing w:val="-4"/>
          <w:sz w:val="28"/>
          <w:lang w:val="en-US" w:eastAsia="zh-CN"/>
        </w:rPr>
        <w:t>项目于2022年4月开工建设，于2022年10月竣工完成。</w:t>
      </w:r>
    </w:p>
    <w:p>
      <w:pPr>
        <w:keepNext w:val="0"/>
        <w:keepLines w:val="0"/>
        <w:pageBreakBefore w:val="0"/>
        <w:widowControl w:val="0"/>
        <w:kinsoku/>
        <w:wordWrap/>
        <w:overflowPunct/>
        <w:topLinePunct w:val="0"/>
        <w:autoSpaceDE/>
        <w:autoSpaceDN/>
        <w:bidi w:val="0"/>
        <w:adjustRightInd/>
        <w:snapToGrid/>
        <w:spacing w:before="156" w:beforeLines="50"/>
        <w:ind w:right="720" w:firstLine="544"/>
        <w:textAlignment w:val="auto"/>
        <w:rPr>
          <w:rFonts w:hint="eastAsia" w:ascii="Times New Roman" w:hAnsi="Times New Roman" w:cs="Times New Roman" w:eastAsiaTheme="minorEastAsia"/>
          <w:color w:val="auto"/>
          <w:spacing w:val="-4"/>
          <w:sz w:val="28"/>
          <w:lang w:eastAsia="zh-CN"/>
        </w:rPr>
      </w:pPr>
      <w:r>
        <w:rPr>
          <w:rFonts w:hint="eastAsia" w:cs="Times New Roman" w:eastAsiaTheme="minorEastAsia"/>
          <w:color w:val="auto"/>
          <w:spacing w:val="-4"/>
          <w:sz w:val="28"/>
          <w:lang w:val="en-US" w:eastAsia="zh-CN"/>
        </w:rPr>
        <w:t xml:space="preserve">   </w:t>
      </w:r>
      <w:r>
        <w:rPr>
          <w:rFonts w:hint="eastAsia" w:ascii="Times New Roman" w:hAnsi="Times New Roman" w:cs="Times New Roman" w:eastAsiaTheme="minorEastAsia"/>
          <w:color w:val="auto"/>
          <w:spacing w:val="-4"/>
          <w:sz w:val="28"/>
          <w:lang w:eastAsia="zh-CN"/>
        </w:rPr>
        <w:t>2022年03月，山东民基新材料科技有限公司委托山东同济环境工程设计院有限公司编制了《山东民基新材料科技有限公司灌装间提升技改项目环境影响报告表》，并于2022年04月15日通过了淄博市生态环境局临淄分局审批，审批文号：临环审字[2022]016号。</w:t>
      </w:r>
    </w:p>
    <w:p>
      <w:pPr>
        <w:keepNext w:val="0"/>
        <w:keepLines w:val="0"/>
        <w:pageBreakBefore w:val="0"/>
        <w:widowControl w:val="0"/>
        <w:kinsoku/>
        <w:wordWrap/>
        <w:overflowPunct/>
        <w:topLinePunct w:val="0"/>
        <w:autoSpaceDE/>
        <w:autoSpaceDN/>
        <w:bidi w:val="0"/>
        <w:adjustRightInd/>
        <w:snapToGrid/>
        <w:spacing w:before="156" w:beforeLines="50"/>
        <w:ind w:right="720" w:firstLine="544"/>
        <w:textAlignment w:val="auto"/>
        <w:rPr>
          <w:rFonts w:hint="eastAsia" w:ascii="Times New Roman" w:hAnsi="Times New Roman" w:cs="Times New Roman" w:eastAsiaTheme="minorEastAsia"/>
          <w:color w:val="auto"/>
          <w:spacing w:val="-4"/>
          <w:sz w:val="28"/>
          <w:lang w:eastAsia="zh-CN"/>
        </w:rPr>
      </w:pPr>
      <w:r>
        <w:rPr>
          <w:rFonts w:hint="eastAsia" w:ascii="Times New Roman" w:hAnsi="Times New Roman" w:cs="Times New Roman" w:eastAsiaTheme="minorEastAsia"/>
          <w:color w:val="auto"/>
          <w:spacing w:val="-4"/>
          <w:sz w:val="28"/>
          <w:lang w:val="en-US" w:eastAsia="zh-CN"/>
        </w:rPr>
        <w:t xml:space="preserve">   </w:t>
      </w:r>
      <w:r>
        <w:rPr>
          <w:rFonts w:hint="eastAsia" w:ascii="Times New Roman" w:hAnsi="Times New Roman" w:cs="Times New Roman" w:eastAsiaTheme="minorEastAsia"/>
          <w:color w:val="auto"/>
          <w:spacing w:val="-4"/>
          <w:sz w:val="28"/>
          <w:lang w:eastAsia="zh-CN"/>
        </w:rPr>
        <w:t>2022年12月，山东民基新材料科技有限公司委托山东方杰检测技术有限公司开展该项目的验收监测工作，山东方杰检测技术有限公司于2022年12月28日出具了《山东民基新材料科技有限公司检测报告》，山东民基新材料科技有限公司基于此监测报告，同时参考环评报告及现场实际建设情况编制完成了《山东民基新材料科技有限公司灌装间提升技改项目竣工环境保护验收监测报告》。</w:t>
      </w:r>
    </w:p>
    <w:p>
      <w:pPr>
        <w:widowControl w:val="0"/>
        <w:spacing w:before="156" w:beforeLines="50"/>
        <w:ind w:right="720" w:firstLine="480"/>
        <w:jc w:val="right"/>
        <w:rPr>
          <w:rFonts w:cs="Times New Roman" w:eastAsiaTheme="minorEastAsia"/>
        </w:rPr>
      </w:pPr>
      <w:r>
        <w:rPr>
          <w:rFonts w:cs="Times New Roman" w:eastAsiaTheme="minorEastAsia"/>
        </w:rPr>
        <w:t>验收工作组</w:t>
      </w:r>
    </w:p>
    <w:p>
      <w:pPr>
        <w:widowControl w:val="0"/>
        <w:ind w:right="357" w:firstLine="480"/>
        <w:jc w:val="center"/>
        <w:rPr>
          <w:rFonts w:hint="eastAsia" w:cs="Times New Roman" w:eastAsiaTheme="minorEastAsia"/>
          <w:lang w:eastAsia="zh-CN"/>
        </w:rPr>
      </w:pPr>
      <w:r>
        <w:rPr>
          <w:rFonts w:hint="eastAsia" w:cs="Times New Roman" w:eastAsiaTheme="minorEastAsia"/>
          <w:lang w:val="en-US" w:eastAsia="zh-CN"/>
        </w:rPr>
        <w:t xml:space="preserve">                                                         </w:t>
      </w:r>
      <w:r>
        <w:rPr>
          <w:rFonts w:hint="eastAsia" w:cs="Times New Roman" w:eastAsiaTheme="minorEastAsia"/>
          <w:lang w:eastAsia="zh-CN"/>
        </w:rPr>
        <w:t>202</w:t>
      </w:r>
      <w:r>
        <w:rPr>
          <w:rFonts w:hint="eastAsia" w:cs="Times New Roman" w:eastAsiaTheme="minorEastAsia"/>
          <w:lang w:val="en-US" w:eastAsia="zh-CN"/>
        </w:rPr>
        <w:t>3</w:t>
      </w:r>
      <w:r>
        <w:rPr>
          <w:rFonts w:hint="eastAsia" w:cs="Times New Roman" w:eastAsiaTheme="minorEastAsia"/>
          <w:lang w:eastAsia="zh-CN"/>
        </w:rPr>
        <w:t>年</w:t>
      </w:r>
      <w:r>
        <w:rPr>
          <w:rFonts w:hint="eastAsia" w:cs="Times New Roman" w:eastAsiaTheme="minorEastAsia"/>
          <w:lang w:val="en-US" w:eastAsia="zh-CN"/>
        </w:rPr>
        <w:t>02</w:t>
      </w:r>
      <w:r>
        <w:rPr>
          <w:rFonts w:hint="eastAsia" w:cs="Times New Roman" w:eastAsiaTheme="minorEastAsia"/>
          <w:lang w:eastAsia="zh-CN"/>
        </w:rPr>
        <w:t>月</w:t>
      </w:r>
    </w:p>
    <w:p>
      <w:pPr>
        <w:pStyle w:val="37"/>
        <w:ind w:firstLine="240"/>
      </w:pPr>
    </w:p>
    <w:p>
      <w:pPr>
        <w:widowControl w:val="0"/>
        <w:ind w:right="357" w:firstLine="480"/>
        <w:jc w:val="center"/>
        <w:rPr>
          <w:rFonts w:cs="Times New Roman" w:eastAsiaTheme="minorEastAsia"/>
        </w:rPr>
        <w:sectPr>
          <w:footerReference r:id="rId10" w:type="default"/>
          <w:pgSz w:w="11906" w:h="16838"/>
          <w:pgMar w:top="1134" w:right="1134" w:bottom="1134" w:left="1134" w:header="850" w:footer="992" w:gutter="0"/>
          <w:pgNumType w:fmt="numberInDash" w:start="1"/>
          <w:cols w:space="720" w:num="1"/>
          <w:docGrid w:type="lines" w:linePitch="312" w:charSpace="0"/>
        </w:sectPr>
      </w:pPr>
    </w:p>
    <w:p>
      <w:pPr>
        <w:pStyle w:val="7"/>
        <w:widowControl w:val="0"/>
        <w:numPr>
          <w:ilvl w:val="0"/>
          <w:numId w:val="3"/>
        </w:numPr>
        <w:jc w:val="center"/>
        <w:rPr>
          <w:rFonts w:cs="Times New Roman" w:eastAsiaTheme="minorEastAsia"/>
          <w:szCs w:val="32"/>
        </w:rPr>
      </w:pPr>
      <w:bookmarkStart w:id="5" w:name="_Toc7276"/>
      <w:bookmarkStart w:id="6" w:name="_Toc19144_WPSOffice_Level1"/>
      <w:bookmarkStart w:id="7" w:name="_Toc28356"/>
      <w:r>
        <w:rPr>
          <w:rFonts w:cs="Times New Roman" w:eastAsiaTheme="minorEastAsia"/>
          <w:szCs w:val="32"/>
        </w:rPr>
        <w:t xml:space="preserve">  </w:t>
      </w:r>
      <w:bookmarkStart w:id="8" w:name="_Toc80224138"/>
      <w:r>
        <w:rPr>
          <w:rFonts w:cs="Times New Roman" w:eastAsiaTheme="minorEastAsia"/>
          <w:szCs w:val="32"/>
        </w:rPr>
        <w:t>总论</w:t>
      </w:r>
      <w:bookmarkEnd w:id="5"/>
      <w:bookmarkEnd w:id="6"/>
      <w:bookmarkEnd w:id="7"/>
      <w:bookmarkEnd w:id="8"/>
    </w:p>
    <w:p>
      <w:pPr>
        <w:pStyle w:val="8"/>
        <w:widowControl w:val="0"/>
        <w:numPr>
          <w:ilvl w:val="1"/>
          <w:numId w:val="4"/>
        </w:numPr>
        <w:rPr>
          <w:rFonts w:cs="Times New Roman" w:eastAsiaTheme="minorEastAsia"/>
        </w:rPr>
      </w:pPr>
      <w:r>
        <w:rPr>
          <w:rFonts w:cs="Times New Roman" w:eastAsiaTheme="minorEastAsia"/>
        </w:rPr>
        <w:t xml:space="preserve"> 建设内容及目的</w:t>
      </w:r>
    </w:p>
    <w:p>
      <w:pPr>
        <w:pStyle w:val="9"/>
        <w:rPr>
          <w:rFonts w:cs="Times New Roman" w:eastAsiaTheme="minorEastAsia"/>
        </w:rPr>
      </w:pPr>
      <w:r>
        <w:rPr>
          <w:rFonts w:cs="Times New Roman" w:eastAsiaTheme="minorEastAsia"/>
        </w:rPr>
        <w:t xml:space="preserve"> 验收内容</w:t>
      </w:r>
    </w:p>
    <w:p>
      <w:pPr>
        <w:widowControl w:val="0"/>
        <w:ind w:firstLine="480"/>
        <w:rPr>
          <w:rFonts w:cs="Times New Roman" w:eastAsiaTheme="minorEastAsia"/>
        </w:rPr>
      </w:pPr>
      <w:r>
        <w:rPr>
          <w:rFonts w:cs="Times New Roman" w:eastAsiaTheme="minorEastAsia"/>
        </w:rPr>
        <w:tab/>
      </w:r>
      <w:r>
        <w:rPr>
          <w:rFonts w:cs="Times New Roman" w:eastAsiaTheme="minorEastAsia"/>
        </w:rPr>
        <w:t>核查项目实际建设内容、实际生产能力、产品内容及原辅料的使用情况。</w:t>
      </w:r>
    </w:p>
    <w:p>
      <w:pPr>
        <w:widowControl w:val="0"/>
        <w:ind w:firstLine="480"/>
        <w:rPr>
          <w:rFonts w:cs="Times New Roman" w:eastAsiaTheme="minorEastAsia"/>
        </w:rPr>
      </w:pPr>
      <w:r>
        <w:rPr>
          <w:rFonts w:cs="Times New Roman" w:eastAsiaTheme="minorEastAsia"/>
        </w:rPr>
        <w:tab/>
      </w:r>
      <w:r>
        <w:rPr>
          <w:rFonts w:cs="Times New Roman" w:eastAsiaTheme="minorEastAsia"/>
        </w:rPr>
        <w:t>核查项目各类污染物实际产生情况及采取的污染控制措施，分析各项污染控制措施实施的有效性；通过现场检查和实地监测，核查项目污染物达标排放情况。</w:t>
      </w:r>
    </w:p>
    <w:p>
      <w:pPr>
        <w:widowControl w:val="0"/>
        <w:ind w:firstLine="480"/>
        <w:rPr>
          <w:rFonts w:cs="Times New Roman" w:eastAsiaTheme="minorEastAsia"/>
        </w:rPr>
      </w:pPr>
      <w:r>
        <w:rPr>
          <w:rFonts w:cs="Times New Roman" w:eastAsiaTheme="minorEastAsia"/>
        </w:rPr>
        <w:t>核查项目周边敏感保护目标分布及受影响情况。</w:t>
      </w:r>
    </w:p>
    <w:p>
      <w:pPr>
        <w:pStyle w:val="9"/>
        <w:rPr>
          <w:rFonts w:cs="Times New Roman" w:eastAsiaTheme="minorEastAsia"/>
        </w:rPr>
      </w:pPr>
      <w:r>
        <w:rPr>
          <w:rFonts w:cs="Times New Roman" w:eastAsiaTheme="minorEastAsia"/>
        </w:rPr>
        <w:t xml:space="preserve"> 验收目的</w:t>
      </w:r>
    </w:p>
    <w:p>
      <w:pPr>
        <w:widowControl w:val="0"/>
        <w:ind w:firstLine="480"/>
        <w:rPr>
          <w:rFonts w:cs="Times New Roman" w:eastAsiaTheme="minorEastAsia"/>
        </w:rPr>
      </w:pPr>
      <w:r>
        <w:rPr>
          <w:rFonts w:cs="Times New Roman" w:eastAsiaTheme="minorEastAsia"/>
        </w:rPr>
        <w:t>本次验收的主要目的是通过对项目污染物排放达标情况、环保设施运行情况、污染物治理效果、环境风险和环境管理水平检查，综合分析、评价得出结论，以验收报告的形式为日常监督管理提供技术依据。</w:t>
      </w:r>
    </w:p>
    <w:p>
      <w:pPr>
        <w:pStyle w:val="8"/>
        <w:widowControl w:val="0"/>
        <w:rPr>
          <w:rFonts w:cs="Times New Roman" w:eastAsiaTheme="minorEastAsia"/>
        </w:rPr>
      </w:pPr>
      <w:r>
        <w:rPr>
          <w:rFonts w:cs="Times New Roman" w:eastAsiaTheme="minorEastAsia"/>
        </w:rPr>
        <w:t xml:space="preserve"> 验收依据</w:t>
      </w:r>
    </w:p>
    <w:p>
      <w:pPr>
        <w:pStyle w:val="9"/>
        <w:rPr>
          <w:rFonts w:cs="Times New Roman" w:eastAsiaTheme="minorEastAsia"/>
        </w:rPr>
      </w:pPr>
      <w:r>
        <w:rPr>
          <w:rFonts w:cs="Times New Roman" w:eastAsiaTheme="minorEastAsia"/>
        </w:rPr>
        <w:t xml:space="preserve"> 法律法规、条例</w:t>
      </w:r>
    </w:p>
    <w:p>
      <w:pPr>
        <w:widowControl w:val="0"/>
        <w:ind w:firstLine="480"/>
        <w:rPr>
          <w:rFonts w:cs="Times New Roman" w:eastAsiaTheme="minorEastAsia"/>
        </w:rPr>
      </w:pPr>
      <w:r>
        <w:rPr>
          <w:rFonts w:cs="Times New Roman" w:eastAsiaTheme="minorEastAsia"/>
        </w:rPr>
        <w:tab/>
      </w:r>
      <w:r>
        <w:rPr>
          <w:rFonts w:cs="Times New Roman" w:eastAsiaTheme="minorEastAsia"/>
        </w:rPr>
        <w:t>《中华人民共和国环境保护法》（2015.01.01）</w:t>
      </w:r>
    </w:p>
    <w:p>
      <w:pPr>
        <w:widowControl w:val="0"/>
        <w:ind w:firstLine="480"/>
        <w:rPr>
          <w:rFonts w:cs="Times New Roman" w:eastAsiaTheme="minorEastAsia"/>
        </w:rPr>
      </w:pPr>
      <w:r>
        <w:rPr>
          <w:rFonts w:cs="Times New Roman" w:eastAsiaTheme="minorEastAsia"/>
        </w:rPr>
        <w:tab/>
      </w:r>
      <w:r>
        <w:rPr>
          <w:rFonts w:cs="Times New Roman" w:eastAsiaTheme="minorEastAsia"/>
        </w:rPr>
        <w:t>《中华人民共和国大气污染防治法（2018年修订）》（2019.01.01）</w:t>
      </w:r>
    </w:p>
    <w:p>
      <w:pPr>
        <w:widowControl w:val="0"/>
        <w:ind w:firstLine="480"/>
        <w:rPr>
          <w:rFonts w:cs="Times New Roman" w:eastAsiaTheme="minorEastAsia"/>
        </w:rPr>
      </w:pPr>
      <w:r>
        <w:rPr>
          <w:rFonts w:cs="Times New Roman" w:eastAsiaTheme="minorEastAsia"/>
        </w:rPr>
        <w:tab/>
      </w:r>
      <w:r>
        <w:rPr>
          <w:rFonts w:cs="Times New Roman" w:eastAsiaTheme="minorEastAsia"/>
        </w:rPr>
        <w:t>《中华人民共和国固体废物污染防治法》（2020.9.1）</w:t>
      </w:r>
    </w:p>
    <w:p>
      <w:pPr>
        <w:widowControl w:val="0"/>
        <w:ind w:firstLine="480"/>
        <w:rPr>
          <w:rFonts w:cs="Times New Roman" w:eastAsiaTheme="minorEastAsia"/>
        </w:rPr>
      </w:pPr>
      <w:r>
        <w:rPr>
          <w:rFonts w:cs="Times New Roman" w:eastAsiaTheme="minorEastAsia"/>
        </w:rPr>
        <w:tab/>
      </w:r>
      <w:r>
        <w:rPr>
          <w:rFonts w:cs="Times New Roman" w:eastAsiaTheme="minorEastAsia"/>
        </w:rPr>
        <w:t>《中华人民共和国环境噪声污染防治法（2018年修订）》（2018.12.29）</w:t>
      </w:r>
    </w:p>
    <w:p>
      <w:pPr>
        <w:widowControl w:val="0"/>
        <w:ind w:firstLine="480"/>
        <w:rPr>
          <w:rFonts w:cs="Times New Roman" w:eastAsiaTheme="minorEastAsia"/>
        </w:rPr>
      </w:pPr>
      <w:r>
        <w:rPr>
          <w:rFonts w:cs="Times New Roman" w:eastAsiaTheme="minorEastAsia"/>
        </w:rPr>
        <w:tab/>
      </w:r>
      <w:r>
        <w:rPr>
          <w:rFonts w:cs="Times New Roman" w:eastAsiaTheme="minorEastAsia"/>
        </w:rPr>
        <w:t>《中华人民共和国环境影响评价法（2018年修订）》（2018.12.29）</w:t>
      </w:r>
    </w:p>
    <w:p>
      <w:pPr>
        <w:widowControl w:val="0"/>
        <w:ind w:firstLine="480"/>
        <w:rPr>
          <w:rFonts w:cs="Times New Roman" w:eastAsiaTheme="minorEastAsia"/>
        </w:rPr>
      </w:pPr>
      <w:r>
        <w:rPr>
          <w:rFonts w:cs="Times New Roman" w:eastAsiaTheme="minorEastAsia"/>
        </w:rPr>
        <w:tab/>
      </w:r>
      <w:r>
        <w:rPr>
          <w:rFonts w:cs="Times New Roman" w:eastAsiaTheme="minorEastAsia"/>
        </w:rPr>
        <w:t>《山东省环境保护条例（2018年修订）》（2019.01.01）</w:t>
      </w:r>
    </w:p>
    <w:p>
      <w:pPr>
        <w:widowControl w:val="0"/>
        <w:ind w:firstLine="480"/>
        <w:rPr>
          <w:rFonts w:cs="Times New Roman" w:eastAsiaTheme="minorEastAsia"/>
        </w:rPr>
      </w:pPr>
      <w:r>
        <w:rPr>
          <w:rFonts w:cs="Times New Roman" w:eastAsiaTheme="minorEastAsia"/>
        </w:rPr>
        <w:tab/>
      </w:r>
      <w:r>
        <w:rPr>
          <w:rFonts w:cs="Times New Roman" w:eastAsiaTheme="minorEastAsia"/>
        </w:rPr>
        <w:t>《建设项目环境保护管理条例》（国务院令第682号，2017年）</w:t>
      </w:r>
    </w:p>
    <w:p>
      <w:pPr>
        <w:widowControl w:val="0"/>
        <w:ind w:firstLine="480"/>
        <w:rPr>
          <w:rFonts w:cs="Times New Roman" w:eastAsiaTheme="minorEastAsia"/>
        </w:rPr>
      </w:pPr>
      <w:r>
        <w:rPr>
          <w:rFonts w:cs="Times New Roman" w:eastAsiaTheme="minorEastAsia"/>
        </w:rPr>
        <w:tab/>
      </w:r>
      <w:r>
        <w:rPr>
          <w:rFonts w:cs="Times New Roman" w:eastAsiaTheme="minorEastAsia"/>
        </w:rPr>
        <w:t>《建设项目竣工环境保护验收技术指南 污染影响类》的公告 （【2018】9号2018.05.15）</w:t>
      </w:r>
    </w:p>
    <w:p>
      <w:pPr>
        <w:widowControl w:val="0"/>
        <w:ind w:firstLine="480"/>
        <w:rPr>
          <w:rFonts w:cs="Times New Roman" w:eastAsiaTheme="minorEastAsia"/>
        </w:rPr>
      </w:pPr>
      <w:r>
        <w:rPr>
          <w:rFonts w:cs="Times New Roman" w:eastAsiaTheme="minorEastAsia"/>
        </w:rPr>
        <w:tab/>
      </w:r>
      <w:r>
        <w:rPr>
          <w:rFonts w:cs="Times New Roman" w:eastAsiaTheme="minorEastAsia"/>
        </w:rPr>
        <w:t>《关于进一步加强环境影响评价管理防范环境风险的通知》[环发（2012）77号]</w:t>
      </w:r>
    </w:p>
    <w:p>
      <w:pPr>
        <w:widowControl w:val="0"/>
        <w:ind w:firstLine="480"/>
        <w:rPr>
          <w:rFonts w:cs="Times New Roman" w:eastAsiaTheme="minorEastAsia"/>
        </w:rPr>
      </w:pPr>
      <w:r>
        <w:rPr>
          <w:rFonts w:cs="Times New Roman" w:eastAsiaTheme="minorEastAsia"/>
        </w:rPr>
        <w:tab/>
      </w:r>
      <w:r>
        <w:rPr>
          <w:rFonts w:cs="Times New Roman" w:eastAsiaTheme="minorEastAsia"/>
        </w:rPr>
        <w:t>关于发布《建设项目竣工环境保护验收暂行办法》的公告 （国环规环评[2017]4号）</w:t>
      </w:r>
    </w:p>
    <w:p>
      <w:pPr>
        <w:widowControl w:val="0"/>
        <w:ind w:firstLine="480"/>
        <w:rPr>
          <w:rFonts w:cs="Times New Roman" w:eastAsiaTheme="minorEastAsia"/>
        </w:rPr>
      </w:pPr>
      <w:r>
        <w:rPr>
          <w:rFonts w:cs="Times New Roman" w:eastAsiaTheme="minorEastAsia"/>
        </w:rPr>
        <w:tab/>
      </w:r>
      <w:r>
        <w:rPr>
          <w:rFonts w:cs="Times New Roman" w:eastAsiaTheme="minorEastAsia"/>
        </w:rPr>
        <w:t>《关于印发环评管理中部分行业建设项目重大变动清单的通知》（环办〔2015〕52号）</w:t>
      </w:r>
    </w:p>
    <w:p>
      <w:pPr>
        <w:widowControl w:val="0"/>
        <w:ind w:firstLine="480"/>
        <w:rPr>
          <w:rFonts w:cs="Times New Roman" w:eastAsiaTheme="minorEastAsia"/>
        </w:rPr>
      </w:pPr>
      <w:r>
        <w:rPr>
          <w:rFonts w:cs="Times New Roman" w:eastAsiaTheme="minorEastAsia"/>
        </w:rPr>
        <w:tab/>
      </w:r>
      <w:r>
        <w:rPr>
          <w:rFonts w:cs="Times New Roman" w:eastAsiaTheme="minorEastAsia"/>
        </w:rPr>
        <w:t>《生态环境部办公厅关于印发〈污染影响类建设项目重大变动清单（试行）〉的通知》环办环评函【2020】688号文</w:t>
      </w:r>
    </w:p>
    <w:p>
      <w:pPr>
        <w:pStyle w:val="9"/>
        <w:rPr>
          <w:rFonts w:cs="Times New Roman" w:eastAsiaTheme="minorEastAsia"/>
        </w:rPr>
      </w:pPr>
      <w:r>
        <w:rPr>
          <w:rFonts w:cs="Times New Roman" w:eastAsiaTheme="minorEastAsia"/>
        </w:rPr>
        <w:t xml:space="preserve"> 验收标准</w:t>
      </w:r>
    </w:p>
    <w:p>
      <w:pPr>
        <w:widowControl w:val="0"/>
        <w:ind w:firstLine="480"/>
        <w:rPr>
          <w:rFonts w:hint="eastAsia" w:eastAsiaTheme="minorEastAsia"/>
          <w:color w:val="auto"/>
        </w:rPr>
      </w:pPr>
      <w:r>
        <w:rPr>
          <w:rFonts w:hint="eastAsia" w:eastAsiaTheme="minorEastAsia"/>
          <w:color w:val="auto"/>
        </w:rPr>
        <w:t>《工业企业厂界环境噪声排放标准》（GB12348-2008）</w:t>
      </w:r>
    </w:p>
    <w:p>
      <w:pPr>
        <w:widowControl w:val="0"/>
        <w:ind w:firstLine="480"/>
        <w:rPr>
          <w:rFonts w:hint="eastAsia" w:eastAsiaTheme="minorEastAsia"/>
          <w:color w:val="auto"/>
        </w:rPr>
      </w:pPr>
      <w:r>
        <w:rPr>
          <w:rFonts w:hint="eastAsia" w:eastAsiaTheme="minorEastAsia"/>
          <w:color w:val="auto"/>
          <w:lang w:val="en-US" w:eastAsia="zh-CN"/>
        </w:rPr>
        <w:t>《挥发性有机物排放标准 第6部分：有机化工行业》(DB37/2801.6--2018)</w:t>
      </w:r>
    </w:p>
    <w:p>
      <w:pPr>
        <w:pStyle w:val="9"/>
        <w:rPr>
          <w:rFonts w:cs="Times New Roman" w:eastAsiaTheme="minorEastAsia"/>
        </w:rPr>
      </w:pPr>
      <w:r>
        <w:rPr>
          <w:rFonts w:cs="Times New Roman" w:eastAsiaTheme="minorEastAsia"/>
        </w:rPr>
        <w:t xml:space="preserve"> 项目依据</w:t>
      </w:r>
    </w:p>
    <w:p>
      <w:pPr>
        <w:widowControl w:val="0"/>
        <w:ind w:firstLine="480"/>
        <w:rPr>
          <w:rFonts w:cs="Times New Roman" w:eastAsiaTheme="minorEastAsia"/>
        </w:rPr>
      </w:pPr>
      <w:r>
        <w:rPr>
          <w:rFonts w:cs="Times New Roman" w:eastAsiaTheme="minorEastAsia"/>
        </w:rPr>
        <w:t></w:t>
      </w:r>
      <w:r>
        <w:rPr>
          <w:rFonts w:cs="Times New Roman" w:eastAsiaTheme="minorEastAsia"/>
        </w:rPr>
        <w:tab/>
      </w:r>
      <w:r>
        <w:rPr>
          <w:rFonts w:cs="Times New Roman" w:eastAsiaTheme="minorEastAsia"/>
        </w:rPr>
        <w:t>《</w:t>
      </w:r>
      <w:r>
        <w:rPr>
          <w:rFonts w:hint="eastAsia" w:cs="Times New Roman" w:eastAsiaTheme="minorEastAsia"/>
          <w:lang w:eastAsia="zh-CN"/>
        </w:rPr>
        <w:t>山东民基新材料科技有限公司</w:t>
      </w:r>
      <w:r>
        <w:rPr>
          <w:rFonts w:hint="eastAsia" w:cs="Times New Roman" w:eastAsiaTheme="minorEastAsia"/>
          <w:color w:val="auto"/>
          <w:lang w:eastAsia="zh-CN"/>
        </w:rPr>
        <w:t>灌装间提升技改项目</w:t>
      </w:r>
      <w:r>
        <w:rPr>
          <w:rFonts w:cs="Times New Roman" w:eastAsiaTheme="minorEastAsia"/>
          <w:color w:val="auto"/>
        </w:rPr>
        <w:t>环境影响报告表》（</w:t>
      </w:r>
      <w:r>
        <w:rPr>
          <w:rFonts w:hint="eastAsia" w:cs="Times New Roman" w:eastAsiaTheme="minorEastAsia"/>
          <w:color w:val="auto"/>
          <w:lang w:eastAsia="zh-CN"/>
        </w:rPr>
        <w:t>山东同济环境工程设计院有限公司</w:t>
      </w:r>
      <w:r>
        <w:rPr>
          <w:rFonts w:cs="Times New Roman" w:eastAsiaTheme="minorEastAsia"/>
          <w:color w:val="auto"/>
        </w:rPr>
        <w:t>，</w:t>
      </w:r>
      <w:r>
        <w:rPr>
          <w:rFonts w:hint="eastAsia" w:cs="Times New Roman" w:eastAsiaTheme="minorEastAsia"/>
          <w:color w:val="auto"/>
          <w:lang w:eastAsia="zh-CN"/>
        </w:rPr>
        <w:t>2022年03月</w:t>
      </w:r>
      <w:r>
        <w:rPr>
          <w:rFonts w:cs="Times New Roman" w:eastAsiaTheme="minorEastAsia"/>
        </w:rPr>
        <w:t>）</w:t>
      </w:r>
    </w:p>
    <w:p>
      <w:pPr>
        <w:widowControl w:val="0"/>
        <w:ind w:firstLine="480"/>
        <w:rPr>
          <w:rFonts w:cs="Times New Roman" w:eastAsiaTheme="minorEastAsia"/>
        </w:rPr>
      </w:pPr>
      <w:r>
        <w:rPr>
          <w:rFonts w:cs="Times New Roman" w:eastAsiaTheme="minorEastAsia"/>
        </w:rPr>
        <w:t></w:t>
      </w:r>
      <w:r>
        <w:rPr>
          <w:rFonts w:cs="Times New Roman" w:eastAsiaTheme="minorEastAsia"/>
        </w:rPr>
        <w:tab/>
      </w:r>
      <w:r>
        <w:rPr>
          <w:rFonts w:cs="Times New Roman" w:eastAsiaTheme="minorEastAsia"/>
        </w:rPr>
        <w:t>《关于</w:t>
      </w:r>
      <w:r>
        <w:rPr>
          <w:rFonts w:hint="eastAsia" w:cs="Times New Roman" w:eastAsiaTheme="minorEastAsia"/>
          <w:lang w:eastAsia="zh-CN"/>
        </w:rPr>
        <w:t>山东民基新材料科技有限公司灌装间提升技改项目</w:t>
      </w:r>
      <w:r>
        <w:rPr>
          <w:rFonts w:cs="Times New Roman" w:eastAsiaTheme="minorEastAsia"/>
        </w:rPr>
        <w:t>环境影响报告表的批复》（</w:t>
      </w:r>
      <w:r>
        <w:rPr>
          <w:rFonts w:hint="eastAsia" w:cs="Times New Roman" w:eastAsiaTheme="minorEastAsia"/>
          <w:lang w:eastAsia="zh-CN"/>
        </w:rPr>
        <w:t>临环审字[2022]016号</w:t>
      </w:r>
      <w:r>
        <w:rPr>
          <w:rFonts w:cs="Times New Roman" w:eastAsiaTheme="minorEastAsia"/>
        </w:rPr>
        <w:t>，</w:t>
      </w:r>
      <w:r>
        <w:rPr>
          <w:rFonts w:hint="eastAsia" w:cs="Times New Roman" w:eastAsiaTheme="minorEastAsia"/>
          <w:lang w:eastAsia="zh-CN"/>
        </w:rPr>
        <w:t>2022年04月15日</w:t>
      </w:r>
      <w:r>
        <w:rPr>
          <w:rFonts w:cs="Times New Roman" w:eastAsiaTheme="minorEastAsia"/>
        </w:rPr>
        <w:t>）</w:t>
      </w:r>
    </w:p>
    <w:p>
      <w:pPr>
        <w:pStyle w:val="8"/>
        <w:widowControl w:val="0"/>
        <w:rPr>
          <w:rFonts w:cs="Times New Roman" w:eastAsiaTheme="minorEastAsia"/>
        </w:rPr>
      </w:pPr>
      <w:bookmarkStart w:id="9" w:name="_Toc32657_WPSOffice_Level2"/>
      <w:bookmarkStart w:id="10" w:name="_Toc14225"/>
      <w:r>
        <w:rPr>
          <w:rFonts w:cs="Times New Roman" w:eastAsiaTheme="minorEastAsia"/>
        </w:rPr>
        <w:t xml:space="preserve"> 验收对象</w:t>
      </w:r>
      <w:bookmarkEnd w:id="9"/>
      <w:bookmarkEnd w:id="10"/>
    </w:p>
    <w:p>
      <w:pPr>
        <w:widowControl w:val="0"/>
        <w:ind w:firstLine="480"/>
        <w:rPr>
          <w:rFonts w:cs="Times New Roman" w:eastAsiaTheme="minorEastAsia"/>
        </w:rPr>
      </w:pPr>
      <w:r>
        <w:rPr>
          <w:rFonts w:cs="Times New Roman" w:eastAsiaTheme="minorEastAsia"/>
        </w:rPr>
        <w:t>本次验收范围包括：项目主体工程、</w:t>
      </w:r>
      <w:r>
        <w:rPr>
          <w:rFonts w:hint="eastAsia" w:cs="Times New Roman" w:eastAsiaTheme="minorEastAsia"/>
        </w:rPr>
        <w:t>辅助工程、</w:t>
      </w:r>
      <w:r>
        <w:rPr>
          <w:rFonts w:cs="Times New Roman" w:eastAsiaTheme="minorEastAsia"/>
        </w:rPr>
        <w:t>公用工程、环保工程，详见下表。</w:t>
      </w:r>
    </w:p>
    <w:p>
      <w:pPr>
        <w:widowControl w:val="0"/>
        <w:ind w:firstLine="480"/>
        <w:rPr>
          <w:rFonts w:cs="Times New Roman" w:eastAsiaTheme="minorEastAsia"/>
        </w:rPr>
      </w:pPr>
      <w:r>
        <w:rPr>
          <w:rFonts w:cs="Times New Roman" w:eastAsiaTheme="minorEastAsia"/>
        </w:rPr>
        <w:t>本次验收对象见下表：</w:t>
      </w:r>
    </w:p>
    <w:p>
      <w:pPr>
        <w:pStyle w:val="54"/>
        <w:ind w:firstLine="482"/>
        <w:rPr>
          <w:rFonts w:cs="Times New Roman" w:eastAsiaTheme="minorEastAsia"/>
        </w:rPr>
      </w:pPr>
      <w:bookmarkStart w:id="11" w:name="_Toc29070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1.3</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t xml:space="preserve">  </w:t>
      </w:r>
      <w:bookmarkEnd w:id="11"/>
      <w:r>
        <w:rPr>
          <w:rFonts w:cs="Times New Roman" w:eastAsiaTheme="minorEastAsia"/>
        </w:rPr>
        <w:t>验收对象一览表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426"/>
        <w:gridCol w:w="1836"/>
        <w:gridCol w:w="5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3" w:type="pct"/>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bCs/>
                <w:sz w:val="21"/>
                <w:szCs w:val="21"/>
              </w:rPr>
            </w:pPr>
            <w:r>
              <w:rPr>
                <w:rFonts w:cs="Times New Roman"/>
                <w:bCs/>
                <w:sz w:val="21"/>
                <w:szCs w:val="21"/>
              </w:rPr>
              <w:t>类  别</w:t>
            </w:r>
          </w:p>
        </w:tc>
        <w:tc>
          <w:tcPr>
            <w:tcW w:w="3356"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bCs/>
                <w:sz w:val="21"/>
                <w:szCs w:val="21"/>
              </w:rPr>
            </w:pPr>
            <w:r>
              <w:rPr>
                <w:rFonts w:cs="Times New Roman"/>
                <w:bCs/>
                <w:sz w:val="21"/>
                <w:szCs w:val="21"/>
              </w:rPr>
              <w:t>验收监测（或调查）对象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restart"/>
            <w:tcBorders>
              <w:top w:val="single" w:color="auto" w:sz="4" w:space="0"/>
              <w:left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r>
              <w:rPr>
                <w:rFonts w:cs="Times New Roman"/>
                <w:sz w:val="21"/>
                <w:szCs w:val="21"/>
              </w:rPr>
              <w:t>污染物排放</w:t>
            </w:r>
          </w:p>
        </w:tc>
        <w:tc>
          <w:tcPr>
            <w:tcW w:w="249" w:type="pct"/>
            <w:vMerge w:val="restart"/>
            <w:tcBorders>
              <w:top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r>
              <w:rPr>
                <w:rFonts w:cs="Times New Roman"/>
                <w:sz w:val="21"/>
                <w:szCs w:val="21"/>
              </w:rPr>
              <w:t>废气</w:t>
            </w:r>
          </w:p>
        </w:tc>
        <w:tc>
          <w:tcPr>
            <w:tcW w:w="1076" w:type="pct"/>
            <w:tcBorders>
              <w:top w:val="single" w:color="auto" w:sz="4" w:space="0"/>
              <w:bottom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r>
              <w:rPr>
                <w:rFonts w:hint="eastAsia" w:cs="Times New Roman"/>
                <w:sz w:val="21"/>
                <w:szCs w:val="21"/>
              </w:rPr>
              <w:t>厂界有组织</w:t>
            </w:r>
          </w:p>
        </w:tc>
        <w:tc>
          <w:tcPr>
            <w:tcW w:w="3356" w:type="pct"/>
            <w:tcBorders>
              <w:top w:val="single" w:color="auto" w:sz="4" w:space="0"/>
              <w:bottom w:val="single" w:color="auto" w:sz="4" w:space="0"/>
              <w:right w:val="single" w:color="auto" w:sz="4" w:space="0"/>
              <w:tl2br w:val="nil"/>
              <w:tr2bl w:val="nil"/>
            </w:tcBorders>
            <w:vAlign w:val="center"/>
          </w:tcPr>
          <w:p>
            <w:pPr>
              <w:pStyle w:val="2"/>
              <w:widowControl w:val="0"/>
              <w:adjustRightInd w:val="0"/>
              <w:snapToGrid w:val="0"/>
              <w:spacing w:after="0" w:line="240" w:lineRule="auto"/>
              <w:ind w:left="0" w:leftChars="0" w:firstLine="0" w:firstLineChars="0"/>
              <w:jc w:val="center"/>
              <w:rPr>
                <w:rFonts w:hint="eastAsia" w:eastAsia="宋体" w:cs="Times New Roman"/>
                <w:sz w:val="21"/>
                <w:szCs w:val="21"/>
                <w:lang w:eastAsia="zh-CN"/>
              </w:rPr>
            </w:pPr>
            <w:r>
              <w:rPr>
                <w:rFonts w:hint="eastAsia" w:cs="Times New Roman"/>
                <w:sz w:val="21"/>
                <w:szCs w:val="21"/>
                <w:lang w:val="en-US" w:eastAsia="zh-CN"/>
              </w:rPr>
              <w:t>VOC</w:t>
            </w:r>
            <w:r>
              <w:rPr>
                <w:rFonts w:hint="eastAsia" w:cs="Times New Roman"/>
                <w:sz w:val="21"/>
                <w:szCs w:val="21"/>
                <w:vertAlign w:val="subscript"/>
                <w:lang w:val="en-US" w:eastAsia="zh-CN"/>
              </w:rPr>
              <w:t>S</w:t>
            </w:r>
            <w:r>
              <w:rPr>
                <w:rFonts w:hint="eastAsia" w:cs="Times New Roman"/>
                <w:sz w:val="21"/>
                <w:szCs w:val="21"/>
                <w:lang w:eastAsia="zh-CN"/>
              </w:rPr>
              <w:t>、</w:t>
            </w:r>
            <w:r>
              <w:rPr>
                <w:rFonts w:hint="eastAsia" w:ascii="Times New Roman" w:hAnsi="Times New Roman" w:eastAsia="宋体" w:cs="Times New Roman"/>
                <w:sz w:val="24"/>
                <w:szCs w:val="24"/>
                <w:lang w:val="en-US" w:eastAsia="zh-CN"/>
              </w:rPr>
              <w:t>二噁英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continue"/>
            <w:tcBorders>
              <w:left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p>
        </w:tc>
        <w:tc>
          <w:tcPr>
            <w:tcW w:w="249" w:type="pct"/>
            <w:vMerge w:val="continue"/>
            <w:tcBorders>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p>
        </w:tc>
        <w:tc>
          <w:tcPr>
            <w:tcW w:w="1076" w:type="pct"/>
            <w:tcBorders>
              <w:top w:val="single" w:color="auto" w:sz="4" w:space="0"/>
              <w:bottom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r>
              <w:rPr>
                <w:rFonts w:cs="Times New Roman"/>
                <w:sz w:val="21"/>
                <w:szCs w:val="21"/>
              </w:rPr>
              <w:t>厂界无组织</w:t>
            </w:r>
          </w:p>
        </w:tc>
        <w:tc>
          <w:tcPr>
            <w:tcW w:w="3356" w:type="pct"/>
            <w:tcBorders>
              <w:top w:val="single" w:color="auto" w:sz="4" w:space="0"/>
              <w:bottom w:val="single" w:color="auto" w:sz="4" w:space="0"/>
              <w:right w:val="single" w:color="auto" w:sz="4" w:space="0"/>
              <w:tl2br w:val="nil"/>
              <w:tr2bl w:val="nil"/>
            </w:tcBorders>
            <w:vAlign w:val="center"/>
          </w:tcPr>
          <w:p>
            <w:pPr>
              <w:pStyle w:val="2"/>
              <w:widowControl w:val="0"/>
              <w:adjustRightInd w:val="0"/>
              <w:snapToGrid w:val="0"/>
              <w:spacing w:after="0" w:line="240" w:lineRule="auto"/>
              <w:ind w:left="0" w:leftChars="0" w:firstLine="0" w:firstLineChars="0"/>
              <w:jc w:val="center"/>
              <w:rPr>
                <w:rFonts w:hint="eastAsia" w:eastAsia="宋体" w:cs="Times New Roman"/>
                <w:spacing w:val="-4"/>
                <w:sz w:val="21"/>
                <w:szCs w:val="21"/>
                <w:lang w:eastAsia="zh-CN"/>
              </w:rPr>
            </w:pPr>
            <w:r>
              <w:rPr>
                <w:rFonts w:hint="eastAsia" w:cs="Times New Roman"/>
                <w:sz w:val="21"/>
                <w:szCs w:val="21"/>
                <w:lang w:val="en-US" w:eastAsia="zh-CN"/>
              </w:rPr>
              <w:t>VOC</w:t>
            </w:r>
            <w:r>
              <w:rPr>
                <w:rFonts w:hint="eastAsia" w:cs="Times New Roman"/>
                <w:sz w:val="21"/>
                <w:szCs w:val="21"/>
                <w:vertAlign w:val="subscript"/>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continue"/>
            <w:tcBorders>
              <w:left w:val="single" w:color="auto" w:sz="4" w:space="0"/>
              <w:bottom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p>
        </w:tc>
        <w:tc>
          <w:tcPr>
            <w:tcW w:w="1325" w:type="pct"/>
            <w:gridSpan w:val="2"/>
            <w:tcBorders>
              <w:top w:val="single" w:color="auto" w:sz="4" w:space="0"/>
              <w:bottom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r>
              <w:rPr>
                <w:rFonts w:cs="Times New Roman"/>
                <w:sz w:val="21"/>
                <w:szCs w:val="21"/>
              </w:rPr>
              <w:t>噪声</w:t>
            </w:r>
          </w:p>
        </w:tc>
        <w:tc>
          <w:tcPr>
            <w:tcW w:w="3356" w:type="pct"/>
            <w:tcBorders>
              <w:top w:val="single" w:color="auto" w:sz="4" w:space="0"/>
              <w:bottom w:val="single" w:color="auto" w:sz="4" w:space="0"/>
              <w:right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r>
              <w:rPr>
                <w:rFonts w:cs="Times New Roman"/>
                <w:sz w:val="21"/>
                <w:szCs w:val="21"/>
              </w:rPr>
              <w:t>厂界噪声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3" w:type="pct"/>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r>
              <w:rPr>
                <w:rFonts w:cs="Times New Roman"/>
                <w:sz w:val="21"/>
                <w:szCs w:val="21"/>
              </w:rPr>
              <w:t>环境风险</w:t>
            </w:r>
          </w:p>
        </w:tc>
        <w:tc>
          <w:tcPr>
            <w:tcW w:w="3356"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autoSpaceDE w:val="0"/>
              <w:autoSpaceDN w:val="0"/>
              <w:adjustRightInd w:val="0"/>
              <w:snapToGrid w:val="0"/>
              <w:spacing w:line="240" w:lineRule="auto"/>
              <w:ind w:firstLine="0" w:firstLineChars="0"/>
              <w:jc w:val="center"/>
              <w:rPr>
                <w:rFonts w:cs="Times New Roman"/>
                <w:sz w:val="21"/>
                <w:szCs w:val="21"/>
              </w:rPr>
            </w:pPr>
            <w:r>
              <w:rPr>
                <w:rFonts w:cs="Times New Roman"/>
                <w:sz w:val="21"/>
                <w:szCs w:val="21"/>
              </w:rPr>
              <w:t>环境风险防范措施落实情况</w:t>
            </w:r>
          </w:p>
        </w:tc>
      </w:tr>
    </w:tbl>
    <w:p>
      <w:pPr>
        <w:ind w:firstLine="480"/>
        <w:rPr>
          <w:rFonts w:cs="Times New Roman" w:eastAsiaTheme="minorEastAsia"/>
          <w:szCs w:val="32"/>
        </w:rPr>
      </w:pPr>
      <w:bookmarkStart w:id="12" w:name="_Toc30654_WPSOffice_Level1"/>
      <w:bookmarkStart w:id="13" w:name="_Toc31514"/>
      <w:bookmarkStart w:id="14" w:name="_Toc25093"/>
      <w:r>
        <w:rPr>
          <w:rFonts w:cs="Times New Roman" w:eastAsiaTheme="minorEastAsia"/>
          <w:szCs w:val="32"/>
        </w:rPr>
        <w:br w:type="page"/>
      </w:r>
    </w:p>
    <w:p>
      <w:pPr>
        <w:pStyle w:val="7"/>
        <w:widowControl w:val="0"/>
        <w:jc w:val="center"/>
        <w:rPr>
          <w:rFonts w:cs="Times New Roman" w:eastAsiaTheme="minorEastAsia"/>
          <w:szCs w:val="32"/>
        </w:rPr>
      </w:pPr>
      <w:r>
        <w:rPr>
          <w:rFonts w:cs="Times New Roman" w:eastAsiaTheme="minorEastAsia"/>
          <w:szCs w:val="32"/>
        </w:rPr>
        <w:t xml:space="preserve">  </w:t>
      </w:r>
      <w:bookmarkStart w:id="15" w:name="_Toc80224139"/>
      <w:r>
        <w:rPr>
          <w:rFonts w:cs="Times New Roman" w:eastAsiaTheme="minorEastAsia"/>
          <w:szCs w:val="32"/>
        </w:rPr>
        <w:t>建设项目概况</w:t>
      </w:r>
      <w:bookmarkEnd w:id="12"/>
      <w:bookmarkEnd w:id="13"/>
      <w:bookmarkEnd w:id="14"/>
      <w:bookmarkEnd w:id="15"/>
    </w:p>
    <w:p>
      <w:pPr>
        <w:pStyle w:val="8"/>
        <w:widowControl w:val="0"/>
        <w:rPr>
          <w:rFonts w:cs="Times New Roman" w:eastAsiaTheme="minorEastAsia"/>
        </w:rPr>
      </w:pPr>
      <w:bookmarkStart w:id="16" w:name="_Toc18671"/>
      <w:bookmarkStart w:id="17" w:name="_Toc8302_WPSOffice_Level2"/>
      <w:r>
        <w:rPr>
          <w:rFonts w:cs="Times New Roman" w:eastAsiaTheme="minorEastAsia"/>
        </w:rPr>
        <w:t xml:space="preserve"> 地理位置及平面布置</w:t>
      </w:r>
      <w:bookmarkEnd w:id="16"/>
      <w:bookmarkEnd w:id="17"/>
    </w:p>
    <w:p>
      <w:pPr>
        <w:pStyle w:val="9"/>
        <w:rPr>
          <w:rFonts w:cs="Times New Roman" w:eastAsiaTheme="minorEastAsia"/>
        </w:rPr>
      </w:pPr>
      <w:bookmarkStart w:id="18" w:name="_Toc8979"/>
      <w:bookmarkStart w:id="19" w:name="_Toc5176_WPSOffice_Level3"/>
      <w:r>
        <w:rPr>
          <w:rFonts w:cs="Times New Roman" w:eastAsiaTheme="minorEastAsia"/>
        </w:rPr>
        <w:t xml:space="preserve"> 地理位置</w:t>
      </w:r>
      <w:bookmarkEnd w:id="18"/>
      <w:bookmarkEnd w:id="19"/>
    </w:p>
    <w:p>
      <w:pPr>
        <w:widowControl w:val="0"/>
        <w:spacing w:line="500" w:lineRule="exact"/>
        <w:ind w:left="2" w:leftChars="1" w:firstLine="470" w:firstLineChars="196"/>
        <w:rPr>
          <w:rFonts w:cs="Times New Roman" w:eastAsiaTheme="minorEastAsia"/>
        </w:rPr>
      </w:pPr>
      <w:r>
        <w:rPr>
          <w:rFonts w:cs="Times New Roman" w:eastAsiaTheme="minorEastAsia"/>
          <w:bCs/>
        </w:rPr>
        <w:t>项目</w:t>
      </w:r>
      <w:r>
        <w:rPr>
          <w:rFonts w:hint="eastAsia" w:cs="Times New Roman" w:eastAsiaTheme="minorEastAsia"/>
          <w:lang w:eastAsia="zh-CN"/>
        </w:rPr>
        <w:t>位于山东省淄博市张店东部化工区昌国东路227号</w:t>
      </w:r>
      <w:r>
        <w:rPr>
          <w:rFonts w:cs="Times New Roman" w:eastAsiaTheme="minorEastAsia"/>
          <w:spacing w:val="-2"/>
        </w:rPr>
        <w:t>，</w:t>
      </w:r>
      <w:r>
        <w:rPr>
          <w:rFonts w:cs="Times New Roman" w:eastAsiaTheme="minorEastAsia"/>
          <w:bCs/>
        </w:rPr>
        <w:t>地理位置见下图：</w:t>
      </w:r>
    </w:p>
    <w:p>
      <w:pPr>
        <w:widowControl w:val="0"/>
        <w:spacing w:before="78" w:beforeLines="25" w:after="78" w:afterLines="25"/>
        <w:ind w:firstLine="0" w:firstLineChars="0"/>
        <w:jc w:val="center"/>
        <w:rPr>
          <w:rFonts w:cs="Times New Roman"/>
          <w:b/>
          <w:bCs/>
        </w:rPr>
      </w:pPr>
      <w:r>
        <w:drawing>
          <wp:inline distT="0" distB="0" distL="114300" distR="114300">
            <wp:extent cx="5269230" cy="3338195"/>
            <wp:effectExtent l="0" t="0" r="762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9230" cy="3338195"/>
                    </a:xfrm>
                    <a:prstGeom prst="rect">
                      <a:avLst/>
                    </a:prstGeom>
                    <a:noFill/>
                    <a:ln>
                      <a:noFill/>
                    </a:ln>
                  </pic:spPr>
                </pic:pic>
              </a:graphicData>
            </a:graphic>
          </wp:inline>
        </w:drawing>
      </w:r>
    </w:p>
    <w:p>
      <w:pPr>
        <w:widowControl w:val="0"/>
        <w:ind w:firstLine="480"/>
        <w:jc w:val="center"/>
        <w:rPr>
          <w:rFonts w:cs="Times New Roman" w:eastAsiaTheme="minorEastAsia"/>
          <w:color w:val="auto"/>
        </w:rPr>
      </w:pPr>
      <w:r>
        <w:rPr>
          <w:rFonts w:cs="Times New Roman" w:eastAsiaTheme="minorEastAsia"/>
          <w:color w:val="auto"/>
        </w:rPr>
        <w:t xml:space="preserve">图 </w:t>
      </w:r>
      <w:r>
        <w:rPr>
          <w:rFonts w:cs="Times New Roman" w:eastAsiaTheme="minorEastAsia"/>
          <w:color w:val="auto"/>
        </w:rPr>
        <w:fldChar w:fldCharType="begin"/>
      </w:r>
      <w:r>
        <w:rPr>
          <w:rFonts w:cs="Times New Roman" w:eastAsiaTheme="minorEastAsia"/>
          <w:color w:val="auto"/>
        </w:rPr>
        <w:instrText xml:space="preserve"> STYLEREF 2 \s </w:instrText>
      </w:r>
      <w:r>
        <w:rPr>
          <w:rFonts w:cs="Times New Roman" w:eastAsiaTheme="minorEastAsia"/>
          <w:color w:val="auto"/>
        </w:rPr>
        <w:fldChar w:fldCharType="separate"/>
      </w:r>
      <w:r>
        <w:rPr>
          <w:rFonts w:cs="Times New Roman" w:eastAsiaTheme="minorEastAsia"/>
          <w:color w:val="auto"/>
        </w:rPr>
        <w:t>2.1</w:t>
      </w:r>
      <w:r>
        <w:rPr>
          <w:rFonts w:cs="Times New Roman" w:eastAsiaTheme="minorEastAsia"/>
          <w:color w:val="auto"/>
        </w:rPr>
        <w:fldChar w:fldCharType="end"/>
      </w:r>
      <w:r>
        <w:rPr>
          <w:rFonts w:cs="Times New Roman" w:eastAsiaTheme="minorEastAsia"/>
          <w:color w:val="auto"/>
        </w:rPr>
        <w:t>–</w:t>
      </w:r>
      <w:r>
        <w:rPr>
          <w:rFonts w:cs="Times New Roman" w:eastAsiaTheme="minorEastAsia"/>
          <w:color w:val="auto"/>
        </w:rPr>
        <w:fldChar w:fldCharType="begin"/>
      </w:r>
      <w:r>
        <w:rPr>
          <w:rFonts w:cs="Times New Roman" w:eastAsiaTheme="minorEastAsia"/>
          <w:color w:val="auto"/>
        </w:rPr>
        <w:instrText xml:space="preserve"> SEQ 图 \* ARABIC \s 2 </w:instrText>
      </w:r>
      <w:r>
        <w:rPr>
          <w:rFonts w:cs="Times New Roman" w:eastAsiaTheme="minorEastAsia"/>
          <w:color w:val="auto"/>
        </w:rPr>
        <w:fldChar w:fldCharType="separate"/>
      </w:r>
      <w:r>
        <w:rPr>
          <w:rFonts w:cs="Times New Roman" w:eastAsiaTheme="minorEastAsia"/>
          <w:color w:val="auto"/>
        </w:rPr>
        <w:t>1</w:t>
      </w:r>
      <w:r>
        <w:rPr>
          <w:rFonts w:cs="Times New Roman" w:eastAsiaTheme="minorEastAsia"/>
          <w:color w:val="auto"/>
        </w:rPr>
        <w:fldChar w:fldCharType="end"/>
      </w:r>
      <w:r>
        <w:rPr>
          <w:rFonts w:cs="Times New Roman" w:eastAsiaTheme="minorEastAsia"/>
          <w:color w:val="auto"/>
        </w:rPr>
        <w:t xml:space="preserve">  地理位置图</w:t>
      </w:r>
    </w:p>
    <w:p>
      <w:pPr>
        <w:pStyle w:val="9"/>
        <w:rPr>
          <w:rFonts w:cs="Times New Roman" w:eastAsiaTheme="minorEastAsia"/>
        </w:rPr>
      </w:pPr>
      <w:r>
        <w:rPr>
          <w:rFonts w:cs="Times New Roman" w:eastAsiaTheme="minorEastAsia"/>
        </w:rPr>
        <w:t xml:space="preserve"> 厂区平面布置</w:t>
      </w:r>
    </w:p>
    <w:p>
      <w:pPr>
        <w:widowControl w:val="0"/>
        <w:ind w:firstLine="480"/>
        <w:rPr>
          <w:rFonts w:cs="Times New Roman" w:eastAsiaTheme="minorEastAsia"/>
        </w:rPr>
      </w:pPr>
      <w:r>
        <w:rPr>
          <w:rFonts w:hint="eastAsia" w:cs="Times New Roman" w:eastAsiaTheme="minorEastAsia"/>
        </w:rPr>
        <w:t>本项</w:t>
      </w:r>
      <w:r>
        <w:rPr>
          <w:rFonts w:hint="eastAsia" w:cs="Times New Roman" w:eastAsiaTheme="minorEastAsia"/>
          <w:color w:val="auto"/>
        </w:rPr>
        <w:t>目位于</w:t>
      </w:r>
      <w:r>
        <w:rPr>
          <w:rFonts w:hint="eastAsia" w:cs="Times New Roman" w:eastAsiaTheme="minorEastAsia"/>
          <w:color w:val="auto"/>
          <w:lang w:eastAsia="zh-CN"/>
        </w:rPr>
        <w:t>山东民基新材料科技有限公司</w:t>
      </w:r>
      <w:r>
        <w:rPr>
          <w:rFonts w:hint="eastAsia" w:cs="Times New Roman" w:eastAsiaTheme="minorEastAsia"/>
          <w:color w:val="auto"/>
        </w:rPr>
        <w:t>现</w:t>
      </w:r>
      <w:r>
        <w:rPr>
          <w:rFonts w:hint="eastAsia" w:cs="Times New Roman" w:eastAsiaTheme="minorEastAsia"/>
        </w:rPr>
        <w:t>有厂区中间位置，利用厂区现有闲置危废库进行改造，不新增构筑物，仅增加灌装机及配套管线、风机等相关设备，其他公用设备均依托厂区现有项目；</w:t>
      </w:r>
      <w:r>
        <w:rPr>
          <w:rFonts w:hint="eastAsia" w:cs="Times New Roman" w:eastAsiaTheme="minorEastAsia"/>
          <w:color w:val="auto"/>
        </w:rPr>
        <w:t>项目北侧为硫酸罐区，</w:t>
      </w:r>
      <w:r>
        <w:rPr>
          <w:rFonts w:hint="eastAsia" w:cs="Times New Roman" w:eastAsiaTheme="minorEastAsia"/>
        </w:rPr>
        <w:t>西侧为三甲基乙酸生产装置区，南侧为厂区道路。项目生产总平面布置较好的满足了工艺流程的顺畅性，体现了物料输送的便捷性，使物料的输送简单化，方便了生产，厂区平面布置基本合理。</w:t>
      </w:r>
      <w:r>
        <w:rPr>
          <w:rFonts w:cs="Times New Roman" w:eastAsiaTheme="minorEastAsia"/>
        </w:rPr>
        <w:t>项目总平面布置见下图：</w:t>
      </w:r>
    </w:p>
    <w:p>
      <w:pPr>
        <w:widowControl w:val="0"/>
        <w:ind w:firstLine="480"/>
        <w:rPr>
          <w:rFonts w:hint="eastAsia" w:cs="Times New Roman" w:eastAsiaTheme="minorEastAsia"/>
          <w:lang w:eastAsia="zh-CN"/>
        </w:rPr>
      </w:pPr>
    </w:p>
    <w:p>
      <w:pPr>
        <w:widowControl w:val="0"/>
        <w:ind w:firstLine="0" w:firstLineChars="0"/>
        <w:jc w:val="center"/>
        <w:rPr>
          <w:rFonts w:hint="eastAsia" w:eastAsia="宋体"/>
          <w:b/>
          <w:bCs/>
          <w:lang w:eastAsia="zh-CN"/>
        </w:rPr>
      </w:pPr>
      <w:r>
        <w:rPr>
          <w:rFonts w:hint="eastAsia" w:eastAsia="宋体"/>
          <w:b/>
          <w:bCs/>
          <w:lang w:eastAsia="zh-CN"/>
        </w:rPr>
        <w:drawing>
          <wp:inline distT="0" distB="0" distL="114300" distR="114300">
            <wp:extent cx="5269865" cy="7658735"/>
            <wp:effectExtent l="0" t="0" r="6985" b="18415"/>
            <wp:docPr id="3" name="图片 3" descr="1e3f2843cbe5e1dff364190805e2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e3f2843cbe5e1dff364190805e2d69"/>
                    <pic:cNvPicPr>
                      <a:picLocks noChangeAspect="1"/>
                    </pic:cNvPicPr>
                  </pic:nvPicPr>
                  <pic:blipFill>
                    <a:blip r:embed="rId18"/>
                    <a:stretch>
                      <a:fillRect/>
                    </a:stretch>
                  </pic:blipFill>
                  <pic:spPr>
                    <a:xfrm>
                      <a:off x="0" y="0"/>
                      <a:ext cx="5269865" cy="7658735"/>
                    </a:xfrm>
                    <a:prstGeom prst="rect">
                      <a:avLst/>
                    </a:prstGeom>
                  </pic:spPr>
                </pic:pic>
              </a:graphicData>
            </a:graphic>
          </wp:inline>
        </w:drawing>
      </w:r>
    </w:p>
    <w:p>
      <w:pPr>
        <w:widowControl w:val="0"/>
        <w:ind w:firstLine="480"/>
        <w:jc w:val="center"/>
        <w:rPr>
          <w:rFonts w:cs="Times New Roman" w:eastAsiaTheme="minorEastAsia"/>
          <w:bCs/>
          <w:color w:val="auto"/>
        </w:rPr>
      </w:pPr>
      <w:r>
        <w:rPr>
          <w:rFonts w:cs="Times New Roman" w:eastAsiaTheme="minorEastAsia"/>
          <w:color w:val="auto"/>
        </w:rPr>
        <w:t xml:space="preserve">图 </w:t>
      </w:r>
      <w:r>
        <w:rPr>
          <w:rFonts w:cs="Times New Roman" w:eastAsiaTheme="minorEastAsia"/>
          <w:color w:val="auto"/>
        </w:rPr>
        <w:fldChar w:fldCharType="begin"/>
      </w:r>
      <w:r>
        <w:rPr>
          <w:rFonts w:cs="Times New Roman" w:eastAsiaTheme="minorEastAsia"/>
          <w:color w:val="auto"/>
        </w:rPr>
        <w:instrText xml:space="preserve"> STYLEREF 2 \s </w:instrText>
      </w:r>
      <w:r>
        <w:rPr>
          <w:rFonts w:cs="Times New Roman" w:eastAsiaTheme="minorEastAsia"/>
          <w:color w:val="auto"/>
        </w:rPr>
        <w:fldChar w:fldCharType="separate"/>
      </w:r>
      <w:r>
        <w:rPr>
          <w:rFonts w:cs="Times New Roman" w:eastAsiaTheme="minorEastAsia"/>
          <w:color w:val="auto"/>
        </w:rPr>
        <w:t>2.1</w:t>
      </w:r>
      <w:r>
        <w:rPr>
          <w:rFonts w:cs="Times New Roman" w:eastAsiaTheme="minorEastAsia"/>
          <w:color w:val="auto"/>
        </w:rPr>
        <w:fldChar w:fldCharType="end"/>
      </w:r>
      <w:r>
        <w:rPr>
          <w:rFonts w:cs="Times New Roman" w:eastAsiaTheme="minorEastAsia"/>
          <w:color w:val="auto"/>
        </w:rPr>
        <w:t>–</w:t>
      </w:r>
      <w:r>
        <w:rPr>
          <w:rFonts w:cs="Times New Roman" w:eastAsiaTheme="minorEastAsia"/>
          <w:color w:val="auto"/>
        </w:rPr>
        <w:fldChar w:fldCharType="begin"/>
      </w:r>
      <w:r>
        <w:rPr>
          <w:rFonts w:cs="Times New Roman" w:eastAsiaTheme="minorEastAsia"/>
          <w:color w:val="auto"/>
        </w:rPr>
        <w:instrText xml:space="preserve"> SEQ 图 \* ARABIC \s 2 </w:instrText>
      </w:r>
      <w:r>
        <w:rPr>
          <w:rFonts w:cs="Times New Roman" w:eastAsiaTheme="minorEastAsia"/>
          <w:color w:val="auto"/>
        </w:rPr>
        <w:fldChar w:fldCharType="separate"/>
      </w:r>
      <w:r>
        <w:rPr>
          <w:rFonts w:cs="Times New Roman" w:eastAsiaTheme="minorEastAsia"/>
          <w:color w:val="auto"/>
        </w:rPr>
        <w:t>2</w:t>
      </w:r>
      <w:r>
        <w:rPr>
          <w:rFonts w:cs="Times New Roman" w:eastAsiaTheme="minorEastAsia"/>
          <w:color w:val="auto"/>
        </w:rPr>
        <w:fldChar w:fldCharType="end"/>
      </w:r>
      <w:r>
        <w:rPr>
          <w:rFonts w:cs="Times New Roman" w:eastAsiaTheme="minorEastAsia"/>
          <w:color w:val="auto"/>
        </w:rPr>
        <w:t xml:space="preserve">  </w:t>
      </w:r>
      <w:r>
        <w:rPr>
          <w:rFonts w:cs="Times New Roman" w:eastAsiaTheme="minorEastAsia"/>
          <w:bCs/>
          <w:color w:val="auto"/>
        </w:rPr>
        <w:t>总平面布置图</w:t>
      </w:r>
    </w:p>
    <w:p>
      <w:pPr>
        <w:pStyle w:val="8"/>
        <w:widowControl w:val="0"/>
        <w:rPr>
          <w:rFonts w:cs="Times New Roman" w:eastAsiaTheme="minorEastAsia"/>
        </w:rPr>
      </w:pPr>
      <w:bookmarkStart w:id="20" w:name="_Toc19144_WPSOffice_Level2"/>
      <w:bookmarkStart w:id="21" w:name="_Toc1961"/>
      <w:r>
        <w:rPr>
          <w:rFonts w:cs="Times New Roman" w:eastAsiaTheme="minorEastAsia"/>
        </w:rPr>
        <w:t xml:space="preserve"> 环境保护敏感目标情况</w:t>
      </w:r>
      <w:bookmarkEnd w:id="20"/>
      <w:bookmarkEnd w:id="21"/>
    </w:p>
    <w:p>
      <w:pPr>
        <w:widowControl w:val="0"/>
        <w:ind w:firstLine="480"/>
        <w:rPr>
          <w:rStyle w:val="41"/>
          <w:rFonts w:cs="Times New Roman" w:eastAsiaTheme="minorEastAsia"/>
        </w:rPr>
      </w:pPr>
      <w:r>
        <w:rPr>
          <w:rStyle w:val="41"/>
          <w:rFonts w:cs="Times New Roman" w:eastAsiaTheme="minorEastAsia"/>
        </w:rPr>
        <w:t>距离本项目距离最近的环境敏感点为项目</w:t>
      </w:r>
      <w:r>
        <w:rPr>
          <w:rFonts w:hint="eastAsia" w:eastAsiaTheme="minorEastAsia"/>
        </w:rPr>
        <w:t>厂区东</w:t>
      </w:r>
      <w:r>
        <w:rPr>
          <w:rFonts w:hint="eastAsia" w:eastAsiaTheme="minorEastAsia"/>
          <w:lang w:eastAsia="zh-CN"/>
        </w:rPr>
        <w:t>北</w:t>
      </w:r>
      <w:r>
        <w:rPr>
          <w:rFonts w:hint="eastAsia" w:eastAsiaTheme="minorEastAsia"/>
        </w:rPr>
        <w:t>侧的</w:t>
      </w:r>
      <w:r>
        <w:rPr>
          <w:rFonts w:hint="eastAsia" w:eastAsiaTheme="minorEastAsia"/>
          <w:lang w:eastAsia="zh-CN"/>
        </w:rPr>
        <w:t>柳杭村</w:t>
      </w:r>
      <w:r>
        <w:rPr>
          <w:rStyle w:val="41"/>
          <w:rFonts w:cs="Times New Roman" w:eastAsiaTheme="minorEastAsia"/>
        </w:rPr>
        <w:t>。</w:t>
      </w:r>
    </w:p>
    <w:p>
      <w:pPr>
        <w:pStyle w:val="8"/>
        <w:widowControl w:val="0"/>
        <w:rPr>
          <w:rFonts w:cs="Times New Roman" w:eastAsiaTheme="minorEastAsia"/>
        </w:rPr>
      </w:pPr>
      <w:r>
        <w:rPr>
          <w:rFonts w:cs="Times New Roman" w:eastAsiaTheme="minorEastAsia"/>
        </w:rPr>
        <w:t xml:space="preserve"> 项目工程概况</w:t>
      </w:r>
    </w:p>
    <w:p>
      <w:pPr>
        <w:widowControl w:val="0"/>
        <w:ind w:firstLine="480"/>
        <w:rPr>
          <w:rFonts w:hint="eastAsia" w:cs="Times New Roman" w:eastAsiaTheme="minorEastAsia"/>
          <w:lang w:eastAsia="zh-CN"/>
        </w:rPr>
      </w:pPr>
      <w:r>
        <w:rPr>
          <w:rFonts w:cs="Times New Roman" w:eastAsiaTheme="minorEastAsia"/>
        </w:rPr>
        <w:t>（1）项目名称：</w:t>
      </w:r>
      <w:r>
        <w:rPr>
          <w:rFonts w:hint="eastAsia" w:cs="Times New Roman" w:eastAsiaTheme="minorEastAsia"/>
          <w:lang w:eastAsia="zh-CN"/>
        </w:rPr>
        <w:t>灌装间提升技改项目</w:t>
      </w:r>
    </w:p>
    <w:p>
      <w:pPr>
        <w:widowControl w:val="0"/>
        <w:ind w:firstLine="480"/>
        <w:rPr>
          <w:rFonts w:hint="eastAsia" w:cs="Times New Roman" w:eastAsiaTheme="minorEastAsia"/>
          <w:lang w:eastAsia="zh-CN"/>
        </w:rPr>
      </w:pPr>
      <w:r>
        <w:rPr>
          <w:rFonts w:cs="Times New Roman" w:eastAsiaTheme="minorEastAsia"/>
        </w:rPr>
        <w:t>（2）建设性质：</w:t>
      </w:r>
      <w:r>
        <w:rPr>
          <w:rFonts w:hint="eastAsia" w:cs="Times New Roman" w:eastAsiaTheme="minorEastAsia"/>
          <w:lang w:eastAsia="zh-CN"/>
        </w:rPr>
        <w:t>改建</w:t>
      </w:r>
    </w:p>
    <w:p>
      <w:pPr>
        <w:widowControl w:val="0"/>
        <w:ind w:firstLine="480"/>
        <w:rPr>
          <w:rFonts w:hint="eastAsia" w:cs="Times New Roman" w:eastAsiaTheme="minorEastAsia"/>
          <w:lang w:eastAsia="zh-CN"/>
        </w:rPr>
      </w:pPr>
      <w:r>
        <w:rPr>
          <w:rFonts w:cs="Times New Roman" w:eastAsiaTheme="minorEastAsia"/>
        </w:rPr>
        <w:t>（3）建设地点：</w:t>
      </w:r>
      <w:r>
        <w:rPr>
          <w:rFonts w:hint="eastAsia" w:cs="Times New Roman" w:eastAsiaTheme="minorEastAsia"/>
          <w:lang w:eastAsia="zh-CN"/>
        </w:rPr>
        <w:t>山东省淄博市张店东部化工区昌国东路227号</w:t>
      </w:r>
    </w:p>
    <w:p>
      <w:pPr>
        <w:widowControl w:val="0"/>
        <w:ind w:firstLine="480"/>
        <w:rPr>
          <w:rFonts w:hint="eastAsia" w:ascii="Times New Roman" w:hAnsi="Times New Roman" w:cs="Times New Roman"/>
          <w:sz w:val="24"/>
          <w:szCs w:val="24"/>
          <w:lang w:val="en-US" w:eastAsia="zh-CN"/>
        </w:rPr>
      </w:pPr>
      <w:r>
        <w:rPr>
          <w:rFonts w:cs="Times New Roman" w:eastAsiaTheme="minorEastAsia"/>
        </w:rPr>
        <w:t>（4）建设内容</w:t>
      </w:r>
      <w:r>
        <w:rPr>
          <w:rFonts w:cs="Times New Roman" w:eastAsiaTheme="minorEastAsia"/>
          <w:color w:val="000000" w:themeColor="text1"/>
          <w14:textFill>
            <w14:solidFill>
              <w14:schemeClr w14:val="tx1"/>
            </w14:solidFill>
          </w14:textFill>
        </w:rPr>
        <w:t>：</w:t>
      </w:r>
      <w:r>
        <w:rPr>
          <w:rFonts w:hint="eastAsia" w:ascii="Times New Roman" w:hAnsi="Times New Roman" w:cs="Times New Roman"/>
          <w:sz w:val="24"/>
          <w:szCs w:val="24"/>
          <w:lang w:val="en-US" w:eastAsia="zh-CN"/>
        </w:rPr>
        <w:t>将厂区闲置危废库改为灌装间，新购并安装灌装机和输送管线等相关设备，项目不新增占地及构筑物，物料通过输送管线自罐区引至灌装间，通过自动灌装机自动灌装。</w:t>
      </w:r>
    </w:p>
    <w:p>
      <w:pPr>
        <w:widowControl w:val="0"/>
        <w:ind w:firstLine="480"/>
        <w:rPr>
          <w:rFonts w:hint="eastAsia" w:ascii="Times New Roman" w:hAnsi="Times New Roman" w:cs="Times New Roman"/>
          <w:sz w:val="24"/>
          <w:szCs w:val="24"/>
          <w:lang w:val="en-US" w:eastAsia="zh-CN"/>
        </w:rPr>
      </w:pPr>
      <w:r>
        <w:rPr>
          <w:rFonts w:cs="Times New Roman" w:eastAsiaTheme="minorEastAsia"/>
        </w:rPr>
        <w:t>（5）建设规模：</w:t>
      </w:r>
      <w:r>
        <w:rPr>
          <w:rFonts w:hint="eastAsia" w:ascii="Times New Roman" w:hAnsi="Times New Roman" w:cs="Times New Roman"/>
          <w:sz w:val="24"/>
          <w:szCs w:val="24"/>
          <w:lang w:val="en-US" w:eastAsia="zh-CN"/>
        </w:rPr>
        <w:t>年灌装10000吨氯代特戊酰氯、1000吨特戊酰氯</w:t>
      </w:r>
    </w:p>
    <w:p>
      <w:pPr>
        <w:widowControl w:val="0"/>
        <w:ind w:firstLine="480"/>
        <w:rPr>
          <w:rFonts w:hint="eastAsia" w:cs="Times New Roman" w:eastAsiaTheme="minorEastAsia"/>
          <w:vertAlign w:val="superscript"/>
          <w:lang w:eastAsia="zh-CN"/>
        </w:rPr>
      </w:pPr>
      <w:r>
        <w:rPr>
          <w:rFonts w:cs="Times New Roman" w:eastAsiaTheme="minorEastAsia"/>
        </w:rPr>
        <w:t>（</w:t>
      </w:r>
      <w:r>
        <w:rPr>
          <w:rFonts w:cs="Times New Roman" w:eastAsiaTheme="minorEastAsia"/>
          <w:color w:val="auto"/>
        </w:rPr>
        <w:t>6）占地面积：</w:t>
      </w:r>
      <w:r>
        <w:rPr>
          <w:rFonts w:hint="eastAsia" w:cs="Times New Roman" w:eastAsiaTheme="minorEastAsia"/>
          <w:bCs/>
          <w:color w:val="auto"/>
          <w:lang w:val="en-US" w:eastAsia="zh-CN"/>
        </w:rPr>
        <w:t>0</w:t>
      </w:r>
      <w:r>
        <w:rPr>
          <w:rFonts w:hint="eastAsia" w:cs="Times New Roman" w:eastAsiaTheme="minorEastAsia"/>
          <w:bCs/>
          <w:color w:val="auto"/>
          <w:lang w:eastAsia="zh-CN"/>
        </w:rPr>
        <w:t>m</w:t>
      </w:r>
      <w:r>
        <w:rPr>
          <w:rFonts w:hint="eastAsia" w:cs="Times New Roman" w:eastAsiaTheme="minorEastAsia"/>
          <w:bCs/>
          <w:color w:val="auto"/>
          <w:vertAlign w:val="superscript"/>
          <w:lang w:eastAsia="zh-CN"/>
        </w:rPr>
        <w:t>2</w:t>
      </w:r>
      <w:r>
        <w:rPr>
          <w:rFonts w:hint="eastAsia" w:cs="Times New Roman" w:eastAsiaTheme="minorEastAsia"/>
          <w:bCs/>
          <w:color w:val="auto"/>
          <w:vertAlign w:val="baseline"/>
          <w:lang w:eastAsia="zh-CN"/>
        </w:rPr>
        <w:t>（项目不新增占地）</w:t>
      </w:r>
    </w:p>
    <w:p>
      <w:pPr>
        <w:widowControl w:val="0"/>
        <w:ind w:firstLine="480"/>
        <w:rPr>
          <w:rFonts w:hint="eastAsia" w:cs="Times New Roman" w:eastAsiaTheme="minorEastAsia"/>
          <w:bCs/>
          <w:lang w:eastAsia="zh-CN"/>
        </w:rPr>
      </w:pPr>
      <w:r>
        <w:rPr>
          <w:rFonts w:cs="Times New Roman" w:eastAsiaTheme="minorEastAsia"/>
        </w:rPr>
        <w:t>（7）劳动定员：</w:t>
      </w:r>
      <w:bookmarkStart w:id="22" w:name="_Toc215"/>
      <w:bookmarkStart w:id="23" w:name="_Toc28999"/>
      <w:bookmarkStart w:id="24" w:name="_Toc3345"/>
      <w:r>
        <w:rPr>
          <w:rFonts w:hint="eastAsia" w:cs="Times New Roman" w:eastAsiaTheme="minorEastAsia"/>
          <w:lang w:val="en-US" w:eastAsia="zh-CN"/>
        </w:rPr>
        <w:t>0</w:t>
      </w:r>
      <w:r>
        <w:rPr>
          <w:rFonts w:hint="eastAsia" w:cs="Times New Roman" w:eastAsiaTheme="minorEastAsia"/>
          <w:lang w:eastAsia="zh-CN"/>
        </w:rPr>
        <w:t>人（项目劳动定员由厂区内部调剂，无新增人员）</w:t>
      </w:r>
    </w:p>
    <w:p>
      <w:pPr>
        <w:widowControl w:val="0"/>
        <w:ind w:firstLine="480"/>
        <w:rPr>
          <w:rFonts w:hint="eastAsia" w:cs="Times New Roman" w:eastAsiaTheme="minorEastAsia"/>
          <w:bCs/>
          <w:lang w:eastAsia="zh-CN"/>
        </w:rPr>
      </w:pPr>
      <w:r>
        <w:rPr>
          <w:rFonts w:cs="Times New Roman" w:eastAsiaTheme="minorEastAsia"/>
        </w:rPr>
        <w:t>（8）年操作时间：</w:t>
      </w:r>
      <w:bookmarkEnd w:id="22"/>
      <w:bookmarkEnd w:id="23"/>
      <w:r>
        <w:rPr>
          <w:rFonts w:hint="eastAsia" w:cs="Times New Roman" w:eastAsiaTheme="minorEastAsia"/>
          <w:bCs/>
        </w:rPr>
        <w:t>实行白班制，年作业时间1100小时</w:t>
      </w:r>
      <w:bookmarkEnd w:id="24"/>
      <w:bookmarkStart w:id="25" w:name="_Toc14222"/>
      <w:bookmarkStart w:id="26" w:name="_Toc21362"/>
      <w:bookmarkStart w:id="27" w:name="_Toc13725"/>
      <w:r>
        <w:rPr>
          <w:rFonts w:hint="eastAsia" w:cs="Times New Roman" w:eastAsiaTheme="minorEastAsia"/>
          <w:bCs/>
          <w:lang w:eastAsia="zh-CN"/>
        </w:rPr>
        <w:t>。</w:t>
      </w:r>
    </w:p>
    <w:p>
      <w:pPr>
        <w:widowControl w:val="0"/>
        <w:ind w:firstLine="480"/>
        <w:rPr>
          <w:rFonts w:cs="Times New Roman" w:eastAsiaTheme="minorEastAsia"/>
          <w:color w:val="FF0000"/>
        </w:rPr>
      </w:pPr>
      <w:r>
        <w:rPr>
          <w:rFonts w:cs="Times New Roman" w:eastAsiaTheme="minorEastAsia"/>
        </w:rPr>
        <w:t>（9）建设投资：</w:t>
      </w:r>
      <w:r>
        <w:rPr>
          <w:rFonts w:hint="eastAsia" w:cs="Times New Roman" w:eastAsiaTheme="minorEastAsia"/>
        </w:rPr>
        <w:t>项目</w:t>
      </w:r>
      <w:r>
        <w:rPr>
          <w:rFonts w:hint="eastAsia" w:cs="Times New Roman" w:eastAsiaTheme="minorEastAsia"/>
          <w:color w:val="000000" w:themeColor="text1"/>
          <w14:textFill>
            <w14:solidFill>
              <w14:schemeClr w14:val="tx1"/>
            </w14:solidFill>
          </w14:textFill>
        </w:rPr>
        <w:t>投资</w:t>
      </w:r>
      <w:r>
        <w:rPr>
          <w:rFonts w:hint="eastAsia" w:cs="Times New Roman" w:eastAsiaTheme="minorEastAsia"/>
          <w:color w:val="000000" w:themeColor="text1"/>
          <w:lang w:val="en-US" w:eastAsia="zh-CN"/>
          <w14:textFill>
            <w14:solidFill>
              <w14:schemeClr w14:val="tx1"/>
            </w14:solidFill>
          </w14:textFill>
        </w:rPr>
        <w:t>45</w:t>
      </w:r>
      <w:r>
        <w:rPr>
          <w:rFonts w:hint="eastAsia" w:cs="Times New Roman" w:eastAsiaTheme="minorEastAsia"/>
          <w:color w:val="000000" w:themeColor="text1"/>
          <w:lang w:eastAsia="zh-CN"/>
          <w14:textFill>
            <w14:solidFill>
              <w14:schemeClr w14:val="tx1"/>
            </w14:solidFill>
          </w14:textFill>
        </w:rPr>
        <w:t>万元</w:t>
      </w:r>
      <w:r>
        <w:rPr>
          <w:rFonts w:hint="eastAsia" w:cs="Times New Roman" w:eastAsiaTheme="minorEastAsia"/>
          <w:color w:val="000000" w:themeColor="text1"/>
          <w14:textFill>
            <w14:solidFill>
              <w14:schemeClr w14:val="tx1"/>
            </w14:solidFill>
          </w14:textFill>
        </w:rPr>
        <w:t>，</w:t>
      </w:r>
      <w:r>
        <w:rPr>
          <w:rFonts w:cs="Times New Roman" w:eastAsiaTheme="minorEastAsia"/>
          <w:color w:val="000000" w:themeColor="text1"/>
          <w14:textFill>
            <w14:solidFill>
              <w14:schemeClr w14:val="tx1"/>
            </w14:solidFill>
          </w14:textFill>
        </w:rPr>
        <w:t>其中</w:t>
      </w:r>
      <w:r>
        <w:rPr>
          <w:rFonts w:hint="eastAsia" w:cs="Times New Roman" w:eastAsiaTheme="minorEastAsia"/>
          <w:color w:val="000000" w:themeColor="text1"/>
          <w14:textFill>
            <w14:solidFill>
              <w14:schemeClr w14:val="tx1"/>
            </w14:solidFill>
          </w14:textFill>
        </w:rPr>
        <w:t>环保投资</w:t>
      </w:r>
      <w:r>
        <w:rPr>
          <w:rFonts w:hint="eastAsia" w:cs="Times New Roman" w:eastAsiaTheme="minorEastAsia"/>
          <w:color w:val="000000" w:themeColor="text1"/>
          <w:lang w:val="en-US" w:eastAsia="zh-CN"/>
          <w14:textFill>
            <w14:solidFill>
              <w14:schemeClr w14:val="tx1"/>
            </w14:solidFill>
          </w14:textFill>
        </w:rPr>
        <w:t>5</w:t>
      </w:r>
      <w:r>
        <w:rPr>
          <w:rFonts w:hint="eastAsia" w:cs="Times New Roman" w:eastAsiaTheme="minorEastAsia"/>
          <w:color w:val="000000" w:themeColor="text1"/>
          <w:lang w:eastAsia="zh-CN"/>
          <w14:textFill>
            <w14:solidFill>
              <w14:schemeClr w14:val="tx1"/>
            </w14:solidFill>
          </w14:textFill>
        </w:rPr>
        <w:t>万元</w:t>
      </w:r>
      <w:bookmarkEnd w:id="25"/>
      <w:bookmarkEnd w:id="26"/>
      <w:bookmarkEnd w:id="27"/>
      <w:r>
        <w:rPr>
          <w:rFonts w:hint="eastAsia" w:cs="Times New Roman" w:eastAsiaTheme="minorEastAsia"/>
          <w:color w:val="000000" w:themeColor="text1"/>
          <w:lang w:eastAsia="zh-CN"/>
          <w14:textFill>
            <w14:solidFill>
              <w14:schemeClr w14:val="tx1"/>
            </w14:solidFill>
          </w14:textFill>
        </w:rPr>
        <w:t>。</w:t>
      </w:r>
    </w:p>
    <w:p>
      <w:pPr>
        <w:pStyle w:val="8"/>
        <w:widowControl w:val="0"/>
        <w:rPr>
          <w:rFonts w:cs="Times New Roman" w:eastAsiaTheme="minorEastAsia"/>
        </w:rPr>
      </w:pPr>
      <w:r>
        <w:rPr>
          <w:rFonts w:cs="Times New Roman" w:eastAsiaTheme="minorEastAsia"/>
        </w:rPr>
        <w:t>工程建设内容</w:t>
      </w:r>
    </w:p>
    <w:p>
      <w:pPr>
        <w:pStyle w:val="9"/>
        <w:rPr>
          <w:rFonts w:cs="Times New Roman" w:eastAsiaTheme="minorEastAsia"/>
        </w:rPr>
      </w:pPr>
      <w:bookmarkStart w:id="28" w:name="_Toc8550"/>
      <w:bookmarkStart w:id="29" w:name="_Toc19144_WPSOffice_Level3"/>
      <w:r>
        <w:rPr>
          <w:rFonts w:cs="Times New Roman" w:eastAsiaTheme="minorEastAsia"/>
        </w:rPr>
        <w:t xml:space="preserve"> 项目组成</w:t>
      </w:r>
      <w:bookmarkEnd w:id="28"/>
      <w:bookmarkEnd w:id="29"/>
    </w:p>
    <w:p>
      <w:pPr>
        <w:widowControl w:val="0"/>
        <w:spacing w:line="276" w:lineRule="auto"/>
        <w:ind w:firstLine="454" w:firstLineChars="196"/>
        <w:rPr>
          <w:rFonts w:cs="Times New Roman" w:eastAsiaTheme="minorEastAsia"/>
          <w:spacing w:val="-4"/>
          <w:szCs w:val="24"/>
        </w:rPr>
      </w:pPr>
      <w:bookmarkStart w:id="30" w:name="_Toc15968"/>
      <w:bookmarkStart w:id="31" w:name="_Toc10067"/>
      <w:bookmarkStart w:id="32" w:name="_Toc14991"/>
      <w:r>
        <w:rPr>
          <w:rFonts w:cs="Times New Roman" w:eastAsiaTheme="minorEastAsia"/>
          <w:spacing w:val="-4"/>
          <w:szCs w:val="24"/>
        </w:rPr>
        <w:t>项目组成及变更情况汇总见</w:t>
      </w:r>
      <w:bookmarkEnd w:id="30"/>
      <w:bookmarkEnd w:id="31"/>
      <w:bookmarkEnd w:id="32"/>
      <w:r>
        <w:rPr>
          <w:rFonts w:cs="Times New Roman" w:eastAsiaTheme="minorEastAsia"/>
          <w:spacing w:val="-4"/>
          <w:szCs w:val="24"/>
        </w:rPr>
        <w:t>下表：</w:t>
      </w:r>
    </w:p>
    <w:p>
      <w:pPr>
        <w:pStyle w:val="54"/>
        <w:widowControl w:val="0"/>
        <w:ind w:firstLine="482"/>
        <w:rPr>
          <w:rFonts w:cs="Times New Roman" w:eastAsiaTheme="minorEastAsia"/>
        </w:rPr>
      </w:pPr>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2.4</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t xml:space="preserve">  项目组成及变更情况汇总表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089"/>
        <w:gridCol w:w="1765"/>
        <w:gridCol w:w="254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工程类别</w:t>
            </w:r>
          </w:p>
        </w:tc>
        <w:tc>
          <w:tcPr>
            <w:tcW w:w="1225" w:type="pct"/>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工程名称</w:t>
            </w:r>
          </w:p>
        </w:tc>
        <w:tc>
          <w:tcPr>
            <w:tcW w:w="1035" w:type="pct"/>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环评建设内容</w:t>
            </w:r>
          </w:p>
        </w:tc>
        <w:tc>
          <w:tcPr>
            <w:tcW w:w="1490" w:type="pct"/>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kern w:val="0"/>
                <w:sz w:val="21"/>
                <w:szCs w:val="21"/>
              </w:rPr>
              <w:t>实际建设情况</w:t>
            </w:r>
          </w:p>
        </w:tc>
        <w:tc>
          <w:tcPr>
            <w:tcW w:w="831" w:type="pct"/>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kern w:val="0"/>
                <w:sz w:val="21"/>
                <w:szCs w:val="21"/>
              </w:rPr>
              <w:t>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主体</w:t>
            </w:r>
          </w:p>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工程</w:t>
            </w:r>
          </w:p>
        </w:tc>
        <w:tc>
          <w:tcPr>
            <w:tcW w:w="1225" w:type="pct"/>
            <w:vAlign w:val="center"/>
          </w:tcPr>
          <w:p>
            <w:pPr>
              <w:pStyle w:val="35"/>
              <w:widowControl w:val="0"/>
              <w:spacing w:before="0" w:beforeAutospacing="0" w:after="0" w:afterAutospacing="0"/>
              <w:jc w:val="center"/>
              <w:rPr>
                <w:rFonts w:hint="eastAsia" w:ascii="Times New Roman" w:hAnsi="Times New Roman" w:cs="Times New Roman"/>
                <w:kern w:val="2"/>
                <w:lang w:eastAsia="zh-CN"/>
              </w:rPr>
            </w:pPr>
            <w:r>
              <w:rPr>
                <w:rFonts w:hint="eastAsia" w:ascii="Times New Roman" w:hAnsi="Times New Roman" w:cs="Times New Roman"/>
                <w:kern w:val="2"/>
                <w:lang w:eastAsia="zh-CN"/>
              </w:rPr>
              <w:t>灌装间</w:t>
            </w:r>
          </w:p>
        </w:tc>
        <w:tc>
          <w:tcPr>
            <w:tcW w:w="2525" w:type="pct"/>
            <w:gridSpan w:val="2"/>
            <w:vAlign w:val="center"/>
          </w:tcPr>
          <w:p>
            <w:pPr>
              <w:pStyle w:val="35"/>
              <w:widowControl w:val="0"/>
              <w:spacing w:before="0" w:beforeAutospacing="0" w:after="0" w:afterAutospacing="0"/>
              <w:jc w:val="center"/>
              <w:rPr>
                <w:rFonts w:hint="eastAsia" w:ascii="Times New Roman" w:hAnsi="Times New Roman" w:cs="Times New Roman"/>
                <w:kern w:val="2"/>
                <w:lang w:eastAsia="zh-CN"/>
              </w:rPr>
            </w:pPr>
            <w:r>
              <w:rPr>
                <w:rFonts w:hint="eastAsia" w:ascii="Times New Roman" w:hAnsi="Times New Roman" w:cs="Times New Roman"/>
                <w:kern w:val="2"/>
                <w:lang w:eastAsia="zh-CN"/>
              </w:rPr>
              <w:t>1座，120m</w:t>
            </w:r>
            <w:r>
              <w:rPr>
                <w:rFonts w:hint="eastAsia" w:ascii="Times New Roman" w:hAnsi="Times New Roman" w:cs="Times New Roman"/>
                <w:kern w:val="2"/>
                <w:vertAlign w:val="superscript"/>
                <w:lang w:eastAsia="zh-CN"/>
              </w:rPr>
              <w:t>2</w:t>
            </w:r>
            <w:r>
              <w:rPr>
                <w:rFonts w:hint="eastAsia" w:ascii="Times New Roman" w:hAnsi="Times New Roman" w:cs="Times New Roman"/>
                <w:kern w:val="2"/>
                <w:lang w:eastAsia="zh-CN"/>
              </w:rPr>
              <w:t>，安装灌装机及输送</w:t>
            </w:r>
          </w:p>
          <w:p>
            <w:pPr>
              <w:pStyle w:val="35"/>
              <w:widowControl w:val="0"/>
              <w:spacing w:before="0" w:beforeAutospacing="0" w:after="0" w:afterAutospacing="0"/>
              <w:jc w:val="center"/>
              <w:rPr>
                <w:rFonts w:hint="eastAsia" w:ascii="Times New Roman" w:hAnsi="Times New Roman" w:cs="Times New Roman"/>
                <w:kern w:val="2"/>
                <w:lang w:eastAsia="zh-CN"/>
              </w:rPr>
            </w:pPr>
            <w:r>
              <w:rPr>
                <w:rFonts w:hint="eastAsia" w:ascii="Times New Roman" w:hAnsi="Times New Roman" w:cs="Times New Roman"/>
                <w:kern w:val="2"/>
                <w:lang w:eastAsia="zh-CN"/>
              </w:rPr>
              <w:t>管线等设备</w:t>
            </w:r>
          </w:p>
        </w:tc>
        <w:tc>
          <w:tcPr>
            <w:tcW w:w="831" w:type="pct"/>
            <w:vAlign w:val="center"/>
          </w:tcPr>
          <w:p>
            <w:pPr>
              <w:pStyle w:val="89"/>
              <w:ind w:firstLine="0" w:firstLineChars="0"/>
              <w:jc w:val="center"/>
              <w:rPr>
                <w:rFonts w:cs="Times New Roman"/>
                <w:sz w:val="21"/>
                <w:szCs w:val="21"/>
              </w:rPr>
            </w:pPr>
            <w:r>
              <w:rPr>
                <w:rFonts w:hint="eastAsia"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17" w:type="pct"/>
            <w:vMerge w:val="restart"/>
            <w:vAlign w:val="center"/>
          </w:tcPr>
          <w:p>
            <w:pPr>
              <w:ind w:firstLine="0" w:firstLineChars="0"/>
              <w:jc w:val="center"/>
              <w:rPr>
                <w:rFonts w:cs="Times New Roman"/>
                <w:sz w:val="21"/>
                <w:szCs w:val="21"/>
              </w:rPr>
            </w:pPr>
            <w:r>
              <w:rPr>
                <w:rFonts w:hint="eastAsia" w:cs="Times New Roman"/>
                <w:sz w:val="21"/>
                <w:szCs w:val="21"/>
              </w:rPr>
              <w:t>辅助工程</w:t>
            </w:r>
          </w:p>
        </w:tc>
        <w:tc>
          <w:tcPr>
            <w:tcW w:w="1225" w:type="pct"/>
            <w:vAlign w:val="center"/>
          </w:tcPr>
          <w:p>
            <w:pPr>
              <w:widowControl w:val="0"/>
              <w:adjustRightInd w:val="0"/>
              <w:snapToGrid w:val="0"/>
              <w:spacing w:line="240" w:lineRule="auto"/>
              <w:ind w:firstLine="0" w:firstLineChars="0"/>
              <w:jc w:val="center"/>
              <w:rPr>
                <w:rFonts w:hint="eastAsia" w:cs="Times New Roman"/>
                <w:bCs/>
                <w:sz w:val="21"/>
                <w:szCs w:val="21"/>
                <w:lang w:eastAsia="zh-CN"/>
              </w:rPr>
            </w:pPr>
            <w:r>
              <w:rPr>
                <w:rFonts w:hint="eastAsia" w:cs="Times New Roman"/>
                <w:bCs/>
                <w:sz w:val="21"/>
                <w:szCs w:val="21"/>
                <w:lang w:eastAsia="zh-CN"/>
              </w:rPr>
              <w:t>罐区</w:t>
            </w:r>
          </w:p>
        </w:tc>
        <w:tc>
          <w:tcPr>
            <w:tcW w:w="2525" w:type="pct"/>
            <w:gridSpan w:val="2"/>
            <w:vAlign w:val="center"/>
          </w:tcPr>
          <w:p>
            <w:pPr>
              <w:pStyle w:val="35"/>
              <w:widowControl w:val="0"/>
              <w:spacing w:before="0" w:beforeAutospacing="0" w:after="0" w:afterAutospacing="0"/>
              <w:jc w:val="center"/>
              <w:rPr>
                <w:rFonts w:hint="eastAsia" w:ascii="Times New Roman" w:hAnsi="Times New Roman" w:cs="Times New Roman"/>
                <w:kern w:val="2"/>
                <w:lang w:eastAsia="zh-CN"/>
              </w:rPr>
            </w:pPr>
            <w:r>
              <w:rPr>
                <w:rFonts w:hint="eastAsia" w:ascii="Times New Roman" w:hAnsi="Times New Roman" w:cs="Times New Roman"/>
                <w:kern w:val="2"/>
                <w:lang w:eastAsia="zh-CN"/>
              </w:rPr>
              <w:t>氯代特戊酰氯储罐2个、特戊酰</w:t>
            </w:r>
          </w:p>
          <w:p>
            <w:pPr>
              <w:pStyle w:val="35"/>
              <w:widowControl w:val="0"/>
              <w:spacing w:before="0" w:beforeAutospacing="0" w:after="0" w:afterAutospacing="0"/>
              <w:jc w:val="center"/>
              <w:rPr>
                <w:rFonts w:hint="eastAsia" w:ascii="Times New Roman" w:hAnsi="Times New Roman" w:cs="Times New Roman"/>
                <w:kern w:val="2"/>
                <w:lang w:eastAsia="zh-CN"/>
              </w:rPr>
            </w:pPr>
            <w:r>
              <w:rPr>
                <w:rFonts w:hint="eastAsia" w:ascii="Times New Roman" w:hAnsi="Times New Roman" w:cs="Times New Roman"/>
                <w:kern w:val="2"/>
                <w:lang w:eastAsia="zh-CN"/>
              </w:rPr>
              <w:t>氯储罐1个，输送泵4台</w:t>
            </w:r>
          </w:p>
        </w:tc>
        <w:tc>
          <w:tcPr>
            <w:tcW w:w="831" w:type="pct"/>
            <w:vMerge w:val="restart"/>
            <w:vAlign w:val="center"/>
          </w:tcPr>
          <w:p>
            <w:pPr>
              <w:pStyle w:val="89"/>
              <w:ind w:firstLine="0" w:firstLineChars="0"/>
              <w:jc w:val="center"/>
              <w:rPr>
                <w:rFonts w:cs="Times New Roman"/>
                <w:sz w:val="21"/>
                <w:szCs w:val="21"/>
              </w:rPr>
            </w:pPr>
            <w:r>
              <w:rPr>
                <w:rFonts w:hint="eastAsia"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17" w:type="pct"/>
            <w:vMerge w:val="continue"/>
            <w:vAlign w:val="center"/>
          </w:tcPr>
          <w:p>
            <w:pPr>
              <w:pStyle w:val="35"/>
              <w:widowControl w:val="0"/>
              <w:spacing w:before="0" w:beforeAutospacing="0" w:after="0" w:afterAutospacing="0"/>
              <w:jc w:val="center"/>
            </w:pPr>
          </w:p>
        </w:tc>
        <w:tc>
          <w:tcPr>
            <w:tcW w:w="1225" w:type="pct"/>
            <w:vAlign w:val="center"/>
          </w:tcPr>
          <w:p>
            <w:pPr>
              <w:widowControl w:val="0"/>
              <w:adjustRightInd w:val="0"/>
              <w:snapToGrid w:val="0"/>
              <w:spacing w:line="240" w:lineRule="auto"/>
              <w:ind w:firstLine="0" w:firstLineChars="0"/>
              <w:jc w:val="center"/>
              <w:rPr>
                <w:rFonts w:hint="eastAsia" w:cs="Times New Roman"/>
                <w:bCs/>
                <w:sz w:val="21"/>
                <w:szCs w:val="21"/>
                <w:lang w:eastAsia="zh-CN"/>
              </w:rPr>
            </w:pPr>
            <w:r>
              <w:rPr>
                <w:rFonts w:hint="eastAsia" w:cs="Times New Roman"/>
                <w:bCs/>
                <w:sz w:val="21"/>
                <w:szCs w:val="21"/>
                <w:lang w:eastAsia="zh-CN"/>
              </w:rPr>
              <w:t>办公</w:t>
            </w:r>
          </w:p>
        </w:tc>
        <w:tc>
          <w:tcPr>
            <w:tcW w:w="2525" w:type="pct"/>
            <w:gridSpan w:val="2"/>
            <w:vAlign w:val="center"/>
          </w:tcPr>
          <w:p>
            <w:pPr>
              <w:pStyle w:val="35"/>
              <w:widowControl w:val="0"/>
              <w:spacing w:before="0" w:beforeAutospacing="0" w:after="0" w:afterAutospacing="0"/>
              <w:jc w:val="center"/>
              <w:rPr>
                <w:rFonts w:hint="eastAsia" w:ascii="Times New Roman" w:hAnsi="Times New Roman" w:cs="Times New Roman"/>
                <w:kern w:val="2"/>
                <w:lang w:eastAsia="zh-CN"/>
              </w:rPr>
            </w:pPr>
            <w:r>
              <w:rPr>
                <w:rFonts w:hint="eastAsia" w:ascii="Times New Roman" w:hAnsi="Times New Roman" w:cs="Times New Roman"/>
                <w:kern w:val="2"/>
                <w:lang w:eastAsia="zh-CN"/>
              </w:rPr>
              <w:t>依托现有办公生活设施</w:t>
            </w:r>
          </w:p>
        </w:tc>
        <w:tc>
          <w:tcPr>
            <w:tcW w:w="831" w:type="pct"/>
            <w:vMerge w:val="continue"/>
            <w:vAlign w:val="center"/>
          </w:tcPr>
          <w:p>
            <w:pPr>
              <w:pStyle w:val="35"/>
              <w:widowControl w:val="0"/>
              <w:spacing w:before="0" w:beforeAutospacing="0" w:after="0" w:afterAutospacing="0"/>
              <w:jc w:val="center"/>
              <w:rPr>
                <w:rFonts w:hint="eastAsia" w:ascii="Times New Roman" w:hAnsi="Times New Roman" w:cs="Times New Roman"/>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restart"/>
            <w:vAlign w:val="center"/>
          </w:tcPr>
          <w:p>
            <w:pPr>
              <w:ind w:firstLine="0" w:firstLineChars="0"/>
              <w:jc w:val="center"/>
              <w:rPr>
                <w:rFonts w:cs="Times New Roman"/>
                <w:color w:val="000000" w:themeColor="text1"/>
                <w:sz w:val="21"/>
                <w:szCs w:val="21"/>
                <w14:textFill>
                  <w14:solidFill>
                    <w14:schemeClr w14:val="tx1"/>
                  </w14:solidFill>
                </w14:textFill>
              </w:rPr>
            </w:pPr>
            <w:r>
              <w:rPr>
                <w:rFonts w:cs="Times New Roman"/>
                <w:sz w:val="21"/>
                <w:szCs w:val="21"/>
              </w:rPr>
              <w:t>公用工程</w:t>
            </w:r>
          </w:p>
        </w:tc>
        <w:tc>
          <w:tcPr>
            <w:tcW w:w="1225" w:type="pct"/>
            <w:vAlign w:val="center"/>
          </w:tcPr>
          <w:p>
            <w:pPr>
              <w:widowControl w:val="0"/>
              <w:adjustRightInd w:val="0"/>
              <w:snapToGrid w:val="0"/>
              <w:spacing w:line="240" w:lineRule="auto"/>
              <w:ind w:firstLine="0" w:firstLineChars="0"/>
              <w:jc w:val="center"/>
              <w:rPr>
                <w:rFonts w:hint="eastAsia" w:cs="Times New Roman"/>
                <w:bCs/>
                <w:sz w:val="21"/>
                <w:szCs w:val="21"/>
                <w:lang w:eastAsia="zh-CN"/>
              </w:rPr>
            </w:pPr>
            <w:r>
              <w:rPr>
                <w:rFonts w:cs="Times New Roman"/>
                <w:bCs/>
                <w:sz w:val="21"/>
                <w:szCs w:val="21"/>
              </w:rPr>
              <w:t>供</w:t>
            </w:r>
            <w:r>
              <w:rPr>
                <w:rFonts w:hint="eastAsia" w:cs="Times New Roman"/>
                <w:bCs/>
                <w:sz w:val="21"/>
                <w:szCs w:val="21"/>
                <w:lang w:eastAsia="zh-CN"/>
              </w:rPr>
              <w:t>水</w:t>
            </w:r>
          </w:p>
        </w:tc>
        <w:tc>
          <w:tcPr>
            <w:tcW w:w="2525" w:type="pct"/>
            <w:gridSpan w:val="2"/>
            <w:vAlign w:val="center"/>
          </w:tcPr>
          <w:p>
            <w:pPr>
              <w:pStyle w:val="35"/>
              <w:widowControl w:val="0"/>
              <w:spacing w:before="0" w:beforeAutospacing="0" w:after="0" w:afterAutospacing="0"/>
              <w:jc w:val="center"/>
              <w:rPr>
                <w:rFonts w:hint="eastAsia" w:ascii="Times New Roman" w:hAnsi="Times New Roman" w:cs="Times New Roman"/>
                <w:kern w:val="2"/>
                <w:lang w:eastAsia="zh-CN"/>
              </w:rPr>
            </w:pPr>
            <w:r>
              <w:rPr>
                <w:rFonts w:hint="eastAsia" w:ascii="Times New Roman" w:hAnsi="Times New Roman" w:cs="Times New Roman"/>
                <w:kern w:val="2"/>
                <w:lang w:eastAsia="zh-CN"/>
              </w:rPr>
              <w:t>项目不用水</w:t>
            </w:r>
          </w:p>
        </w:tc>
        <w:tc>
          <w:tcPr>
            <w:tcW w:w="831" w:type="pct"/>
            <w:vAlign w:val="center"/>
          </w:tcPr>
          <w:p>
            <w:pPr>
              <w:pStyle w:val="89"/>
              <w:ind w:firstLine="0" w:firstLineChars="0"/>
              <w:jc w:val="center"/>
              <w:rPr>
                <w:rFonts w:cs="Times New Roman"/>
                <w:sz w:val="21"/>
                <w:szCs w:val="21"/>
              </w:rPr>
            </w:pPr>
            <w:r>
              <w:rPr>
                <w:rFonts w:hint="eastAsia"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vAlign w:val="center"/>
          </w:tcPr>
          <w:p>
            <w:pPr>
              <w:pStyle w:val="35"/>
              <w:widowControl w:val="0"/>
              <w:spacing w:before="0" w:beforeAutospacing="0" w:after="0" w:afterAutospacing="0"/>
              <w:jc w:val="center"/>
              <w:rPr>
                <w:rFonts w:ascii="Times New Roman" w:hAnsi="Times New Roman" w:cs="Times New Roman"/>
                <w:color w:val="000000" w:themeColor="text1"/>
                <w:kern w:val="2"/>
                <w14:textFill>
                  <w14:solidFill>
                    <w14:schemeClr w14:val="tx1"/>
                  </w14:solidFill>
                </w14:textFill>
              </w:rPr>
            </w:pPr>
          </w:p>
        </w:tc>
        <w:tc>
          <w:tcPr>
            <w:tcW w:w="1225" w:type="pct"/>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供电</w:t>
            </w:r>
          </w:p>
        </w:tc>
        <w:tc>
          <w:tcPr>
            <w:tcW w:w="2525" w:type="pct"/>
            <w:gridSpan w:val="2"/>
            <w:vAlign w:val="center"/>
          </w:tcPr>
          <w:p>
            <w:pPr>
              <w:pStyle w:val="35"/>
              <w:widowControl w:val="0"/>
              <w:spacing w:before="0" w:beforeAutospacing="0" w:after="0" w:afterAutospacing="0"/>
              <w:jc w:val="center"/>
              <w:rPr>
                <w:rFonts w:hint="eastAsia" w:ascii="Times New Roman" w:hAnsi="Times New Roman" w:cs="Times New Roman"/>
                <w:kern w:val="2"/>
                <w:lang w:eastAsia="zh-CN"/>
              </w:rPr>
            </w:pPr>
            <w:r>
              <w:rPr>
                <w:rFonts w:hint="eastAsia" w:ascii="Times New Roman" w:hAnsi="Times New Roman" w:cs="Times New Roman"/>
                <w:kern w:val="2"/>
                <w:lang w:eastAsia="zh-CN"/>
              </w:rPr>
              <w:t>项目用电依托厂区现有供电设施</w:t>
            </w:r>
          </w:p>
        </w:tc>
        <w:tc>
          <w:tcPr>
            <w:tcW w:w="831" w:type="pct"/>
            <w:vAlign w:val="center"/>
          </w:tcPr>
          <w:p>
            <w:pPr>
              <w:pStyle w:val="89"/>
              <w:ind w:firstLine="0" w:firstLineChars="0"/>
              <w:jc w:val="center"/>
              <w:rPr>
                <w:rFonts w:cs="Times New Roman"/>
                <w:sz w:val="21"/>
                <w:szCs w:val="21"/>
              </w:rPr>
            </w:pPr>
            <w:r>
              <w:rPr>
                <w:rFonts w:hint="eastAsia"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417" w:type="pct"/>
            <w:vMerge w:val="restart"/>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环保工程</w:t>
            </w:r>
          </w:p>
        </w:tc>
        <w:tc>
          <w:tcPr>
            <w:tcW w:w="1225" w:type="pct"/>
            <w:vAlign w:val="center"/>
          </w:tcPr>
          <w:p>
            <w:pPr>
              <w:widowControl w:val="0"/>
              <w:adjustRightInd w:val="0"/>
              <w:snapToGrid w:val="0"/>
              <w:spacing w:line="240" w:lineRule="auto"/>
              <w:ind w:firstLine="0" w:firstLineChars="0"/>
              <w:jc w:val="center"/>
              <w:rPr>
                <w:rFonts w:hint="eastAsia" w:cs="Times New Roman"/>
                <w:bCs/>
                <w:sz w:val="21"/>
                <w:szCs w:val="21"/>
                <w:lang w:eastAsia="zh-CN"/>
              </w:rPr>
            </w:pPr>
            <w:r>
              <w:rPr>
                <w:rFonts w:cs="Times New Roman"/>
                <w:color w:val="000000" w:themeColor="text1"/>
                <w:sz w:val="21"/>
                <w:szCs w:val="21"/>
                <w14:textFill>
                  <w14:solidFill>
                    <w14:schemeClr w14:val="tx1"/>
                  </w14:solidFill>
                </w14:textFill>
              </w:rPr>
              <w:t>废气</w:t>
            </w:r>
            <w:r>
              <w:rPr>
                <w:rFonts w:hint="eastAsia" w:cs="Times New Roman"/>
                <w:color w:val="000000" w:themeColor="text1"/>
                <w:sz w:val="21"/>
                <w:szCs w:val="21"/>
                <w:lang w:eastAsia="zh-CN"/>
                <w14:textFill>
                  <w14:solidFill>
                    <w14:schemeClr w14:val="tx1"/>
                  </w14:solidFill>
                </w14:textFill>
              </w:rPr>
              <w:t>处理</w:t>
            </w:r>
          </w:p>
        </w:tc>
        <w:tc>
          <w:tcPr>
            <w:tcW w:w="2525" w:type="pct"/>
            <w:gridSpan w:val="2"/>
            <w:vAlign w:val="center"/>
          </w:tcPr>
          <w:p>
            <w:pPr>
              <w:pStyle w:val="35"/>
              <w:widowControl w:val="0"/>
              <w:spacing w:before="0" w:beforeAutospacing="0" w:after="0" w:afterAutospacing="0"/>
              <w:jc w:val="center"/>
              <w:rPr>
                <w:rFonts w:hint="eastAsia" w:ascii="Times New Roman" w:hAnsi="Times New Roman" w:cs="Times New Roman"/>
                <w:kern w:val="2"/>
                <w:lang w:val="zh-CN" w:eastAsia="zh-CN"/>
              </w:rPr>
            </w:pPr>
            <w:r>
              <w:rPr>
                <w:rFonts w:hint="eastAsia" w:ascii="Times New Roman" w:hAnsi="Times New Roman" w:cs="Times New Roman"/>
                <w:kern w:val="2"/>
                <w:lang w:val="zh-CN" w:eastAsia="zh-CN"/>
              </w:rPr>
              <w:t>灌装废气经负压收集进入厂区RTO装置处理，达标废气经</w:t>
            </w:r>
          </w:p>
          <w:p>
            <w:pPr>
              <w:pStyle w:val="35"/>
              <w:widowControl w:val="0"/>
              <w:spacing w:before="0" w:beforeAutospacing="0" w:after="0" w:afterAutospacing="0"/>
              <w:jc w:val="center"/>
              <w:rPr>
                <w:rFonts w:hint="eastAsia" w:ascii="Times New Roman" w:hAnsi="Times New Roman" w:cs="Times New Roman"/>
                <w:kern w:val="2"/>
                <w:lang w:val="zh-CN" w:eastAsia="zh-CN"/>
              </w:rPr>
            </w:pPr>
            <w:r>
              <w:rPr>
                <w:rFonts w:hint="eastAsia" w:ascii="Times New Roman" w:hAnsi="Times New Roman" w:cs="Times New Roman"/>
                <w:kern w:val="2"/>
                <w:lang w:val="zh-CN" w:eastAsia="zh-CN"/>
              </w:rPr>
              <w:t>25m高排气筒排放</w:t>
            </w:r>
          </w:p>
        </w:tc>
        <w:tc>
          <w:tcPr>
            <w:tcW w:w="831" w:type="pct"/>
            <w:vAlign w:val="center"/>
          </w:tcPr>
          <w:p>
            <w:pPr>
              <w:pStyle w:val="89"/>
              <w:ind w:firstLine="0" w:firstLineChars="0"/>
              <w:jc w:val="both"/>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225" w:type="pct"/>
            <w:vAlign w:val="center"/>
          </w:tcPr>
          <w:p>
            <w:pPr>
              <w:widowControl w:val="0"/>
              <w:adjustRightInd w:val="0"/>
              <w:snapToGrid w:val="0"/>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废水处理</w:t>
            </w:r>
          </w:p>
        </w:tc>
        <w:tc>
          <w:tcPr>
            <w:tcW w:w="2525" w:type="pct"/>
            <w:gridSpan w:val="2"/>
            <w:vAlign w:val="center"/>
          </w:tcPr>
          <w:p>
            <w:pPr>
              <w:pStyle w:val="35"/>
              <w:widowControl w:val="0"/>
              <w:spacing w:before="0" w:beforeAutospacing="0" w:after="0" w:afterAutospacing="0"/>
              <w:jc w:val="center"/>
              <w:rPr>
                <w:rFonts w:hint="eastAsia" w:ascii="Times New Roman" w:hAnsi="Times New Roman" w:cs="Times New Roman"/>
                <w:kern w:val="2"/>
                <w:lang w:val="en-US" w:eastAsia="zh-CN"/>
              </w:rPr>
            </w:pPr>
            <w:r>
              <w:rPr>
                <w:rFonts w:hint="eastAsia" w:ascii="Times New Roman" w:hAnsi="Times New Roman" w:cs="Times New Roman"/>
                <w:kern w:val="2"/>
                <w:lang w:val="en-US" w:eastAsia="zh-CN"/>
              </w:rPr>
              <w:t>项目不产生废水</w:t>
            </w:r>
          </w:p>
        </w:tc>
        <w:tc>
          <w:tcPr>
            <w:tcW w:w="831" w:type="pct"/>
            <w:vAlign w:val="center"/>
          </w:tcPr>
          <w:p>
            <w:pPr>
              <w:pStyle w:val="35"/>
              <w:widowControl w:val="0"/>
              <w:spacing w:before="0" w:beforeAutospacing="0" w:after="0" w:afterAutospacing="0"/>
              <w:ind w:firstLine="0" w:firstLineChars="0"/>
              <w:jc w:val="center"/>
              <w:rPr>
                <w:rFonts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eastAsia"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225" w:type="pct"/>
            <w:vAlign w:val="center"/>
          </w:tcPr>
          <w:p>
            <w:pPr>
              <w:widowControl w:val="0"/>
              <w:adjustRightInd w:val="0"/>
              <w:snapToGrid w:val="0"/>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固废处理</w:t>
            </w:r>
          </w:p>
        </w:tc>
        <w:tc>
          <w:tcPr>
            <w:tcW w:w="2525" w:type="pct"/>
            <w:gridSpan w:val="2"/>
            <w:vAlign w:val="center"/>
          </w:tcPr>
          <w:p>
            <w:pPr>
              <w:pStyle w:val="35"/>
              <w:widowControl w:val="0"/>
              <w:spacing w:before="0" w:beforeAutospacing="0" w:after="0" w:afterAutospacing="0"/>
              <w:jc w:val="center"/>
              <w:rPr>
                <w:rFonts w:hint="eastAsia" w:ascii="Times New Roman" w:hAnsi="Times New Roman" w:cs="Times New Roman"/>
                <w:kern w:val="2"/>
                <w:lang w:val="en-US" w:eastAsia="zh-CN"/>
              </w:rPr>
            </w:pPr>
            <w:r>
              <w:rPr>
                <w:rFonts w:hint="eastAsia" w:ascii="Times New Roman" w:hAnsi="Times New Roman" w:cs="Times New Roman"/>
                <w:kern w:val="2"/>
                <w:lang w:val="en-US" w:eastAsia="zh-CN"/>
              </w:rPr>
              <w:t>无</w:t>
            </w:r>
          </w:p>
        </w:tc>
        <w:tc>
          <w:tcPr>
            <w:tcW w:w="831" w:type="pct"/>
            <w:vAlign w:val="center"/>
          </w:tcPr>
          <w:p>
            <w:pPr>
              <w:pStyle w:val="35"/>
              <w:widowControl w:val="0"/>
              <w:spacing w:before="0" w:beforeAutospacing="0" w:after="0" w:afterAutospacing="0"/>
              <w:ind w:firstLine="0" w:firstLineChars="0"/>
              <w:jc w:val="center"/>
              <w:rPr>
                <w:rFonts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eastAsia"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225" w:type="pct"/>
            <w:vAlign w:val="center"/>
          </w:tcPr>
          <w:p>
            <w:pPr>
              <w:widowControl w:val="0"/>
              <w:adjustRightInd w:val="0"/>
              <w:snapToGrid w:val="0"/>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噪声处理</w:t>
            </w:r>
          </w:p>
        </w:tc>
        <w:tc>
          <w:tcPr>
            <w:tcW w:w="2525" w:type="pct"/>
            <w:gridSpan w:val="2"/>
            <w:vAlign w:val="center"/>
          </w:tcPr>
          <w:p>
            <w:pPr>
              <w:pStyle w:val="35"/>
              <w:widowControl w:val="0"/>
              <w:spacing w:before="0" w:beforeAutospacing="0" w:after="0" w:afterAutospacing="0"/>
              <w:jc w:val="center"/>
              <w:rPr>
                <w:rFonts w:hint="eastAsia" w:ascii="Times New Roman" w:hAnsi="Times New Roman" w:cs="Times New Roman"/>
                <w:kern w:val="2"/>
                <w:lang w:val="zh-CN" w:eastAsia="zh-CN"/>
              </w:rPr>
            </w:pPr>
            <w:r>
              <w:rPr>
                <w:rFonts w:hint="eastAsia" w:ascii="Times New Roman" w:hAnsi="Times New Roman" w:cs="Times New Roman"/>
                <w:kern w:val="2"/>
                <w:lang w:val="zh-CN" w:eastAsia="zh-CN"/>
              </w:rPr>
              <w:t>在密闭车间内作业，选购低噪设备、采取基础减振措施</w:t>
            </w:r>
          </w:p>
        </w:tc>
        <w:tc>
          <w:tcPr>
            <w:tcW w:w="831" w:type="pct"/>
            <w:vAlign w:val="center"/>
          </w:tcPr>
          <w:p>
            <w:pPr>
              <w:pStyle w:val="35"/>
              <w:widowControl w:val="0"/>
              <w:spacing w:before="0" w:beforeAutospacing="0" w:after="0" w:afterAutospacing="0"/>
              <w:ind w:firstLine="0" w:firstLineChars="0"/>
              <w:jc w:val="center"/>
              <w:rPr>
                <w:rFonts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eastAsia" w:cs="Times New Roman"/>
                <w:sz w:val="21"/>
                <w:szCs w:val="21"/>
              </w:rPr>
              <w:t>与环评一致</w:t>
            </w:r>
          </w:p>
        </w:tc>
      </w:tr>
    </w:tbl>
    <w:p>
      <w:pPr>
        <w:pStyle w:val="9"/>
        <w:rPr>
          <w:rFonts w:cs="Times New Roman" w:eastAsiaTheme="minorEastAsia"/>
        </w:rPr>
      </w:pPr>
      <w:bookmarkStart w:id="33" w:name="_Toc7731_WPSOffice_Level2"/>
      <w:bookmarkStart w:id="34" w:name="_Toc21120"/>
      <w:r>
        <w:rPr>
          <w:rFonts w:cs="Times New Roman" w:eastAsiaTheme="minorEastAsia"/>
        </w:rPr>
        <w:t>生产设备</w:t>
      </w:r>
      <w:bookmarkEnd w:id="33"/>
      <w:bookmarkEnd w:id="34"/>
    </w:p>
    <w:p>
      <w:pPr>
        <w:widowControl w:val="0"/>
        <w:ind w:firstLine="480"/>
        <w:rPr>
          <w:rFonts w:cs="Times New Roman" w:eastAsiaTheme="minorEastAsia"/>
        </w:rPr>
      </w:pPr>
      <w:r>
        <w:rPr>
          <w:rFonts w:cs="Times New Roman" w:eastAsiaTheme="minorEastAsia"/>
        </w:rPr>
        <w:t>生产设备的实际建设与环评内容对照情况见下表：</w:t>
      </w:r>
    </w:p>
    <w:p>
      <w:pPr>
        <w:widowControl w:val="0"/>
        <w:spacing w:line="480" w:lineRule="exact"/>
        <w:ind w:firstLine="0" w:firstLineChars="0"/>
        <w:jc w:val="center"/>
        <w:rPr>
          <w:rFonts w:cs="Times New Roman" w:eastAsiaTheme="minorEastAsia"/>
          <w:szCs w:val="24"/>
        </w:rPr>
      </w:pPr>
      <w:bookmarkStart w:id="35" w:name="_Toc26359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2.4</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2</w:t>
      </w:r>
      <w:r>
        <w:rPr>
          <w:rFonts w:cs="Times New Roman" w:eastAsiaTheme="minorEastAsia"/>
        </w:rPr>
        <w:fldChar w:fldCharType="end"/>
      </w:r>
      <w:r>
        <w:rPr>
          <w:rFonts w:cs="Times New Roman" w:eastAsiaTheme="minorEastAsia"/>
        </w:rPr>
        <w:t xml:space="preserve">  </w:t>
      </w:r>
      <w:r>
        <w:rPr>
          <w:rFonts w:cs="Times New Roman" w:eastAsiaTheme="minorEastAsia"/>
          <w:szCs w:val="24"/>
        </w:rPr>
        <w:t>生产设备清单</w:t>
      </w:r>
      <w:bookmarkEnd w:id="35"/>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660"/>
        <w:gridCol w:w="2000"/>
        <w:gridCol w:w="1763"/>
        <w:gridCol w:w="1763"/>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类型</w:t>
            </w:r>
          </w:p>
        </w:tc>
        <w:tc>
          <w:tcPr>
            <w:tcW w:w="387" w:type="pct"/>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序号</w:t>
            </w:r>
          </w:p>
        </w:tc>
        <w:tc>
          <w:tcPr>
            <w:tcW w:w="1173" w:type="pct"/>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设备名称</w:t>
            </w:r>
          </w:p>
        </w:tc>
        <w:tc>
          <w:tcPr>
            <w:tcW w:w="1034" w:type="pct"/>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环评数量</w:t>
            </w:r>
            <w:r>
              <w:rPr>
                <w:rFonts w:cs="Times New Roman"/>
                <w:color w:val="000000"/>
                <w:sz w:val="21"/>
                <w:szCs w:val="21"/>
              </w:rPr>
              <w:t>（台/</w:t>
            </w:r>
            <w:r>
              <w:rPr>
                <w:rFonts w:hint="eastAsia" w:cs="Times New Roman"/>
                <w:color w:val="000000"/>
                <w:sz w:val="21"/>
                <w:szCs w:val="21"/>
                <w:lang w:eastAsia="zh-CN"/>
              </w:rPr>
              <w:t>个</w:t>
            </w:r>
            <w:r>
              <w:rPr>
                <w:rFonts w:cs="Times New Roman"/>
                <w:color w:val="000000"/>
                <w:sz w:val="21"/>
                <w:szCs w:val="21"/>
              </w:rPr>
              <w:t>）</w:t>
            </w:r>
          </w:p>
        </w:tc>
        <w:tc>
          <w:tcPr>
            <w:tcW w:w="1034" w:type="pct"/>
            <w:vAlign w:val="center"/>
          </w:tcPr>
          <w:p>
            <w:pPr>
              <w:widowControl w:val="0"/>
              <w:adjustRightInd w:val="0"/>
              <w:snapToGrid w:val="0"/>
              <w:spacing w:line="240" w:lineRule="auto"/>
              <w:ind w:firstLine="0" w:firstLineChars="0"/>
              <w:jc w:val="both"/>
              <w:rPr>
                <w:rFonts w:cs="Times New Roman"/>
                <w:sz w:val="21"/>
                <w:szCs w:val="21"/>
              </w:rPr>
            </w:pPr>
            <w:r>
              <w:rPr>
                <w:rFonts w:hint="eastAsia" w:cs="Times New Roman"/>
                <w:sz w:val="21"/>
                <w:szCs w:val="21"/>
                <w:lang w:eastAsia="zh-CN"/>
              </w:rPr>
              <w:t>实际</w:t>
            </w:r>
            <w:r>
              <w:rPr>
                <w:rFonts w:cs="Times New Roman"/>
                <w:sz w:val="21"/>
                <w:szCs w:val="21"/>
              </w:rPr>
              <w:t>数量</w:t>
            </w:r>
            <w:r>
              <w:rPr>
                <w:rFonts w:cs="Times New Roman"/>
                <w:color w:val="000000"/>
                <w:sz w:val="21"/>
                <w:szCs w:val="21"/>
              </w:rPr>
              <w:t>（台/</w:t>
            </w:r>
            <w:r>
              <w:rPr>
                <w:rFonts w:hint="eastAsia" w:cs="Times New Roman"/>
                <w:color w:val="000000"/>
                <w:sz w:val="21"/>
                <w:szCs w:val="21"/>
                <w:lang w:eastAsia="zh-CN"/>
              </w:rPr>
              <w:t>个</w:t>
            </w:r>
            <w:r>
              <w:rPr>
                <w:rFonts w:cs="Times New Roman"/>
                <w:color w:val="000000"/>
                <w:sz w:val="21"/>
                <w:szCs w:val="21"/>
              </w:rPr>
              <w:t>）</w:t>
            </w:r>
          </w:p>
        </w:tc>
        <w:tc>
          <w:tcPr>
            <w:tcW w:w="896" w:type="pct"/>
            <w:vAlign w:val="center"/>
          </w:tcPr>
          <w:p>
            <w:pPr>
              <w:widowControl w:val="0"/>
              <w:adjustRightInd w:val="0"/>
              <w:snapToGrid w:val="0"/>
              <w:spacing w:line="240" w:lineRule="auto"/>
              <w:ind w:firstLine="0" w:firstLineChars="0"/>
              <w:jc w:val="center"/>
              <w:rPr>
                <w:rFonts w:cs="Times New Roman"/>
                <w:sz w:val="21"/>
                <w:szCs w:val="21"/>
              </w:rPr>
            </w:pPr>
            <w:r>
              <w:rPr>
                <w:rFonts w:cs="Times New Roman"/>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72" w:type="pct"/>
            <w:vMerge w:val="restart"/>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生产设备</w:t>
            </w:r>
          </w:p>
        </w:tc>
        <w:tc>
          <w:tcPr>
            <w:tcW w:w="387" w:type="pct"/>
            <w:vAlign w:val="center"/>
          </w:tcPr>
          <w:p>
            <w:pPr>
              <w:pStyle w:val="89"/>
              <w:widowControl w:val="0"/>
              <w:numPr>
                <w:ilvl w:val="0"/>
                <w:numId w:val="5"/>
              </w:numPr>
              <w:adjustRightInd w:val="0"/>
              <w:snapToGrid w:val="0"/>
              <w:spacing w:line="240" w:lineRule="auto"/>
              <w:ind w:left="0" w:firstLine="0" w:firstLineChars="0"/>
              <w:jc w:val="center"/>
              <w:rPr>
                <w:rFonts w:cs="Times New Roman"/>
                <w:kern w:val="0"/>
                <w:sz w:val="21"/>
                <w:szCs w:val="21"/>
              </w:rPr>
            </w:pPr>
          </w:p>
        </w:tc>
        <w:tc>
          <w:tcPr>
            <w:tcW w:w="1173" w:type="pct"/>
            <w:vAlign w:val="center"/>
          </w:tcPr>
          <w:p>
            <w:pPr>
              <w:widowControl w:val="0"/>
              <w:tabs>
                <w:tab w:val="center" w:pos="0"/>
              </w:tabs>
              <w:adjustRightInd w:val="0"/>
              <w:snapToGrid w:val="0"/>
              <w:spacing w:line="240" w:lineRule="auto"/>
              <w:ind w:firstLine="0" w:firstLineChars="0"/>
              <w:jc w:val="center"/>
              <w:rPr>
                <w:rFonts w:cs="Times New Roman"/>
                <w:sz w:val="21"/>
                <w:szCs w:val="21"/>
              </w:rPr>
            </w:pPr>
            <w:r>
              <w:rPr>
                <w:rFonts w:hint="eastAsia" w:cs="Times New Roman"/>
                <w:sz w:val="21"/>
                <w:szCs w:val="21"/>
              </w:rPr>
              <w:t>灌装机</w:t>
            </w:r>
          </w:p>
        </w:tc>
        <w:tc>
          <w:tcPr>
            <w:tcW w:w="1034" w:type="pct"/>
            <w:vAlign w:val="center"/>
          </w:tcPr>
          <w:p>
            <w:pPr>
              <w:pStyle w:val="95"/>
              <w:adjustRightInd w:val="0"/>
              <w:snapToGrid w:val="0"/>
              <w:spacing w:line="240" w:lineRule="auto"/>
              <w:ind w:firstLine="0" w:firstLineChars="0"/>
              <w:jc w:val="center"/>
              <w:rPr>
                <w:rFonts w:hint="eastAsia" w:eastAsia="宋体" w:cs="Times New Roman"/>
                <w:kern w:val="2"/>
                <w:sz w:val="21"/>
                <w:szCs w:val="21"/>
                <w:lang w:val="en-US" w:eastAsia="zh-CN"/>
              </w:rPr>
            </w:pPr>
            <w:r>
              <w:rPr>
                <w:rFonts w:hint="eastAsia" w:cs="Times New Roman"/>
                <w:kern w:val="2"/>
                <w:sz w:val="21"/>
                <w:szCs w:val="21"/>
                <w:lang w:val="en-US" w:eastAsia="zh-CN"/>
              </w:rPr>
              <w:t>1</w:t>
            </w:r>
          </w:p>
        </w:tc>
        <w:tc>
          <w:tcPr>
            <w:tcW w:w="1763" w:type="dxa"/>
            <w:vAlign w:val="center"/>
          </w:tcPr>
          <w:p>
            <w:pPr>
              <w:pStyle w:val="95"/>
              <w:adjustRightInd w:val="0"/>
              <w:snapToGrid w:val="0"/>
              <w:spacing w:line="240" w:lineRule="auto"/>
              <w:ind w:firstLine="0" w:firstLineChars="0"/>
              <w:jc w:val="center"/>
              <w:rPr>
                <w:rFonts w:hint="eastAsia" w:ascii="Times New Roman" w:hAnsi="Times New Roman" w:eastAsia="宋体" w:cs="Times New Roman"/>
                <w:snapToGrid w:val="0"/>
                <w:kern w:val="2"/>
                <w:sz w:val="21"/>
                <w:szCs w:val="21"/>
                <w:lang w:val="en-US" w:eastAsia="zh-CN" w:bidi="ar-SA"/>
              </w:rPr>
            </w:pPr>
            <w:r>
              <w:rPr>
                <w:rFonts w:hint="eastAsia" w:cs="Times New Roman"/>
                <w:kern w:val="2"/>
                <w:sz w:val="21"/>
                <w:szCs w:val="21"/>
                <w:lang w:val="en-US" w:eastAsia="zh-CN"/>
              </w:rPr>
              <w:t>1</w:t>
            </w:r>
          </w:p>
        </w:tc>
        <w:tc>
          <w:tcPr>
            <w:tcW w:w="896" w:type="pct"/>
            <w:vAlign w:val="center"/>
          </w:tcPr>
          <w:p>
            <w:pPr>
              <w:pStyle w:val="95"/>
              <w:adjustRightInd w:val="0"/>
              <w:snapToGrid w:val="0"/>
              <w:spacing w:line="240" w:lineRule="auto"/>
              <w:ind w:firstLine="0" w:firstLineChars="0"/>
              <w:jc w:val="center"/>
              <w:rPr>
                <w:rFonts w:cs="Times New Roman"/>
                <w:kern w:val="2"/>
                <w:sz w:val="21"/>
                <w:szCs w:val="21"/>
              </w:rPr>
            </w:pPr>
            <w:r>
              <w:rPr>
                <w:rFonts w:cs="Times New Roman"/>
                <w:kern w:val="2"/>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vAlign w:val="center"/>
          </w:tcPr>
          <w:p>
            <w:pPr>
              <w:widowControl w:val="0"/>
              <w:adjustRightInd w:val="0"/>
              <w:snapToGrid w:val="0"/>
              <w:spacing w:line="240" w:lineRule="auto"/>
              <w:ind w:firstLine="0" w:firstLineChars="0"/>
              <w:jc w:val="center"/>
              <w:rPr>
                <w:rFonts w:cs="Times New Roman"/>
                <w:kern w:val="0"/>
                <w:sz w:val="21"/>
                <w:szCs w:val="21"/>
              </w:rPr>
            </w:pPr>
          </w:p>
        </w:tc>
        <w:tc>
          <w:tcPr>
            <w:tcW w:w="387" w:type="pct"/>
            <w:vAlign w:val="center"/>
          </w:tcPr>
          <w:p>
            <w:pPr>
              <w:pStyle w:val="89"/>
              <w:widowControl w:val="0"/>
              <w:numPr>
                <w:ilvl w:val="0"/>
                <w:numId w:val="5"/>
              </w:numPr>
              <w:adjustRightInd w:val="0"/>
              <w:snapToGrid w:val="0"/>
              <w:spacing w:line="240" w:lineRule="auto"/>
              <w:ind w:left="0" w:firstLine="0" w:firstLineChars="0"/>
              <w:jc w:val="center"/>
              <w:rPr>
                <w:rFonts w:cs="Times New Roman"/>
                <w:kern w:val="0"/>
                <w:sz w:val="21"/>
                <w:szCs w:val="21"/>
              </w:rPr>
            </w:pPr>
          </w:p>
        </w:tc>
        <w:tc>
          <w:tcPr>
            <w:tcW w:w="1173" w:type="pct"/>
            <w:vAlign w:val="center"/>
          </w:tcPr>
          <w:p>
            <w:pPr>
              <w:widowControl w:val="0"/>
              <w:tabs>
                <w:tab w:val="center" w:pos="0"/>
              </w:tabs>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eastAsia="zh-CN"/>
              </w:rPr>
              <w:t>输送泵</w:t>
            </w:r>
          </w:p>
        </w:tc>
        <w:tc>
          <w:tcPr>
            <w:tcW w:w="1034" w:type="pct"/>
            <w:vAlign w:val="center"/>
          </w:tcPr>
          <w:p>
            <w:pPr>
              <w:pStyle w:val="95"/>
              <w:adjustRightInd w:val="0"/>
              <w:snapToGrid w:val="0"/>
              <w:spacing w:line="240" w:lineRule="auto"/>
              <w:ind w:firstLine="0" w:firstLineChars="0"/>
              <w:jc w:val="center"/>
              <w:rPr>
                <w:rFonts w:hint="eastAsia" w:eastAsia="宋体" w:cs="Times New Roman"/>
                <w:kern w:val="2"/>
                <w:sz w:val="21"/>
                <w:szCs w:val="21"/>
                <w:lang w:val="en-US" w:eastAsia="zh-CN"/>
              </w:rPr>
            </w:pPr>
            <w:r>
              <w:rPr>
                <w:rFonts w:hint="eastAsia" w:cs="Times New Roman"/>
                <w:kern w:val="2"/>
                <w:sz w:val="21"/>
                <w:szCs w:val="21"/>
                <w:lang w:val="en-US" w:eastAsia="zh-CN"/>
              </w:rPr>
              <w:t>4</w:t>
            </w:r>
          </w:p>
        </w:tc>
        <w:tc>
          <w:tcPr>
            <w:tcW w:w="1763" w:type="dxa"/>
            <w:vAlign w:val="center"/>
          </w:tcPr>
          <w:p>
            <w:pPr>
              <w:pStyle w:val="95"/>
              <w:adjustRightInd w:val="0"/>
              <w:snapToGrid w:val="0"/>
              <w:spacing w:line="240" w:lineRule="auto"/>
              <w:ind w:firstLine="0" w:firstLineChars="0"/>
              <w:jc w:val="center"/>
              <w:rPr>
                <w:rFonts w:hint="eastAsia" w:ascii="Times New Roman" w:hAnsi="Times New Roman" w:eastAsia="宋体" w:cs="Times New Roman"/>
                <w:snapToGrid w:val="0"/>
                <w:kern w:val="2"/>
                <w:sz w:val="21"/>
                <w:szCs w:val="21"/>
                <w:lang w:val="en-US" w:eastAsia="zh-CN" w:bidi="ar-SA"/>
              </w:rPr>
            </w:pPr>
            <w:r>
              <w:rPr>
                <w:rFonts w:hint="eastAsia" w:cs="Times New Roman"/>
                <w:kern w:val="2"/>
                <w:sz w:val="21"/>
                <w:szCs w:val="21"/>
                <w:lang w:val="en-US" w:eastAsia="zh-CN"/>
              </w:rPr>
              <w:t>4</w:t>
            </w:r>
          </w:p>
        </w:tc>
        <w:tc>
          <w:tcPr>
            <w:tcW w:w="896" w:type="pct"/>
            <w:vAlign w:val="center"/>
          </w:tcPr>
          <w:p>
            <w:pPr>
              <w:pStyle w:val="95"/>
              <w:adjustRightInd w:val="0"/>
              <w:snapToGrid w:val="0"/>
              <w:spacing w:line="240" w:lineRule="auto"/>
              <w:ind w:firstLine="0" w:firstLineChars="0"/>
              <w:jc w:val="center"/>
              <w:rPr>
                <w:rFonts w:cs="Times New Roman"/>
                <w:kern w:val="2"/>
                <w:sz w:val="21"/>
                <w:szCs w:val="21"/>
              </w:rPr>
            </w:pPr>
            <w:r>
              <w:rPr>
                <w:rFonts w:cs="Times New Roman"/>
                <w:kern w:val="2"/>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vAlign w:val="center"/>
          </w:tcPr>
          <w:p>
            <w:pPr>
              <w:widowControl w:val="0"/>
              <w:adjustRightInd w:val="0"/>
              <w:snapToGrid w:val="0"/>
              <w:spacing w:line="240" w:lineRule="auto"/>
              <w:ind w:firstLine="0" w:firstLineChars="0"/>
              <w:jc w:val="center"/>
              <w:rPr>
                <w:rFonts w:cs="Times New Roman"/>
                <w:kern w:val="0"/>
                <w:sz w:val="21"/>
                <w:szCs w:val="21"/>
              </w:rPr>
            </w:pPr>
          </w:p>
        </w:tc>
        <w:tc>
          <w:tcPr>
            <w:tcW w:w="387" w:type="pct"/>
            <w:vAlign w:val="center"/>
          </w:tcPr>
          <w:p>
            <w:pPr>
              <w:pStyle w:val="89"/>
              <w:widowControl w:val="0"/>
              <w:numPr>
                <w:ilvl w:val="0"/>
                <w:numId w:val="5"/>
              </w:numPr>
              <w:adjustRightInd w:val="0"/>
              <w:snapToGrid w:val="0"/>
              <w:spacing w:line="240" w:lineRule="auto"/>
              <w:ind w:left="0" w:firstLine="0" w:firstLineChars="0"/>
              <w:jc w:val="center"/>
              <w:rPr>
                <w:rFonts w:cs="Times New Roman"/>
                <w:kern w:val="0"/>
                <w:sz w:val="21"/>
                <w:szCs w:val="21"/>
              </w:rPr>
            </w:pPr>
          </w:p>
        </w:tc>
        <w:tc>
          <w:tcPr>
            <w:tcW w:w="1173" w:type="pct"/>
            <w:vAlign w:val="center"/>
          </w:tcPr>
          <w:p>
            <w:pPr>
              <w:widowControl w:val="0"/>
              <w:tabs>
                <w:tab w:val="center" w:pos="0"/>
              </w:tabs>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eastAsia="zh-CN"/>
              </w:rPr>
              <w:t>储罐</w:t>
            </w:r>
          </w:p>
        </w:tc>
        <w:tc>
          <w:tcPr>
            <w:tcW w:w="1034" w:type="pct"/>
            <w:vAlign w:val="center"/>
          </w:tcPr>
          <w:p>
            <w:pPr>
              <w:pStyle w:val="95"/>
              <w:adjustRightInd w:val="0"/>
              <w:snapToGrid w:val="0"/>
              <w:spacing w:line="240" w:lineRule="auto"/>
              <w:ind w:firstLine="0" w:firstLineChars="0"/>
              <w:jc w:val="center"/>
              <w:rPr>
                <w:rFonts w:hint="default" w:eastAsia="宋体" w:cs="Times New Roman"/>
                <w:kern w:val="2"/>
                <w:sz w:val="21"/>
                <w:szCs w:val="21"/>
                <w:lang w:val="en-US" w:eastAsia="zh-CN"/>
              </w:rPr>
            </w:pPr>
            <w:r>
              <w:rPr>
                <w:rFonts w:hint="eastAsia" w:cs="Times New Roman"/>
                <w:kern w:val="2"/>
                <w:sz w:val="21"/>
                <w:szCs w:val="21"/>
                <w:lang w:val="en-US" w:eastAsia="zh-CN"/>
              </w:rPr>
              <w:t>3</w:t>
            </w:r>
          </w:p>
        </w:tc>
        <w:tc>
          <w:tcPr>
            <w:tcW w:w="1763" w:type="dxa"/>
            <w:vAlign w:val="center"/>
          </w:tcPr>
          <w:p>
            <w:pPr>
              <w:pStyle w:val="95"/>
              <w:adjustRightInd w:val="0"/>
              <w:snapToGrid w:val="0"/>
              <w:spacing w:line="240" w:lineRule="auto"/>
              <w:ind w:firstLine="0" w:firstLineChars="0"/>
              <w:jc w:val="center"/>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3</w:t>
            </w:r>
          </w:p>
        </w:tc>
        <w:tc>
          <w:tcPr>
            <w:tcW w:w="896" w:type="pct"/>
            <w:vAlign w:val="center"/>
          </w:tcPr>
          <w:p>
            <w:pPr>
              <w:pStyle w:val="95"/>
              <w:adjustRightInd w:val="0"/>
              <w:snapToGrid w:val="0"/>
              <w:spacing w:line="240" w:lineRule="auto"/>
              <w:ind w:firstLine="0" w:firstLineChars="0"/>
              <w:jc w:val="center"/>
              <w:rPr>
                <w:rFonts w:cs="Times New Roman"/>
                <w:kern w:val="2"/>
                <w:sz w:val="21"/>
                <w:szCs w:val="21"/>
              </w:rPr>
            </w:pPr>
            <w:r>
              <w:rPr>
                <w:rFonts w:cs="Times New Roman"/>
                <w:kern w:val="2"/>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vAlign w:val="center"/>
          </w:tcPr>
          <w:p>
            <w:pPr>
              <w:widowControl w:val="0"/>
              <w:adjustRightInd w:val="0"/>
              <w:snapToGrid w:val="0"/>
              <w:spacing w:line="240" w:lineRule="auto"/>
              <w:ind w:firstLine="0" w:firstLineChars="0"/>
              <w:jc w:val="center"/>
              <w:rPr>
                <w:rFonts w:cs="Times New Roman"/>
                <w:kern w:val="0"/>
                <w:sz w:val="21"/>
                <w:szCs w:val="21"/>
              </w:rPr>
            </w:pPr>
          </w:p>
        </w:tc>
        <w:tc>
          <w:tcPr>
            <w:tcW w:w="387" w:type="pct"/>
            <w:vAlign w:val="center"/>
          </w:tcPr>
          <w:p>
            <w:pPr>
              <w:pStyle w:val="89"/>
              <w:widowControl w:val="0"/>
              <w:numPr>
                <w:ilvl w:val="0"/>
                <w:numId w:val="5"/>
              </w:numPr>
              <w:adjustRightInd w:val="0"/>
              <w:snapToGrid w:val="0"/>
              <w:spacing w:line="240" w:lineRule="auto"/>
              <w:ind w:left="0" w:firstLine="0" w:firstLineChars="0"/>
              <w:jc w:val="center"/>
              <w:rPr>
                <w:rFonts w:cs="Times New Roman"/>
                <w:kern w:val="0"/>
                <w:sz w:val="21"/>
                <w:szCs w:val="21"/>
              </w:rPr>
            </w:pPr>
          </w:p>
        </w:tc>
        <w:tc>
          <w:tcPr>
            <w:tcW w:w="1173" w:type="pct"/>
            <w:vAlign w:val="center"/>
          </w:tcPr>
          <w:p>
            <w:pPr>
              <w:widowControl w:val="0"/>
              <w:tabs>
                <w:tab w:val="center" w:pos="0"/>
              </w:tabs>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eastAsia="zh-CN"/>
              </w:rPr>
              <w:t>风机</w:t>
            </w:r>
          </w:p>
        </w:tc>
        <w:tc>
          <w:tcPr>
            <w:tcW w:w="1034" w:type="pct"/>
            <w:vAlign w:val="center"/>
          </w:tcPr>
          <w:p>
            <w:pPr>
              <w:pStyle w:val="95"/>
              <w:adjustRightInd w:val="0"/>
              <w:snapToGrid w:val="0"/>
              <w:spacing w:line="240" w:lineRule="auto"/>
              <w:ind w:firstLine="0" w:firstLineChars="0"/>
              <w:jc w:val="center"/>
              <w:rPr>
                <w:rFonts w:hint="eastAsia" w:eastAsia="宋体" w:cs="Times New Roman"/>
                <w:kern w:val="2"/>
                <w:sz w:val="21"/>
                <w:szCs w:val="21"/>
                <w:lang w:val="en-US" w:eastAsia="zh-CN"/>
              </w:rPr>
            </w:pPr>
            <w:r>
              <w:rPr>
                <w:rFonts w:hint="eastAsia" w:cs="Times New Roman"/>
                <w:kern w:val="2"/>
                <w:sz w:val="21"/>
                <w:szCs w:val="21"/>
                <w:lang w:val="en-US" w:eastAsia="zh-CN"/>
              </w:rPr>
              <w:t>1</w:t>
            </w:r>
          </w:p>
        </w:tc>
        <w:tc>
          <w:tcPr>
            <w:tcW w:w="1763" w:type="dxa"/>
            <w:vAlign w:val="center"/>
          </w:tcPr>
          <w:p>
            <w:pPr>
              <w:pStyle w:val="95"/>
              <w:adjustRightInd w:val="0"/>
              <w:snapToGrid w:val="0"/>
              <w:spacing w:line="240" w:lineRule="auto"/>
              <w:ind w:firstLine="0" w:firstLineChars="0"/>
              <w:jc w:val="center"/>
              <w:rPr>
                <w:rFonts w:hint="eastAsia" w:ascii="Times New Roman" w:hAnsi="Times New Roman" w:eastAsia="宋体" w:cs="Times New Roman"/>
                <w:snapToGrid w:val="0"/>
                <w:kern w:val="2"/>
                <w:sz w:val="21"/>
                <w:szCs w:val="21"/>
                <w:lang w:val="en-US" w:eastAsia="zh-CN" w:bidi="ar-SA"/>
              </w:rPr>
            </w:pPr>
            <w:r>
              <w:rPr>
                <w:rFonts w:hint="eastAsia" w:cs="Times New Roman"/>
                <w:kern w:val="2"/>
                <w:sz w:val="21"/>
                <w:szCs w:val="21"/>
                <w:lang w:val="en-US" w:eastAsia="zh-CN"/>
              </w:rPr>
              <w:t>1</w:t>
            </w:r>
          </w:p>
        </w:tc>
        <w:tc>
          <w:tcPr>
            <w:tcW w:w="896" w:type="pct"/>
            <w:vAlign w:val="center"/>
          </w:tcPr>
          <w:p>
            <w:pPr>
              <w:pStyle w:val="95"/>
              <w:adjustRightInd w:val="0"/>
              <w:snapToGrid w:val="0"/>
              <w:spacing w:line="240" w:lineRule="auto"/>
              <w:ind w:firstLine="0" w:firstLineChars="0"/>
              <w:jc w:val="center"/>
              <w:rPr>
                <w:rFonts w:cs="Times New Roman"/>
                <w:kern w:val="2"/>
                <w:sz w:val="21"/>
                <w:szCs w:val="21"/>
              </w:rPr>
            </w:pPr>
            <w:r>
              <w:rPr>
                <w:rFonts w:cs="Times New Roman"/>
                <w:kern w:val="2"/>
                <w:sz w:val="21"/>
                <w:szCs w:val="21"/>
              </w:rPr>
              <w:t>与环评一致</w:t>
            </w:r>
          </w:p>
        </w:tc>
      </w:tr>
    </w:tbl>
    <w:p>
      <w:pPr>
        <w:pStyle w:val="9"/>
        <w:rPr>
          <w:rFonts w:cs="Times New Roman" w:eastAsiaTheme="minorEastAsia"/>
        </w:rPr>
      </w:pPr>
      <w:bookmarkStart w:id="36" w:name="_Toc30654_WPSOffice_Level3"/>
      <w:bookmarkStart w:id="37" w:name="_Toc28674"/>
      <w:r>
        <w:rPr>
          <w:rFonts w:cs="Times New Roman" w:eastAsiaTheme="minorEastAsia"/>
        </w:rPr>
        <w:t>产品方案及主要原、辅材料消耗</w:t>
      </w:r>
      <w:bookmarkEnd w:id="36"/>
      <w:bookmarkEnd w:id="37"/>
    </w:p>
    <w:p>
      <w:pPr>
        <w:pStyle w:val="10"/>
        <w:rPr>
          <w:rFonts w:cs="Times New Roman" w:eastAsiaTheme="minorEastAsia"/>
        </w:rPr>
      </w:pPr>
      <w:r>
        <w:rPr>
          <w:rFonts w:cs="Times New Roman" w:eastAsiaTheme="minorEastAsia"/>
        </w:rPr>
        <w:t>产品方案</w:t>
      </w:r>
    </w:p>
    <w:p>
      <w:pPr>
        <w:widowControl w:val="0"/>
        <w:spacing w:line="480" w:lineRule="exact"/>
        <w:ind w:firstLine="480"/>
        <w:rPr>
          <w:rFonts w:cs="Times New Roman" w:eastAsiaTheme="minorEastAsia"/>
        </w:rPr>
      </w:pPr>
      <w:r>
        <w:rPr>
          <w:rFonts w:cs="Times New Roman" w:eastAsiaTheme="minorEastAsia"/>
          <w:szCs w:val="24"/>
        </w:rPr>
        <w:t>产品方案见下表：</w:t>
      </w:r>
    </w:p>
    <w:p>
      <w:pPr>
        <w:widowControl w:val="0"/>
        <w:spacing w:line="480" w:lineRule="exact"/>
        <w:ind w:firstLine="480"/>
        <w:jc w:val="center"/>
        <w:rPr>
          <w:rFonts w:cs="Times New Roman" w:eastAsiaTheme="minorEastAsia"/>
          <w:szCs w:val="24"/>
        </w:rPr>
      </w:pPr>
      <w:bookmarkStart w:id="38" w:name="_Toc12513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2.4</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3</w:t>
      </w:r>
      <w:r>
        <w:rPr>
          <w:rFonts w:cs="Times New Roman" w:eastAsiaTheme="minorEastAsia"/>
        </w:rPr>
        <w:fldChar w:fldCharType="end"/>
      </w:r>
      <w:r>
        <w:rPr>
          <w:rFonts w:cs="Times New Roman" w:eastAsiaTheme="minorEastAsia"/>
        </w:rPr>
        <w:t xml:space="preserve">  </w:t>
      </w:r>
      <w:r>
        <w:rPr>
          <w:rFonts w:cs="Times New Roman" w:eastAsiaTheme="minorEastAsia"/>
          <w:szCs w:val="24"/>
        </w:rPr>
        <w:t>产品方案</w:t>
      </w:r>
      <w:bookmarkEnd w:id="38"/>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573"/>
        <w:gridCol w:w="1866"/>
        <w:gridCol w:w="2712"/>
        <w:gridCol w:w="1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序号</w:t>
            </w:r>
          </w:p>
        </w:tc>
        <w:tc>
          <w:tcPr>
            <w:tcW w:w="923"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产品</w:t>
            </w:r>
          </w:p>
        </w:tc>
        <w:tc>
          <w:tcPr>
            <w:tcW w:w="109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环评</w:t>
            </w:r>
            <w:r>
              <w:rPr>
                <w:rFonts w:hint="eastAsia" w:cs="Times New Roman"/>
                <w:bCs/>
                <w:color w:val="000000" w:themeColor="text1"/>
                <w:sz w:val="21"/>
                <w:szCs w:val="21"/>
                <w:lang w:eastAsia="zh-CN"/>
                <w14:textFill>
                  <w14:solidFill>
                    <w14:schemeClr w14:val="tx1"/>
                  </w14:solidFill>
                </w14:textFill>
              </w:rPr>
              <w:t>灌装</w:t>
            </w:r>
            <w:r>
              <w:rPr>
                <w:rFonts w:cs="Times New Roman"/>
                <w:bCs/>
                <w:color w:val="000000" w:themeColor="text1"/>
                <w:sz w:val="21"/>
                <w:szCs w:val="21"/>
                <w14:textFill>
                  <w14:solidFill>
                    <w14:schemeClr w14:val="tx1"/>
                  </w14:solidFill>
                </w14:textFill>
              </w:rPr>
              <w:t>能力（</w:t>
            </w:r>
            <w:r>
              <w:rPr>
                <w:rFonts w:hint="eastAsia" w:cs="Times New Roman"/>
                <w:bCs/>
                <w:color w:val="000000" w:themeColor="text1"/>
                <w:sz w:val="21"/>
                <w:szCs w:val="21"/>
                <w:lang w:val="en-US" w:eastAsia="zh-CN"/>
                <w14:textFill>
                  <w14:solidFill>
                    <w14:schemeClr w14:val="tx1"/>
                  </w14:solidFill>
                </w14:textFill>
              </w:rPr>
              <w:t>t</w:t>
            </w:r>
            <w:r>
              <w:rPr>
                <w:rFonts w:hint="eastAsia" w:cs="Times New Roman"/>
                <w:bCs/>
                <w:color w:val="000000" w:themeColor="text1"/>
                <w:sz w:val="21"/>
                <w:szCs w:val="21"/>
                <w14:textFill>
                  <w14:solidFill>
                    <w14:schemeClr w14:val="tx1"/>
                  </w14:solidFill>
                </w14:textFill>
              </w:rPr>
              <w:t>/</w:t>
            </w:r>
            <w:r>
              <w:rPr>
                <w:rFonts w:cs="Times New Roman"/>
                <w:bCs/>
                <w:color w:val="000000" w:themeColor="text1"/>
                <w:sz w:val="21"/>
                <w:szCs w:val="21"/>
                <w14:textFill>
                  <w14:solidFill>
                    <w14:schemeClr w14:val="tx1"/>
                  </w14:solidFill>
                </w14:textFill>
              </w:rPr>
              <w:t>a）</w:t>
            </w:r>
          </w:p>
        </w:tc>
        <w:tc>
          <w:tcPr>
            <w:tcW w:w="1591"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实际</w:t>
            </w:r>
            <w:r>
              <w:rPr>
                <w:rFonts w:hint="eastAsia" w:cs="Times New Roman"/>
                <w:bCs/>
                <w:color w:val="000000" w:themeColor="text1"/>
                <w:sz w:val="21"/>
                <w:szCs w:val="21"/>
                <w:lang w:eastAsia="zh-CN"/>
                <w14:textFill>
                  <w14:solidFill>
                    <w14:schemeClr w14:val="tx1"/>
                  </w14:solidFill>
                </w14:textFill>
              </w:rPr>
              <w:t>灌装</w:t>
            </w:r>
            <w:r>
              <w:rPr>
                <w:rFonts w:cs="Times New Roman"/>
                <w:bCs/>
                <w:color w:val="000000" w:themeColor="text1"/>
                <w:sz w:val="21"/>
                <w:szCs w:val="21"/>
                <w14:textFill>
                  <w14:solidFill>
                    <w14:schemeClr w14:val="tx1"/>
                  </w14:solidFill>
                </w14:textFill>
              </w:rPr>
              <w:t>能力（</w:t>
            </w:r>
            <w:r>
              <w:rPr>
                <w:rFonts w:hint="eastAsia" w:cs="Times New Roman"/>
                <w:bCs/>
                <w:color w:val="000000" w:themeColor="text1"/>
                <w:sz w:val="21"/>
                <w:szCs w:val="21"/>
                <w:lang w:val="en-US" w:eastAsia="zh-CN"/>
                <w14:textFill>
                  <w14:solidFill>
                    <w14:schemeClr w14:val="tx1"/>
                  </w14:solidFill>
                </w14:textFill>
              </w:rPr>
              <w:t>t</w:t>
            </w:r>
            <w:r>
              <w:rPr>
                <w:rFonts w:cs="Times New Roman"/>
                <w:bCs/>
                <w:color w:val="000000" w:themeColor="text1"/>
                <w:sz w:val="21"/>
                <w:szCs w:val="21"/>
                <w14:textFill>
                  <w14:solidFill>
                    <w14:schemeClr w14:val="tx1"/>
                  </w14:solidFill>
                </w14:textFill>
              </w:rPr>
              <w:t>/a）</w:t>
            </w:r>
          </w:p>
        </w:tc>
        <w:tc>
          <w:tcPr>
            <w:tcW w:w="973"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1</w:t>
            </w:r>
          </w:p>
        </w:tc>
        <w:tc>
          <w:tcPr>
            <w:tcW w:w="923"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eastAsia"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氯代特戊酰氯</w:t>
            </w:r>
          </w:p>
        </w:tc>
        <w:tc>
          <w:tcPr>
            <w:tcW w:w="109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10000</w:t>
            </w:r>
          </w:p>
        </w:tc>
        <w:tc>
          <w:tcPr>
            <w:tcW w:w="1591"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hint="default"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14:textFill>
                  <w14:solidFill>
                    <w14:schemeClr w14:val="tx1"/>
                  </w14:solidFill>
                </w14:textFill>
              </w:rPr>
              <w:t>10000</w:t>
            </w:r>
          </w:p>
        </w:tc>
        <w:tc>
          <w:tcPr>
            <w:tcW w:w="973"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hint="eastAsia"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eastAsia" w:eastAsia="宋体" w:cs="Times New Roman"/>
                <w:bCs/>
                <w:sz w:val="21"/>
                <w:szCs w:val="21"/>
                <w:lang w:val="en-US" w:eastAsia="zh-CN"/>
              </w:rPr>
            </w:pPr>
            <w:bookmarkStart w:id="39" w:name="_Toc25333_WPSOffice_Level2"/>
            <w:r>
              <w:rPr>
                <w:rFonts w:hint="eastAsia" w:cs="Times New Roman"/>
                <w:bCs/>
                <w:sz w:val="21"/>
                <w:szCs w:val="21"/>
                <w:lang w:val="en-US" w:eastAsia="zh-CN"/>
              </w:rPr>
              <w:t>2</w:t>
            </w:r>
          </w:p>
        </w:tc>
        <w:tc>
          <w:tcPr>
            <w:tcW w:w="923"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eastAsia"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特戊酰氯</w:t>
            </w:r>
          </w:p>
        </w:tc>
        <w:tc>
          <w:tcPr>
            <w:tcW w:w="109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1000</w:t>
            </w:r>
          </w:p>
        </w:tc>
        <w:tc>
          <w:tcPr>
            <w:tcW w:w="1591"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1000</w:t>
            </w:r>
          </w:p>
        </w:tc>
        <w:tc>
          <w:tcPr>
            <w:tcW w:w="973"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r>
      <w:bookmarkEnd w:id="39"/>
    </w:tbl>
    <w:p>
      <w:pPr>
        <w:pStyle w:val="8"/>
        <w:widowControl w:val="0"/>
        <w:rPr>
          <w:rFonts w:cs="Times New Roman" w:eastAsiaTheme="minorEastAsia"/>
        </w:rPr>
      </w:pPr>
      <w:bookmarkStart w:id="40" w:name="_Toc26445_WPSOffice_Level2"/>
      <w:bookmarkStart w:id="41" w:name="_Toc548"/>
      <w:r>
        <w:rPr>
          <w:rFonts w:cs="Times New Roman" w:eastAsiaTheme="minorEastAsia"/>
        </w:rPr>
        <w:t xml:space="preserve"> 主要工艺流程及产污环节</w:t>
      </w:r>
      <w:bookmarkEnd w:id="40"/>
      <w:bookmarkEnd w:id="41"/>
    </w:p>
    <w:p>
      <w:pPr>
        <w:pStyle w:val="9"/>
        <w:rPr>
          <w:rFonts w:cs="Times New Roman" w:eastAsiaTheme="minorEastAsia"/>
        </w:rPr>
      </w:pPr>
      <w:bookmarkStart w:id="42" w:name="_Toc24195"/>
      <w:bookmarkStart w:id="43" w:name="_Toc11169_WPSOffice_Level3"/>
      <w:r>
        <w:rPr>
          <w:rFonts w:cs="Times New Roman" w:eastAsiaTheme="minorEastAsia"/>
        </w:rPr>
        <w:t>工艺流程</w:t>
      </w:r>
      <w:bookmarkEnd w:id="42"/>
      <w:bookmarkEnd w:id="43"/>
    </w:p>
    <w:p>
      <w:pPr>
        <w:pStyle w:val="10"/>
        <w:rPr>
          <w:rFonts w:cs="Times New Roman" w:eastAsiaTheme="minorEastAsia"/>
        </w:rPr>
      </w:pPr>
      <w:r>
        <w:rPr>
          <w:rFonts w:cs="Times New Roman" w:eastAsiaTheme="minorEastAsia"/>
        </w:rPr>
        <w:t>生产工艺流程及产污环节</w:t>
      </w:r>
    </w:p>
    <w:p>
      <w:pPr>
        <w:ind w:firstLine="0" w:firstLineChars="0"/>
      </w:pPr>
      <w:r>
        <w:drawing>
          <wp:inline distT="0" distB="0" distL="114300" distR="114300">
            <wp:extent cx="5143500" cy="1209675"/>
            <wp:effectExtent l="0" t="0" r="0"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9"/>
                    <a:stretch>
                      <a:fillRect/>
                    </a:stretch>
                  </pic:blipFill>
                  <pic:spPr>
                    <a:xfrm>
                      <a:off x="0" y="0"/>
                      <a:ext cx="5143500" cy="1209675"/>
                    </a:xfrm>
                    <a:prstGeom prst="rect">
                      <a:avLst/>
                    </a:prstGeom>
                    <a:noFill/>
                    <a:ln>
                      <a:noFill/>
                    </a:ln>
                  </pic:spPr>
                </pic:pic>
              </a:graphicData>
            </a:graphic>
          </wp:inline>
        </w:drawing>
      </w:r>
    </w:p>
    <w:p>
      <w:pPr>
        <w:widowControl w:val="0"/>
        <w:adjustRightInd w:val="0"/>
        <w:snapToGrid w:val="0"/>
        <w:ind w:firstLine="0" w:firstLineChars="0"/>
        <w:jc w:val="center"/>
        <w:rPr>
          <w:rFonts w:cs="Times New Roman" w:eastAsiaTheme="minorEastAsia"/>
        </w:rPr>
      </w:pPr>
      <w:r>
        <w:rPr>
          <w:rFonts w:cs="Times New Roman" w:eastAsiaTheme="minorEastAsia"/>
        </w:rPr>
        <w:t xml:space="preserve">图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2.5</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图 \* ARABIC \s 2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t xml:space="preserve">  生产工艺流程及产污环节</w:t>
      </w:r>
    </w:p>
    <w:p>
      <w:pPr>
        <w:widowControl w:val="0"/>
        <w:adjustRightInd w:val="0"/>
        <w:snapToGrid w:val="0"/>
        <w:ind w:firstLine="0" w:firstLineChars="0"/>
        <w:rPr>
          <w:rFonts w:hint="eastAsia" w:cs="Times New Roman" w:eastAsiaTheme="minorEastAsia"/>
        </w:rPr>
      </w:pPr>
      <w:r>
        <w:rPr>
          <w:rFonts w:hint="eastAsia" w:cs="Times New Roman" w:eastAsiaTheme="minorEastAsia"/>
        </w:rPr>
        <w:t>工艺流程简述：</w:t>
      </w:r>
    </w:p>
    <w:p>
      <w:pPr>
        <w:widowControl w:val="0"/>
        <w:ind w:firstLine="480"/>
        <w:rPr>
          <w:rFonts w:hint="eastAsia"/>
          <w:color w:val="auto"/>
          <w:lang w:val="en-US" w:eastAsia="zh-CN"/>
        </w:rPr>
      </w:pPr>
      <w:r>
        <w:rPr>
          <w:rFonts w:hint="eastAsia"/>
          <w:color w:val="auto"/>
          <w:lang w:val="en-US" w:eastAsia="zh-CN"/>
        </w:rPr>
        <w:t>灌装物料经输送泵由储罐输送至灌装间，通过调节物料输送压力和泵出口压力，控制物料流量，确保每小时灌装40~60桶（200kg/桶），灌装前开启尾气吸收系统，确保灌装机尾气口保持负压，同时灌装间保持良好通风，尾气经风机引风至RTO装置；提前预备好空桶，启动灌装机灌装操作，实现自动灌装，灌装完成物料经叉车输送至储存区域，年灌装氯代特戊酰氯10000吨、特戊酰氯1000吨。</w:t>
      </w:r>
    </w:p>
    <w:p>
      <w:pPr>
        <w:pStyle w:val="9"/>
        <w:rPr>
          <w:rFonts w:cs="Times New Roman" w:eastAsiaTheme="minorEastAsia"/>
        </w:rPr>
      </w:pPr>
      <w:r>
        <w:rPr>
          <w:rFonts w:cs="Times New Roman" w:eastAsiaTheme="minorEastAsia"/>
        </w:rPr>
        <w:t>产污环节汇总</w:t>
      </w:r>
    </w:p>
    <w:p>
      <w:pPr>
        <w:pStyle w:val="80"/>
        <w:spacing w:line="500" w:lineRule="exact"/>
        <w:rPr>
          <w:rFonts w:ascii="Times New Roman" w:hAnsi="Times New Roman" w:cs="Times New Roman" w:eastAsiaTheme="minorEastAsia"/>
        </w:rPr>
      </w:pPr>
      <w:r>
        <w:rPr>
          <w:rFonts w:ascii="Times New Roman" w:hAnsi="Times New Roman" w:cs="Times New Roman" w:eastAsiaTheme="minorEastAsia"/>
        </w:rPr>
        <w:t>产污环节及治理措施见下表：</w:t>
      </w:r>
    </w:p>
    <w:p>
      <w:pPr>
        <w:widowControl w:val="0"/>
        <w:snapToGrid w:val="0"/>
        <w:spacing w:line="480" w:lineRule="exact"/>
        <w:ind w:firstLine="480"/>
        <w:jc w:val="center"/>
        <w:rPr>
          <w:rFonts w:cs="Times New Roman" w:eastAsiaTheme="minorEastAsia"/>
        </w:rPr>
      </w:pPr>
      <w:bookmarkStart w:id="44" w:name="_Toc30808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2.5</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t xml:space="preserve">  产污环节及治理措施汇总（实际建设）</w:t>
      </w:r>
      <w:bookmarkEnd w:id="44"/>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270"/>
        <w:gridCol w:w="1986"/>
        <w:gridCol w:w="4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tcBorders>
              <w:tl2br w:val="nil"/>
            </w:tcBorders>
            <w:vAlign w:val="center"/>
          </w:tcPr>
          <w:p>
            <w:pPr>
              <w:widowControl w:val="0"/>
              <w:adjustRightInd w:val="0"/>
              <w:snapToGrid w:val="0"/>
              <w:spacing w:line="240" w:lineRule="auto"/>
              <w:ind w:firstLine="0" w:firstLineChars="0"/>
              <w:jc w:val="right"/>
              <w:rPr>
                <w:rFonts w:cs="Times New Roman"/>
                <w:bCs/>
                <w:sz w:val="21"/>
                <w:szCs w:val="21"/>
              </w:rPr>
            </w:pPr>
            <w:r>
              <w:rPr>
                <w:rFonts w:cs="Times New Roman"/>
                <w:bCs/>
                <w:sz w:val="21"/>
                <w:szCs w:val="21"/>
              </w:rPr>
              <w:t>内容</w:t>
            </w:r>
          </w:p>
          <w:p>
            <w:pPr>
              <w:widowControl w:val="0"/>
              <w:adjustRightInd w:val="0"/>
              <w:snapToGrid w:val="0"/>
              <w:spacing w:line="240" w:lineRule="auto"/>
              <w:ind w:firstLine="0" w:firstLineChars="0"/>
              <w:rPr>
                <w:rFonts w:cs="Times New Roman"/>
                <w:bCs/>
                <w:sz w:val="21"/>
                <w:szCs w:val="21"/>
              </w:rPr>
            </w:pPr>
            <w:r>
              <w:rPr>
                <w:rFonts w:cs="Times New Roman"/>
                <w:bCs/>
                <w:sz w:val="21"/>
                <w:szCs w:val="21"/>
              </w:rPr>
              <w:t>类型</w:t>
            </w:r>
          </w:p>
        </w:tc>
        <w:tc>
          <w:tcPr>
            <w:tcW w:w="745" w:type="pct"/>
            <w:tcBorders>
              <w:tl2br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排放源</w:t>
            </w:r>
          </w:p>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（编号）</w:t>
            </w:r>
          </w:p>
        </w:tc>
        <w:tc>
          <w:tcPr>
            <w:tcW w:w="1165" w:type="pct"/>
            <w:tcBorders>
              <w:tl2br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污染物名称</w:t>
            </w:r>
          </w:p>
        </w:tc>
        <w:tc>
          <w:tcPr>
            <w:tcW w:w="2611" w:type="pct"/>
            <w:tcBorders>
              <w:tl2br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vMerge w:val="restart"/>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大</w:t>
            </w:r>
          </w:p>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气</w:t>
            </w:r>
          </w:p>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污</w:t>
            </w:r>
          </w:p>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染</w:t>
            </w:r>
          </w:p>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物</w:t>
            </w:r>
          </w:p>
        </w:tc>
        <w:tc>
          <w:tcPr>
            <w:tcW w:w="745" w:type="pct"/>
            <w:vAlign w:val="center"/>
          </w:tcPr>
          <w:p>
            <w:pPr>
              <w:widowControl w:val="0"/>
              <w:adjustRightInd w:val="0"/>
              <w:snapToGrid w:val="0"/>
              <w:ind w:firstLine="0" w:firstLineChars="0"/>
              <w:jc w:val="center"/>
              <w:rPr>
                <w:rFonts w:cs="Times New Roman"/>
                <w:sz w:val="21"/>
                <w:szCs w:val="21"/>
              </w:rPr>
            </w:pPr>
            <w:r>
              <w:rPr>
                <w:rFonts w:hint="eastAsia" w:cs="Times New Roman"/>
                <w:sz w:val="21"/>
                <w:szCs w:val="21"/>
              </w:rPr>
              <w:t>有组织排放</w:t>
            </w:r>
          </w:p>
        </w:tc>
        <w:tc>
          <w:tcPr>
            <w:tcW w:w="1165" w:type="pct"/>
            <w:vAlign w:val="center"/>
          </w:tcPr>
          <w:p>
            <w:pPr>
              <w:widowControl w:val="0"/>
              <w:adjustRightInd w:val="0"/>
              <w:snapToGrid w:val="0"/>
              <w:ind w:firstLine="0" w:firstLineChars="0"/>
              <w:jc w:val="center"/>
              <w:rPr>
                <w:rFonts w:hint="default" w:cs="Times New Roman"/>
                <w:sz w:val="21"/>
                <w:szCs w:val="21"/>
                <w:lang w:val="en-US" w:eastAsia="zh-CN"/>
              </w:rPr>
            </w:pPr>
            <w:r>
              <w:rPr>
                <w:rFonts w:hint="eastAsia" w:cs="Times New Roman"/>
                <w:sz w:val="21"/>
                <w:szCs w:val="21"/>
                <w:lang w:val="en-US" w:eastAsia="zh-CN"/>
              </w:rPr>
              <w:t>VOC</w:t>
            </w:r>
            <w:r>
              <w:rPr>
                <w:rFonts w:hint="eastAsia" w:cs="Times New Roman"/>
                <w:sz w:val="21"/>
                <w:szCs w:val="21"/>
                <w:vertAlign w:val="subscript"/>
                <w:lang w:val="en-US" w:eastAsia="zh-CN"/>
              </w:rPr>
              <w:t>S</w:t>
            </w:r>
            <w:r>
              <w:rPr>
                <w:rFonts w:hint="eastAsia" w:cs="Times New Roman"/>
                <w:sz w:val="21"/>
                <w:szCs w:val="21"/>
                <w:lang w:val="en-US" w:eastAsia="zh-CN"/>
              </w:rPr>
              <w:t>、二噁英</w:t>
            </w:r>
          </w:p>
        </w:tc>
        <w:tc>
          <w:tcPr>
            <w:tcW w:w="2611" w:type="pct"/>
            <w:vAlign w:val="center"/>
          </w:tcPr>
          <w:p>
            <w:pPr>
              <w:widowControl w:val="0"/>
              <w:adjustRightInd w:val="0"/>
              <w:snapToGrid w:val="0"/>
              <w:ind w:firstLine="0" w:firstLineChars="0"/>
              <w:jc w:val="center"/>
              <w:rPr>
                <w:rFonts w:cs="Times New Roman"/>
                <w:sz w:val="21"/>
                <w:szCs w:val="21"/>
              </w:rPr>
            </w:pPr>
            <w:r>
              <w:rPr>
                <w:rFonts w:hint="eastAsia" w:cs="Times New Roman"/>
                <w:sz w:val="21"/>
                <w:szCs w:val="21"/>
              </w:rPr>
              <w:t>灌装废气</w:t>
            </w:r>
            <w:r>
              <w:rPr>
                <w:rFonts w:hint="eastAsia" w:cs="Times New Roman"/>
                <w:sz w:val="21"/>
                <w:szCs w:val="21"/>
                <w:lang w:val="en-US" w:eastAsia="zh-CN"/>
              </w:rPr>
              <w:t>经收集后进入公司原有RTO装置处理，处理后尾气经“急冷-碱洗”装置处理，通过1根25米排气简排放。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vMerge w:val="continue"/>
            <w:vAlign w:val="center"/>
          </w:tcPr>
          <w:p>
            <w:pPr>
              <w:widowControl w:val="0"/>
              <w:adjustRightInd w:val="0"/>
              <w:snapToGrid w:val="0"/>
              <w:spacing w:line="240" w:lineRule="auto"/>
              <w:ind w:firstLine="0" w:firstLineChars="0"/>
              <w:jc w:val="center"/>
              <w:rPr>
                <w:rFonts w:cs="Times New Roman"/>
                <w:bCs/>
                <w:sz w:val="21"/>
                <w:szCs w:val="21"/>
              </w:rPr>
            </w:pPr>
          </w:p>
        </w:tc>
        <w:tc>
          <w:tcPr>
            <w:tcW w:w="745" w:type="pct"/>
            <w:vAlign w:val="center"/>
          </w:tcPr>
          <w:p>
            <w:pPr>
              <w:widowControl w:val="0"/>
              <w:adjustRightInd w:val="0"/>
              <w:snapToGrid w:val="0"/>
              <w:ind w:firstLine="0" w:firstLineChars="0"/>
              <w:jc w:val="center"/>
              <w:rPr>
                <w:rFonts w:cs="Times New Roman"/>
                <w:sz w:val="21"/>
                <w:szCs w:val="21"/>
              </w:rPr>
            </w:pPr>
            <w:r>
              <w:rPr>
                <w:rFonts w:cs="Times New Roman"/>
                <w:sz w:val="21"/>
                <w:szCs w:val="21"/>
              </w:rPr>
              <w:t>无组织排放</w:t>
            </w:r>
          </w:p>
        </w:tc>
        <w:tc>
          <w:tcPr>
            <w:tcW w:w="1165" w:type="pct"/>
            <w:vAlign w:val="center"/>
          </w:tcPr>
          <w:p>
            <w:pPr>
              <w:widowControl w:val="0"/>
              <w:adjustRightInd w:val="0"/>
              <w:snapToGrid w:val="0"/>
              <w:ind w:firstLine="0" w:firstLineChars="0"/>
              <w:jc w:val="center"/>
              <w:rPr>
                <w:rFonts w:hint="eastAsia" w:cs="Times New Roman"/>
                <w:sz w:val="21"/>
                <w:szCs w:val="21"/>
                <w:lang w:eastAsia="zh-CN"/>
              </w:rPr>
            </w:pPr>
            <w:r>
              <w:rPr>
                <w:rFonts w:hint="eastAsia" w:cs="Times New Roman"/>
                <w:sz w:val="21"/>
                <w:szCs w:val="21"/>
                <w:lang w:val="en-US" w:eastAsia="zh-CN"/>
              </w:rPr>
              <w:t>VOC</w:t>
            </w:r>
            <w:r>
              <w:rPr>
                <w:rFonts w:hint="eastAsia" w:cs="Times New Roman"/>
                <w:sz w:val="21"/>
                <w:szCs w:val="21"/>
                <w:vertAlign w:val="subscript"/>
                <w:lang w:val="en-US" w:eastAsia="zh-CN"/>
              </w:rPr>
              <w:t>S</w:t>
            </w:r>
          </w:p>
        </w:tc>
        <w:tc>
          <w:tcPr>
            <w:tcW w:w="2611" w:type="pct"/>
            <w:vAlign w:val="center"/>
          </w:tcPr>
          <w:p>
            <w:pPr>
              <w:widowControl w:val="0"/>
              <w:adjustRightInd w:val="0"/>
              <w:snapToGrid w:val="0"/>
              <w:ind w:firstLine="0" w:firstLineChars="0"/>
              <w:jc w:val="center"/>
              <w:rPr>
                <w:rFonts w:hint="default" w:cs="Times New Roman"/>
                <w:sz w:val="21"/>
                <w:szCs w:val="21"/>
                <w:lang w:val="en-US" w:eastAsia="zh-CN"/>
              </w:rPr>
            </w:pPr>
            <w:r>
              <w:rPr>
                <w:rFonts w:hint="eastAsia" w:cs="Times New Roman"/>
                <w:sz w:val="21"/>
                <w:szCs w:val="21"/>
                <w:lang w:eastAsia="zh-CN"/>
              </w:rPr>
              <w:t>少量未被收集的废气在密闭车间内无组织扩散</w:t>
            </w:r>
          </w:p>
        </w:tc>
      </w:tr>
    </w:tbl>
    <w:p>
      <w:pPr>
        <w:pStyle w:val="8"/>
        <w:widowControl w:val="0"/>
        <w:rPr>
          <w:rFonts w:cs="Times New Roman" w:eastAsiaTheme="minorEastAsia"/>
        </w:rPr>
      </w:pPr>
      <w:bookmarkStart w:id="45" w:name="_Toc13065"/>
      <w:r>
        <w:rPr>
          <w:rFonts w:cs="Times New Roman" w:eastAsiaTheme="minorEastAsia"/>
        </w:rPr>
        <w:t>主要污染物的产生、处理及排放情况</w:t>
      </w:r>
      <w:bookmarkEnd w:id="45"/>
    </w:p>
    <w:p>
      <w:pPr>
        <w:pStyle w:val="9"/>
        <w:rPr>
          <w:rFonts w:cs="Times New Roman" w:eastAsiaTheme="minorEastAsia"/>
        </w:rPr>
      </w:pPr>
      <w:bookmarkStart w:id="46" w:name="_Toc6550_WPSOffice_Level3"/>
      <w:bookmarkStart w:id="47" w:name="_Toc16909"/>
      <w:r>
        <w:rPr>
          <w:rFonts w:cs="Times New Roman" w:eastAsiaTheme="minorEastAsia"/>
        </w:rPr>
        <w:t>废气</w:t>
      </w:r>
      <w:bookmarkEnd w:id="46"/>
      <w:bookmarkEnd w:id="47"/>
    </w:p>
    <w:p>
      <w:pPr>
        <w:pStyle w:val="10"/>
        <w:rPr>
          <w:rFonts w:hint="default" w:ascii="Times New Roman" w:hAnsi="Times New Roman" w:cs="Times New Roman" w:eastAsiaTheme="minorEastAsia"/>
        </w:rPr>
      </w:pPr>
      <w:bookmarkStart w:id="48" w:name="_Toc15897_WPSOffice_Level2"/>
      <w:bookmarkStart w:id="49" w:name="_Toc4299"/>
      <w:r>
        <w:rPr>
          <w:rFonts w:hint="default" w:ascii="Times New Roman" w:hAnsi="Times New Roman" w:cs="Times New Roman" w:eastAsiaTheme="minorEastAsia"/>
        </w:rPr>
        <w:t>有组织废气</w:t>
      </w:r>
    </w:p>
    <w:p>
      <w:pPr>
        <w:widowControl w:val="0"/>
        <w:ind w:firstLine="480"/>
        <w:rPr>
          <w:rFonts w:hint="default" w:ascii="Times New Roman" w:hAnsi="Times New Roman" w:cs="Times New Roman"/>
          <w:color w:val="auto"/>
        </w:rPr>
      </w:pPr>
      <w:r>
        <w:rPr>
          <w:rFonts w:hint="default" w:ascii="Times New Roman" w:hAnsi="Times New Roman" w:cs="Times New Roman"/>
          <w:color w:val="auto"/>
          <w:lang w:val="en-US" w:eastAsia="zh-CN"/>
        </w:rPr>
        <w:t>灌装废气</w:t>
      </w:r>
      <w:r>
        <w:rPr>
          <w:rFonts w:hint="default" w:ascii="Times New Roman" w:hAnsi="Times New Roman" w:cs="Times New Roman"/>
          <w:color w:val="auto"/>
        </w:rPr>
        <w:t>经</w:t>
      </w:r>
      <w:r>
        <w:rPr>
          <w:rFonts w:hint="eastAsia" w:asciiTheme="minorEastAsia" w:hAnsiTheme="minorEastAsia" w:eastAsiaTheme="minorEastAsia" w:cstheme="minorEastAsia"/>
          <w:sz w:val="24"/>
          <w:szCs w:val="24"/>
          <w:lang w:val="en-US" w:eastAsia="zh-CN"/>
        </w:rPr>
        <w:t>收集后进入公司</w:t>
      </w:r>
      <w:r>
        <w:rPr>
          <w:rFonts w:hint="eastAsia" w:asciiTheme="minorEastAsia" w:hAnsiTheme="minorEastAsia" w:eastAsiaTheme="minorEastAsia" w:cstheme="minorEastAsia"/>
          <w:sz w:val="24"/>
          <w:szCs w:val="24"/>
          <w:highlight w:val="none"/>
          <w:lang w:val="en-US" w:eastAsia="zh-CN"/>
        </w:rPr>
        <w:t>原有RTO装置处理，处理后尾气经“急冷-碱洗”装置处理，通过1根25米排气简排放</w:t>
      </w:r>
      <w:r>
        <w:rPr>
          <w:rFonts w:hint="default" w:ascii="Times New Roman" w:hAnsi="Times New Roman" w:cs="Times New Roman"/>
          <w:color w:val="auto"/>
        </w:rPr>
        <w:t>。</w:t>
      </w:r>
    </w:p>
    <w:p>
      <w:pPr>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本项目VOC</w:t>
      </w:r>
      <w:r>
        <w:rPr>
          <w:rFonts w:hint="default" w:ascii="Times New Roman" w:hAnsi="Times New Roman" w:cs="Times New Roman" w:eastAsiaTheme="minorEastAsia"/>
          <w:color w:val="auto"/>
          <w:vertAlign w:val="subscript"/>
          <w:lang w:val="en-US" w:eastAsia="zh-CN"/>
        </w:rPr>
        <w:t>S</w:t>
      </w:r>
      <w:r>
        <w:rPr>
          <w:rFonts w:hint="default" w:ascii="Times New Roman" w:hAnsi="Times New Roman" w:cs="Times New Roman" w:eastAsiaTheme="minorEastAsia"/>
          <w:color w:val="auto"/>
          <w:lang w:val="en-US" w:eastAsia="zh-CN"/>
        </w:rPr>
        <w:t>执行《挥发性有机物排放标准 第6部分：有机化工行业》(DB37/2801.6--2018)表1 中其他行业Ⅱ时段排放限值（VOCs：60mg/m</w:t>
      </w:r>
      <w:r>
        <w:rPr>
          <w:rFonts w:hint="default" w:ascii="Times New Roman" w:hAnsi="Times New Roman" w:cs="Times New Roman" w:eastAsiaTheme="minorEastAsia"/>
          <w:color w:val="auto"/>
          <w:vertAlign w:val="superscript"/>
          <w:lang w:val="en-US" w:eastAsia="zh-CN"/>
        </w:rPr>
        <w:t>3</w:t>
      </w:r>
      <w:r>
        <w:rPr>
          <w:rFonts w:hint="default" w:ascii="Times New Roman" w:hAnsi="Times New Roman" w:cs="Times New Roman" w:eastAsiaTheme="minorEastAsia"/>
          <w:color w:val="auto"/>
          <w:lang w:val="en-US" w:eastAsia="zh-CN"/>
        </w:rPr>
        <w:t>、3.0kg/h）；二噁英排放能够满足《挥发性有机物排放标准第 6 部分：有机化工行业》（DB37/2801.6-2019）表 2 废气中有机特征污染物及排放限值（</w:t>
      </w:r>
      <w:r>
        <w:rPr>
          <w:rFonts w:hint="eastAsia" w:cs="Times New Roman" w:eastAsiaTheme="minorEastAsia"/>
          <w:color w:val="auto"/>
          <w:lang w:val="en-US" w:eastAsia="zh-CN"/>
        </w:rPr>
        <w:t>二噁英</w:t>
      </w:r>
      <w:r>
        <w:rPr>
          <w:rFonts w:hint="default" w:ascii="Times New Roman" w:hAnsi="Times New Roman" w:cs="Times New Roman" w:eastAsiaTheme="minorEastAsia"/>
          <w:color w:val="auto"/>
          <w:lang w:val="en-US" w:eastAsia="zh-CN"/>
        </w:rPr>
        <w:t>：0.1ng-TEQ/m</w:t>
      </w:r>
      <w:r>
        <w:rPr>
          <w:rFonts w:hint="default" w:ascii="Times New Roman" w:hAnsi="Times New Roman" w:cs="Times New Roman" w:eastAsiaTheme="minorEastAsia"/>
          <w:color w:val="auto"/>
          <w:vertAlign w:val="superscript"/>
          <w:lang w:val="en-US" w:eastAsia="zh-CN"/>
        </w:rPr>
        <w:t>3</w:t>
      </w:r>
      <w:r>
        <w:rPr>
          <w:rFonts w:hint="default" w:ascii="Times New Roman" w:hAnsi="Times New Roman" w:cs="Times New Roman" w:eastAsiaTheme="minorEastAsia"/>
          <w:color w:val="auto"/>
          <w:lang w:val="en-US" w:eastAsia="zh-CN"/>
        </w:rPr>
        <w:t>）</w:t>
      </w:r>
      <w:r>
        <w:rPr>
          <w:rFonts w:hint="default" w:ascii="Times New Roman" w:hAnsi="Times New Roman" w:cs="Times New Roman"/>
          <w:color w:val="auto"/>
        </w:rPr>
        <w:t>。</w:t>
      </w:r>
    </w:p>
    <w:p>
      <w:pPr>
        <w:pStyle w:val="10"/>
        <w:rPr>
          <w:rFonts w:cs="Times New Roman" w:eastAsiaTheme="minorEastAsia"/>
        </w:rPr>
      </w:pPr>
      <w:r>
        <w:rPr>
          <w:rFonts w:cs="Times New Roman" w:eastAsiaTheme="minorEastAsia"/>
        </w:rPr>
        <w:t>无组织废气</w:t>
      </w:r>
      <w:bookmarkEnd w:id="48"/>
    </w:p>
    <w:p>
      <w:pPr>
        <w:ind w:firstLine="480"/>
        <w:rPr>
          <w:rFonts w:hint="default" w:cs="Times New Roman" w:eastAsiaTheme="minorEastAsia"/>
          <w:color w:val="auto"/>
          <w:lang w:val="en-US" w:eastAsia="zh-CN"/>
        </w:rPr>
      </w:pPr>
      <w:r>
        <w:rPr>
          <w:rFonts w:hint="eastAsia" w:cs="Times New Roman" w:eastAsiaTheme="minorEastAsia"/>
          <w:color w:val="auto"/>
          <w:lang w:eastAsia="zh-CN"/>
        </w:rPr>
        <w:t>少量未被收集的废气在密闭车间内无组织扩散</w:t>
      </w:r>
      <w:r>
        <w:rPr>
          <w:rFonts w:hint="default" w:ascii="Times New Roman" w:hAnsi="Times New Roman" w:cs="Times New Roman"/>
          <w:color w:val="auto"/>
        </w:rPr>
        <w:t>。</w:t>
      </w:r>
    </w:p>
    <w:p>
      <w:pPr>
        <w:ind w:firstLine="480"/>
        <w:rPr>
          <w:rFonts w:hint="default" w:cs="Times New Roman" w:eastAsiaTheme="minorEastAsia"/>
          <w:color w:val="auto"/>
          <w:vertAlign w:val="baseline"/>
          <w:lang w:val="en-US" w:eastAsia="zh-CN"/>
        </w:rPr>
      </w:pPr>
      <w:r>
        <w:rPr>
          <w:rFonts w:hint="eastAsia" w:cs="Times New Roman" w:eastAsiaTheme="minorEastAsia"/>
          <w:color w:val="auto"/>
        </w:rPr>
        <w:t>本项目无组织废气执行</w:t>
      </w:r>
      <w:r>
        <w:rPr>
          <w:rFonts w:hint="eastAsia" w:ascii="Times New Roman" w:hAnsi="Times New Roman" w:cs="Times New Roman"/>
          <w:sz w:val="24"/>
          <w:szCs w:val="24"/>
          <w:lang w:val="en-US" w:eastAsia="zh-CN"/>
        </w:rPr>
        <w:t>《挥发性有机物排放标准 第6部分：有机化工行业》(DB37/2801.6--2018)表3 厂界监控点浓度限值(2.0</w:t>
      </w:r>
      <w:r>
        <w:rPr>
          <w:rFonts w:hint="default" w:ascii="Times New Roman" w:hAnsi="Times New Roman" w:cs="Times New Roman" w:eastAsiaTheme="minorEastAsia"/>
          <w:color w:val="auto"/>
          <w:lang w:val="en-US" w:eastAsia="zh-CN"/>
        </w:rPr>
        <w:t>mg/m</w:t>
      </w:r>
      <w:r>
        <w:rPr>
          <w:rFonts w:hint="default" w:ascii="Times New Roman" w:hAnsi="Times New Roman" w:cs="Times New Roman" w:eastAsiaTheme="minorEastAsia"/>
          <w:color w:val="auto"/>
          <w:vertAlign w:val="superscript"/>
          <w:lang w:val="en-US" w:eastAsia="zh-CN"/>
        </w:rPr>
        <w:t>3</w:t>
      </w:r>
      <w:r>
        <w:rPr>
          <w:rFonts w:hint="eastAsia" w:cs="Times New Roman" w:eastAsiaTheme="minorEastAsia"/>
          <w:color w:val="auto"/>
          <w:vertAlign w:val="baseline"/>
          <w:lang w:val="en-US" w:eastAsia="zh-CN"/>
        </w:rPr>
        <w:t>)</w:t>
      </w:r>
      <w:r>
        <w:rPr>
          <w:rFonts w:hint="default" w:ascii="Times New Roman" w:hAnsi="Times New Roman" w:cs="Times New Roman"/>
          <w:color w:val="auto"/>
        </w:rPr>
        <w:t>。</w:t>
      </w:r>
    </w:p>
    <w:bookmarkEnd w:id="49"/>
    <w:p>
      <w:pPr>
        <w:pStyle w:val="9"/>
        <w:rPr>
          <w:rFonts w:cs="Times New Roman" w:eastAsiaTheme="minorEastAsia"/>
          <w:sz w:val="24"/>
          <w:szCs w:val="24"/>
        </w:rPr>
      </w:pPr>
      <w:bookmarkStart w:id="50" w:name="_Toc5539_WPSOffice_Level2"/>
      <w:bookmarkStart w:id="51" w:name="_Toc17551"/>
      <w:r>
        <w:rPr>
          <w:rFonts w:cs="Times New Roman" w:eastAsiaTheme="minorEastAsia"/>
          <w:sz w:val="24"/>
          <w:szCs w:val="24"/>
        </w:rPr>
        <w:t>噪声</w:t>
      </w:r>
      <w:bookmarkEnd w:id="50"/>
      <w:bookmarkEnd w:id="51"/>
    </w:p>
    <w:p>
      <w:pPr>
        <w:pStyle w:val="10"/>
        <w:rPr>
          <w:rFonts w:cs="Times New Roman" w:eastAsiaTheme="minorEastAsia"/>
        </w:rPr>
      </w:pPr>
      <w:bookmarkStart w:id="52" w:name="_Toc27680_WPSOffice_Level3"/>
      <w:r>
        <w:rPr>
          <w:rFonts w:cs="Times New Roman" w:eastAsiaTheme="minorEastAsia"/>
        </w:rPr>
        <w:t>主要噪声源</w:t>
      </w:r>
      <w:bookmarkEnd w:id="52"/>
    </w:p>
    <w:p>
      <w:pPr>
        <w:rPr>
          <w:rFonts w:hint="eastAsia" w:eastAsia="宋体"/>
          <w:lang w:eastAsia="zh-CN"/>
        </w:rPr>
      </w:pPr>
      <w:r>
        <w:rPr>
          <w:rFonts w:hint="eastAsia"/>
        </w:rPr>
        <w:t>本项目产生的噪声主要为灌装机及风机等机械设备运转产生的噪声</w:t>
      </w:r>
      <w:r>
        <w:rPr>
          <w:rFonts w:hint="eastAsia"/>
          <w:lang w:eastAsia="zh-CN"/>
        </w:rPr>
        <w:t>。</w:t>
      </w:r>
    </w:p>
    <w:p>
      <w:pPr>
        <w:pStyle w:val="10"/>
        <w:rPr>
          <w:rFonts w:cs="Times New Roman" w:eastAsiaTheme="minorEastAsia"/>
        </w:rPr>
      </w:pPr>
      <w:bookmarkStart w:id="53" w:name="_Toc7731_WPSOffice_Level3"/>
      <w:r>
        <w:rPr>
          <w:rFonts w:cs="Times New Roman" w:eastAsiaTheme="minorEastAsia"/>
        </w:rPr>
        <w:t>治理措施</w:t>
      </w:r>
      <w:bookmarkEnd w:id="53"/>
    </w:p>
    <w:p>
      <w:pPr>
        <w:pStyle w:val="89"/>
        <w:widowControl w:val="0"/>
        <w:numPr>
          <w:ilvl w:val="0"/>
          <w:numId w:val="6"/>
        </w:numPr>
        <w:ind w:left="0" w:firstLine="480"/>
        <w:rPr>
          <w:rFonts w:cs="Times New Roman" w:eastAsiaTheme="minorEastAsia"/>
        </w:rPr>
      </w:pPr>
      <w:r>
        <w:rPr>
          <w:rFonts w:hint="eastAsia"/>
        </w:rPr>
        <w:t>选用低噪声设备：在满足项目生产工艺的前提下，尽可能选择先进、噪声低的生产设备，从源头降低噪声</w:t>
      </w:r>
      <w:r>
        <w:rPr>
          <w:rFonts w:cs="Times New Roman" w:eastAsiaTheme="minorEastAsia"/>
        </w:rPr>
        <w:t>。</w:t>
      </w:r>
    </w:p>
    <w:p>
      <w:pPr>
        <w:pStyle w:val="89"/>
        <w:widowControl w:val="0"/>
        <w:numPr>
          <w:ilvl w:val="0"/>
          <w:numId w:val="6"/>
        </w:numPr>
        <w:ind w:left="0" w:firstLine="480"/>
        <w:rPr>
          <w:rFonts w:cs="Times New Roman" w:eastAsiaTheme="minorEastAsia"/>
        </w:rPr>
      </w:pPr>
      <w:r>
        <w:rPr>
          <w:rFonts w:hint="eastAsia"/>
        </w:rPr>
        <w:t>车间内合理布局：将设备全部安置在车间内，在满足生产的前提下综合考虑，在车间设备布置时考虑地形、声源方向性和车间噪声强弱等因素，进行合理布局以求进一步降低厂界噪声，如将设备安置在车间中部或远离厂界的位置，充分利用厂内建筑物的隔声作用，以减轻各类声源对周围环境的影响</w:t>
      </w:r>
      <w:r>
        <w:rPr>
          <w:rFonts w:cs="Times New Roman" w:eastAsiaTheme="minorEastAsia"/>
        </w:rPr>
        <w:t>。</w:t>
      </w:r>
    </w:p>
    <w:p>
      <w:pPr>
        <w:pStyle w:val="89"/>
        <w:widowControl w:val="0"/>
        <w:numPr>
          <w:ilvl w:val="0"/>
          <w:numId w:val="6"/>
        </w:numPr>
        <w:ind w:left="0" w:firstLine="480"/>
        <w:rPr>
          <w:rFonts w:cs="Times New Roman" w:eastAsiaTheme="minorEastAsia"/>
        </w:rPr>
      </w:pPr>
      <w:r>
        <w:rPr>
          <w:rFonts w:hint="eastAsia" w:cs="Times New Roman" w:eastAsiaTheme="minorEastAsia"/>
        </w:rPr>
        <w:t>设备在安装时，根据设备的自重及振动特性采用合适的隔振垫，以减轻由于设备自身振动引起的结构传声对周围环境产生的影响</w:t>
      </w:r>
      <w:r>
        <w:rPr>
          <w:rFonts w:cs="Times New Roman" w:eastAsiaTheme="minorEastAsia"/>
        </w:rPr>
        <w:t>。</w:t>
      </w:r>
    </w:p>
    <w:p>
      <w:pPr>
        <w:pStyle w:val="89"/>
        <w:widowControl w:val="0"/>
        <w:numPr>
          <w:ilvl w:val="0"/>
          <w:numId w:val="6"/>
        </w:numPr>
        <w:ind w:left="0" w:firstLine="480"/>
        <w:rPr>
          <w:rFonts w:cs="Times New Roman" w:eastAsiaTheme="minorEastAsia"/>
        </w:rPr>
      </w:pPr>
      <w:r>
        <w:rPr>
          <w:rFonts w:hint="eastAsia" w:cs="Times New Roman" w:eastAsiaTheme="minorEastAsia"/>
        </w:rPr>
        <w:t>加强设备的维护，确保设备处于良好的运转状态，杜绝因设备不正常运转时产生的高噪声现象</w:t>
      </w:r>
      <w:r>
        <w:rPr>
          <w:rFonts w:cs="Times New Roman" w:eastAsiaTheme="minorEastAsia"/>
        </w:rPr>
        <w:t>。</w:t>
      </w:r>
    </w:p>
    <w:p>
      <w:pPr>
        <w:widowControl w:val="0"/>
        <w:ind w:firstLine="480"/>
        <w:rPr>
          <w:rFonts w:cs="Times New Roman" w:eastAsiaTheme="minorEastAsia"/>
        </w:rPr>
      </w:pPr>
      <w:r>
        <w:rPr>
          <w:rFonts w:cs="Times New Roman" w:eastAsiaTheme="minorEastAsia"/>
        </w:rPr>
        <w:t>项目采取以上措施后可以有效地降低设备噪声对周围环境的影响，噪声衰减到厂界</w:t>
      </w:r>
      <w:r>
        <w:rPr>
          <w:rFonts w:cs="Times New Roman" w:eastAsiaTheme="minorEastAsia"/>
          <w:bCs/>
        </w:rPr>
        <w:t>能满足</w:t>
      </w:r>
      <w:r>
        <w:rPr>
          <w:rFonts w:cs="Times New Roman" w:eastAsiaTheme="minorEastAsia"/>
        </w:rPr>
        <w:t>《工业企业厂界环境噪声排放标准》（GB12348-2008）中2类标准</w:t>
      </w:r>
      <w:r>
        <w:rPr>
          <w:rFonts w:hint="eastAsia" w:cs="Times New Roman" w:eastAsiaTheme="minorEastAsia"/>
          <w:lang w:val="en-US" w:eastAsia="zh-CN"/>
        </w:rPr>
        <w:t>(</w:t>
      </w:r>
      <w:r>
        <w:rPr>
          <w:rFonts w:hint="eastAsia" w:cs="Times New Roman" w:eastAsiaTheme="minorEastAsia"/>
        </w:rPr>
        <w:t>昼间60dB（A）、夜间50dB（A）</w:t>
      </w:r>
      <w:r>
        <w:rPr>
          <w:rFonts w:hint="eastAsia" w:cs="Times New Roman" w:eastAsiaTheme="minorEastAsia"/>
          <w:lang w:val="en-US" w:eastAsia="zh-CN"/>
        </w:rPr>
        <w:t>)</w:t>
      </w:r>
      <w:r>
        <w:rPr>
          <w:rFonts w:cs="Times New Roman" w:eastAsiaTheme="minorEastAsia"/>
        </w:rPr>
        <w:t>。</w:t>
      </w:r>
    </w:p>
    <w:p>
      <w:pPr>
        <w:widowControl w:val="0"/>
        <w:ind w:firstLine="480"/>
        <w:rPr>
          <w:rFonts w:cs="Times New Roman" w:eastAsiaTheme="minorEastAsia"/>
        </w:rPr>
      </w:pPr>
      <w:r>
        <w:rPr>
          <w:rFonts w:cs="Times New Roman" w:eastAsiaTheme="minorEastAsia"/>
        </w:rPr>
        <w:t>因此，只要企业落实以上隔声降噪措施，项目噪声对周围环境影响不大。</w:t>
      </w:r>
    </w:p>
    <w:p>
      <w:pPr>
        <w:pStyle w:val="8"/>
        <w:widowControl w:val="0"/>
        <w:spacing w:line="240" w:lineRule="auto"/>
        <w:rPr>
          <w:rFonts w:cs="Times New Roman" w:eastAsiaTheme="minorEastAsia"/>
        </w:rPr>
      </w:pPr>
      <w:r>
        <w:rPr>
          <w:rFonts w:cs="Times New Roman" w:eastAsiaTheme="minorEastAsia"/>
        </w:rPr>
        <w:t>项目变更汇总情况</w:t>
      </w:r>
    </w:p>
    <w:p>
      <w:pPr>
        <w:pStyle w:val="35"/>
        <w:widowControl w:val="0"/>
        <w:spacing w:before="150" w:beforeAutospacing="0" w:after="150" w:afterAutospacing="0" w:line="360" w:lineRule="auto"/>
        <w:ind w:right="1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经核实，现场无变动情况。</w:t>
      </w:r>
      <w:r>
        <w:rPr>
          <w:rFonts w:hint="eastAsia" w:ascii="宋体" w:hAnsi="宋体" w:eastAsia="宋体" w:cs="宋体"/>
          <w:sz w:val="24"/>
          <w:szCs w:val="24"/>
        </w:rPr>
        <w:t>根据《生态环境部办公厅关于印发〈污染影响类建设项目重大变动清单（试行）〉的通知》（环办环评函【2020】688号文）本项目不属于重大变动。</w:t>
      </w:r>
    </w:p>
    <w:p>
      <w:pPr>
        <w:widowControl w:val="0"/>
        <w:ind w:firstLine="480"/>
        <w:rPr>
          <w:rFonts w:cs="Times New Roman" w:eastAsiaTheme="minorEastAsia"/>
        </w:rPr>
      </w:pPr>
      <w:r>
        <w:rPr>
          <w:rFonts w:cs="Times New Roman" w:eastAsiaTheme="minorEastAsia"/>
        </w:rPr>
        <w:br w:type="page"/>
      </w:r>
    </w:p>
    <w:p>
      <w:pPr>
        <w:pStyle w:val="7"/>
        <w:widowControl w:val="0"/>
        <w:jc w:val="center"/>
        <w:rPr>
          <w:rFonts w:cs="Times New Roman" w:eastAsiaTheme="minorEastAsia"/>
          <w:szCs w:val="32"/>
        </w:rPr>
      </w:pPr>
      <w:bookmarkStart w:id="54" w:name="_Toc27755"/>
      <w:bookmarkStart w:id="55" w:name="_Toc15379"/>
      <w:bookmarkStart w:id="56" w:name="_Toc11169_WPSOffice_Level1"/>
      <w:r>
        <w:rPr>
          <w:rFonts w:cs="Times New Roman" w:eastAsiaTheme="minorEastAsia"/>
          <w:szCs w:val="32"/>
        </w:rPr>
        <w:t xml:space="preserve">  </w:t>
      </w:r>
      <w:bookmarkStart w:id="57" w:name="_Toc80224140"/>
      <w:r>
        <w:rPr>
          <w:rFonts w:cs="Times New Roman" w:eastAsiaTheme="minorEastAsia"/>
          <w:szCs w:val="32"/>
        </w:rPr>
        <w:t>环评建议及环评批复要求</w:t>
      </w:r>
      <w:bookmarkEnd w:id="54"/>
      <w:bookmarkEnd w:id="55"/>
      <w:bookmarkEnd w:id="56"/>
      <w:bookmarkEnd w:id="57"/>
    </w:p>
    <w:p>
      <w:pPr>
        <w:pStyle w:val="8"/>
        <w:widowControl w:val="0"/>
        <w:rPr>
          <w:rFonts w:cs="Times New Roman" w:eastAsiaTheme="minorEastAsia"/>
        </w:rPr>
      </w:pPr>
      <w:bookmarkStart w:id="58" w:name="_Toc6357_WPSOffice_Level2"/>
      <w:bookmarkStart w:id="59" w:name="_Toc11269"/>
      <w:r>
        <w:rPr>
          <w:rFonts w:cs="Times New Roman" w:eastAsiaTheme="minorEastAsia"/>
        </w:rPr>
        <w:t xml:space="preserve"> 环评结论及建议</w:t>
      </w:r>
      <w:bookmarkEnd w:id="58"/>
      <w:bookmarkEnd w:id="59"/>
    </w:p>
    <w:p>
      <w:pPr>
        <w:widowControl w:val="0"/>
        <w:ind w:firstLine="480"/>
        <w:rPr>
          <w:rFonts w:cs="Times New Roman" w:eastAsiaTheme="minorEastAsia"/>
        </w:rPr>
      </w:pPr>
      <w:r>
        <w:rPr>
          <w:rFonts w:hint="eastAsia" w:cs="Times New Roman" w:eastAsiaTheme="minorEastAsia"/>
          <w:lang w:eastAsia="zh-CN"/>
        </w:rPr>
        <w:t>山东民基新材料科技有限公司灌装间提升技改项目</w:t>
      </w:r>
      <w:r>
        <w:rPr>
          <w:rFonts w:cs="Times New Roman" w:eastAsiaTheme="minorEastAsia"/>
        </w:rPr>
        <w:t>环境影响报告表的结论及建议见下表：</w:t>
      </w:r>
    </w:p>
    <w:p>
      <w:pPr>
        <w:widowControl w:val="0"/>
        <w:ind w:firstLine="482"/>
        <w:jc w:val="center"/>
        <w:rPr>
          <w:rFonts w:cs="Times New Roman" w:eastAsiaTheme="minorEastAsia"/>
          <w:b/>
          <w:szCs w:val="24"/>
        </w:rPr>
      </w:pPr>
      <w:r>
        <w:rPr>
          <w:rFonts w:cs="Times New Roman" w:eastAsiaTheme="minorEastAsia"/>
          <w:b/>
          <w:szCs w:val="24"/>
        </w:rPr>
        <w:t xml:space="preserve">表 </w:t>
      </w:r>
      <w:r>
        <w:rPr>
          <w:rFonts w:cs="Times New Roman" w:eastAsiaTheme="minorEastAsia"/>
          <w:b/>
          <w:szCs w:val="24"/>
        </w:rPr>
        <w:fldChar w:fldCharType="begin"/>
      </w:r>
      <w:r>
        <w:rPr>
          <w:rFonts w:cs="Times New Roman" w:eastAsiaTheme="minorEastAsia"/>
          <w:b/>
          <w:szCs w:val="24"/>
        </w:rPr>
        <w:instrText xml:space="preserve"> STYLEREF 2 \s </w:instrText>
      </w:r>
      <w:r>
        <w:rPr>
          <w:rFonts w:cs="Times New Roman" w:eastAsiaTheme="minorEastAsia"/>
          <w:b/>
          <w:szCs w:val="24"/>
        </w:rPr>
        <w:fldChar w:fldCharType="separate"/>
      </w:r>
      <w:r>
        <w:rPr>
          <w:rFonts w:cs="Times New Roman" w:eastAsiaTheme="minorEastAsia"/>
          <w:b/>
          <w:szCs w:val="24"/>
        </w:rPr>
        <w:t>3.1</w:t>
      </w:r>
      <w:r>
        <w:rPr>
          <w:rFonts w:cs="Times New Roman" w:eastAsiaTheme="minorEastAsia"/>
          <w:b/>
          <w:szCs w:val="24"/>
        </w:rPr>
        <w:fldChar w:fldCharType="end"/>
      </w:r>
      <w:r>
        <w:rPr>
          <w:rFonts w:cs="Times New Roman" w:eastAsiaTheme="minorEastAsia"/>
          <w:b/>
          <w:szCs w:val="24"/>
        </w:rPr>
        <w:t>–</w:t>
      </w:r>
      <w:r>
        <w:rPr>
          <w:rFonts w:cs="Times New Roman" w:eastAsiaTheme="minorEastAsia"/>
          <w:b/>
          <w:szCs w:val="24"/>
        </w:rPr>
        <w:fldChar w:fldCharType="begin"/>
      </w:r>
      <w:r>
        <w:rPr>
          <w:rFonts w:cs="Times New Roman" w:eastAsiaTheme="minorEastAsia"/>
          <w:b/>
          <w:szCs w:val="24"/>
        </w:rPr>
        <w:instrText xml:space="preserve"> SEQ 表 \* ARABIC \s 2 </w:instrText>
      </w:r>
      <w:r>
        <w:rPr>
          <w:rFonts w:cs="Times New Roman" w:eastAsiaTheme="minorEastAsia"/>
          <w:b/>
          <w:szCs w:val="24"/>
        </w:rPr>
        <w:fldChar w:fldCharType="separate"/>
      </w:r>
      <w:r>
        <w:rPr>
          <w:rFonts w:cs="Times New Roman" w:eastAsiaTheme="minorEastAsia"/>
          <w:b/>
          <w:szCs w:val="24"/>
        </w:rPr>
        <w:t>1</w:t>
      </w:r>
      <w:r>
        <w:rPr>
          <w:rFonts w:cs="Times New Roman" w:eastAsiaTheme="minorEastAsia"/>
          <w:b/>
          <w:szCs w:val="24"/>
        </w:rPr>
        <w:fldChar w:fldCharType="end"/>
      </w:r>
      <w:r>
        <w:rPr>
          <w:rFonts w:cs="Times New Roman" w:eastAsiaTheme="minorEastAsia"/>
          <w:b/>
          <w:szCs w:val="24"/>
        </w:rPr>
        <w:t xml:space="preserve">  环评表结论与建议</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tcPr>
          <w:p>
            <w:pPr>
              <w:adjustRightInd w:val="0"/>
              <w:snapToGrid w:val="0"/>
              <w:ind w:firstLine="420"/>
              <w:rPr>
                <w:rFonts w:hint="eastAsia" w:eastAsia="黑体" w:cs="Times New Roman"/>
                <w:bCs/>
              </w:rPr>
            </w:pPr>
            <w:r>
              <w:rPr>
                <w:rFonts w:cs="Times New Roman"/>
                <w:bCs/>
                <w:sz w:val="21"/>
                <w:szCs w:val="21"/>
              </w:rPr>
              <w:t>一、结论</w:t>
            </w:r>
          </w:p>
          <w:p>
            <w:pPr>
              <w:adjustRightInd w:val="0"/>
              <w:snapToGrid w:val="0"/>
              <w:ind w:firstLine="420"/>
              <w:rPr>
                <w:rFonts w:hint="eastAsia" w:cs="Times New Roman" w:eastAsiaTheme="minorEastAsia"/>
                <w:kern w:val="0"/>
                <w:sz w:val="21"/>
                <w:szCs w:val="21"/>
              </w:rPr>
            </w:pPr>
            <w:r>
              <w:rPr>
                <w:rFonts w:hint="eastAsia" w:cs="Times New Roman" w:eastAsiaTheme="minorEastAsia"/>
                <w:kern w:val="0"/>
                <w:sz w:val="21"/>
                <w:szCs w:val="21"/>
              </w:rPr>
              <w:t>项目建设地点位于张店东部化工区内，符合园区规划及规划环评的要求，符合国家及淄博市产业政策，选址基本合理，项目建设满足当地“三线一单”控制要求，采取的污染物治理设施可行有效，项目建设对周围环境的影响可以接受。项目运营后会对周围环境带来一定影响，通过采取相应有效、切实可行的污染防治措施，其影响完全可以得到有效的预防控制和减缓。因此，在建设单位认真落实报告表中所提出的各项污染防治措施，实现污染物达标排放的前提下，从环境保护角度分析，本项目的建设是可行的。</w:t>
            </w:r>
          </w:p>
          <w:p>
            <w:pPr>
              <w:adjustRightInd w:val="0"/>
              <w:snapToGrid w:val="0"/>
              <w:ind w:firstLine="420"/>
              <w:rPr>
                <w:rFonts w:cs="Times New Roman"/>
                <w:bCs/>
                <w:sz w:val="21"/>
                <w:szCs w:val="21"/>
              </w:rPr>
            </w:pPr>
            <w:r>
              <w:rPr>
                <w:rFonts w:cs="Times New Roman"/>
                <w:bCs/>
                <w:sz w:val="21"/>
                <w:szCs w:val="21"/>
              </w:rPr>
              <w:t>二、建议</w:t>
            </w:r>
          </w:p>
          <w:p>
            <w:pPr>
              <w:adjustRightInd w:val="0"/>
              <w:snapToGrid w:val="0"/>
              <w:ind w:firstLine="420" w:firstLineChars="0"/>
              <w:rPr>
                <w:rFonts w:hint="eastAsia" w:eastAsia="宋体" w:cs="Times New Roman"/>
                <w:sz w:val="21"/>
                <w:szCs w:val="21"/>
                <w:lang w:eastAsia="zh-CN"/>
              </w:rPr>
            </w:pPr>
            <w:r>
              <w:rPr>
                <w:rFonts w:hint="eastAsia" w:cs="Times New Roman"/>
                <w:sz w:val="21"/>
                <w:szCs w:val="21"/>
                <w:lang w:eastAsia="zh-CN"/>
              </w:rPr>
              <w:t>无</w:t>
            </w:r>
          </w:p>
        </w:tc>
      </w:tr>
    </w:tbl>
    <w:p>
      <w:pPr>
        <w:ind w:firstLine="480"/>
        <w:rPr>
          <w:rFonts w:cs="Times New Roman" w:eastAsiaTheme="minorEastAsia"/>
        </w:rPr>
      </w:pPr>
      <w:r>
        <w:rPr>
          <w:rFonts w:cs="Times New Roman" w:eastAsiaTheme="minorEastAsia"/>
        </w:rPr>
        <w:br w:type="page"/>
      </w:r>
    </w:p>
    <w:p>
      <w:pPr>
        <w:pStyle w:val="8"/>
        <w:widowControl w:val="0"/>
        <w:spacing w:before="48" w:after="48"/>
        <w:rPr>
          <w:rFonts w:cs="Times New Roman" w:eastAsiaTheme="minorEastAsia"/>
        </w:rPr>
      </w:pPr>
      <w:bookmarkStart w:id="60" w:name="_Toc522830457"/>
      <w:bookmarkStart w:id="61" w:name="_Toc499059475"/>
      <w:bookmarkStart w:id="62" w:name="_Toc499060212"/>
      <w:r>
        <w:rPr>
          <w:rFonts w:cs="Times New Roman" w:eastAsiaTheme="minorEastAsia"/>
        </w:rPr>
        <w:t>审批部门审批决定</w:t>
      </w:r>
      <w:bookmarkEnd w:id="60"/>
      <w:bookmarkEnd w:id="61"/>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山东民基新材料科技有限公司：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经审查，对你公司《山东民基新材料科技有限公司灌装间提升技改项目环境影响报告表》(山东同济环境工程设计院有限公司编制)，提出审批意见如下：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一、该项目建设地点位于山东省淄博市张店东部化工区昌国东路227号。项目总投资45.00万元，环保投资5.00万元。为减少灌装工序无组织排放，公司计划将厂区闲置危废库改为灌装间，新购并安装灌装机和输送管线等相关设备，项目不新增占地及构筑物，物料通过输送管线自罐区引至灌装间，通过自动灌装机自动灌装，技改完成后灌装作业由露天改为在密闭车间进行。根据环评结论，该项目符合国家及当地政策要求，在落实各项污染防治措施的基础上，从环境保护角度可行，经研究，同意该项目按照环评工艺及地点进行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二、该项目在建设及运营过程中必须严格落实环境影响报告表提出的各项环保要求，并须做好以下工作；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1.加强原材物料管理，物料储存区、生产装置区、道路运输区地面水泥硬化；及时对地面进行清理，确保厂区地面干净、整洁。</w:t>
      </w:r>
    </w:p>
    <w:p>
      <w:pPr>
        <w:keepNext w:val="0"/>
        <w:keepLines w:val="0"/>
        <w:pageBreakBefore w:val="0"/>
        <w:kinsoku/>
        <w:wordWrap/>
        <w:overflowPunct/>
        <w:topLinePunct w:val="0"/>
        <w:bidi w:val="0"/>
        <w:spacing w:after="0" w:line="490" w:lineRule="exact"/>
        <w:ind w:firstLine="480" w:firstLineChars="200"/>
        <w:textAlignment w:val="auto"/>
        <w:outlineLvl w:val="1"/>
        <w:rPr>
          <w:rFonts w:hint="eastAsia" w:asciiTheme="minorEastAsia" w:hAnsiTheme="minorEastAsia" w:eastAsiaTheme="minorEastAsia" w:cstheme="minorEastAsia"/>
          <w:sz w:val="24"/>
          <w:szCs w:val="24"/>
        </w:rPr>
      </w:pPr>
      <w:r>
        <w:rPr>
          <w:rFonts w:hint="eastAsia" w:ascii="Times New Roman" w:hAnsi="Times New Roman" w:cs="Times New Roman"/>
          <w:sz w:val="24"/>
          <w:szCs w:val="24"/>
          <w:lang w:val="en-US" w:eastAsia="zh-CN"/>
        </w:rPr>
        <w:t>2.加强生产管理，强化源头控制。项目建成后，灌装废气收集后</w:t>
      </w:r>
      <w:r>
        <w:rPr>
          <w:rFonts w:hint="eastAsia" w:asciiTheme="minorEastAsia" w:hAnsiTheme="minorEastAsia" w:eastAsiaTheme="minorEastAsia" w:cstheme="minorEastAsia"/>
          <w:sz w:val="24"/>
          <w:szCs w:val="24"/>
          <w:lang w:val="en-US" w:eastAsia="zh-CN"/>
        </w:rPr>
        <w:t>进</w:t>
      </w:r>
      <w:r>
        <w:rPr>
          <w:rFonts w:hint="eastAsia" w:asciiTheme="minorEastAsia" w:hAnsiTheme="minorEastAsia" w:eastAsiaTheme="minorEastAsia" w:cstheme="minorEastAsia"/>
          <w:color w:val="auto"/>
          <w:sz w:val="24"/>
          <w:szCs w:val="24"/>
          <w:highlight w:val="none"/>
          <w:lang w:val="en-US" w:eastAsia="zh-CN"/>
        </w:rPr>
        <w:t>入公司原有RTO装置处理，处理后尾气经“急冷-碱洗”装置处理，通过1根25米</w:t>
      </w:r>
      <w:r>
        <w:rPr>
          <w:rFonts w:hint="eastAsia" w:asciiTheme="minorEastAsia" w:hAnsiTheme="minorEastAsia" w:eastAsiaTheme="minorEastAsia" w:cstheme="minorEastAsia"/>
          <w:sz w:val="24"/>
          <w:szCs w:val="24"/>
          <w:lang w:val="en-US" w:eastAsia="zh-CN"/>
        </w:rPr>
        <w:t>排气简排放。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shd w:val="clear" w:color="auto" w:fill="auto"/>
          <w:lang w:val="en-US" w:eastAsia="zh-CN"/>
        </w:rPr>
      </w:pPr>
      <w:r>
        <w:rPr>
          <w:rFonts w:hint="eastAsia" w:ascii="Times New Roman" w:hAnsi="Times New Roman" w:cs="Times New Roman"/>
          <w:color w:val="auto"/>
          <w:sz w:val="24"/>
          <w:szCs w:val="24"/>
          <w:shd w:val="clear" w:color="auto" w:fill="auto"/>
          <w:lang w:val="en-US" w:eastAsia="zh-CN"/>
        </w:rPr>
        <w:t>外排VOCs废气执行《挥发性有机物排放标准 第6部分：有机化工行业》(DB37/2801.6--2018)表1 中其他行业</w:t>
      </w:r>
      <w:r>
        <w:rPr>
          <w:rFonts w:hint="default" w:ascii="Times New Roman" w:hAnsi="Times New Roman" w:cs="Times New Roman"/>
          <w:color w:val="auto"/>
          <w:sz w:val="24"/>
          <w:szCs w:val="24"/>
          <w:shd w:val="clear" w:color="auto" w:fill="auto"/>
          <w:lang w:val="en-US" w:eastAsia="zh-CN"/>
        </w:rPr>
        <w:t>Ⅱ</w:t>
      </w:r>
      <w:r>
        <w:rPr>
          <w:rFonts w:hint="eastAsia" w:ascii="Times New Roman" w:hAnsi="Times New Roman" w:cs="Times New Roman"/>
          <w:color w:val="auto"/>
          <w:sz w:val="24"/>
          <w:szCs w:val="24"/>
          <w:shd w:val="clear" w:color="auto" w:fill="auto"/>
          <w:lang w:val="en-US" w:eastAsia="zh-CN"/>
        </w:rPr>
        <w:t>时段排放限值。60/3.0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加强设备与场所密闭管理，采取有效的防范措施，有效控制无组织排放。严格按照《挥发性有机物无组织排放控制标准》(GB37822-2019)以及《重点行业挥发性有机物综合治理方案》中相关要求管理。确保废气无组织无组织VOCs废气满足《挥发性有机物排放标准 第6部分：有机化工行业》(DB37/2801.6--2018)表3 厂界监控点浓度限值。2.0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3.合理规范布局，优先选用低噪声设备，对高噪声设备采取有效减振、消音、隔声等措施，确保运营期噪声满足《工业企业厂界环境噪声排放标准》(GB12348-2008)中的2类功能区标准要求。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该项目建成后，该项目主要污染物排放量应控制在该项目确认的总量控制指标之内，并严格按照《排污许可管理办法(试行)》及《固定污染源排污许可分类管理名录》等相关要求，做好排污许可证的申请、变更工作。各有组织排气简须按规范要求设置永久性监测采样孔和采样平台。严格按照《淄博市污染源自动监控条例》等相关要求，凡符合安装要求的必须安装自动监控系统：排污单位应按照相关法律、法规和技术规范要求，建立健全管理制度以及运行台账，负责污染源自动监测设施的运行、维护、管理及故障维修，并接受相关部门监督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加强环境风险防范措施。企业应对各风险源设置完善的预防措施和应急预案，落实应急防范与减缓措施，防止事故发生。根据环境风险评价，环境应急预案和厂区实际现状，建设相配套应急装备和监测仪器，在非事故状态下不得占用，并定期进行维修保养；加强环境风险管理，对风险评价实行动态管理，保证事故发生时立即进入应急状态，确保环境安全。定期开展环境风险应急培训和演练，切实加强事故应急处理和防范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三、建立健全环境管理制度，加强企业内部环保设施运行管理和操作人员的培训，不断提高其管理和实际运行操作能力，确保各类污染物处理设施安全稳定运行和各项污染物长期稳定达标排放。加强环保宣传教育，制定环保管理制度，设置环保宣传栏；按有关要求规范设置环保图形标志、环保治理设施标示牌。落实报告表提出的环境管理及监测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四、该项目若遇规划布局调整，须无条件停产并按规划要求进行搬迁。若遇环境信访或污染事件，经查实须立即停产整治。若该项目的性质、规模、地点、采用的生产工艺或者防治污染、防止生态破坏的措施发生重大变动的，须重新向生态环境部门报批环境影响评价文件。环保设施的安装及改造，须符合安全方面的有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五、项目建成后，要按照《建设项目环境保护管理条例》、《建设项目竣工环境保护验收暂行办法》要求，及时组织建设项目竣工验收，经验收合格后方可正式投入使用。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淄博市生态环境局临淄分局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2022年4月15日</w:t>
      </w:r>
    </w:p>
    <w:p>
      <w:pPr>
        <w:widowControl w:val="0"/>
        <w:ind w:firstLine="480"/>
        <w:rPr>
          <w:rFonts w:cs="Times New Roman" w:eastAsiaTheme="minorEastAsia"/>
        </w:rPr>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r>
        <w:rPr>
          <w:rFonts w:cs="Times New Roman" w:eastAsiaTheme="minorEastAsia"/>
        </w:rPr>
        <w:br w:type="page"/>
      </w:r>
    </w:p>
    <w:p>
      <w:pPr>
        <w:pStyle w:val="7"/>
        <w:widowControl w:val="0"/>
        <w:jc w:val="center"/>
        <w:rPr>
          <w:rFonts w:cs="Times New Roman" w:eastAsiaTheme="minorEastAsia"/>
          <w:szCs w:val="32"/>
        </w:rPr>
      </w:pPr>
      <w:bookmarkStart w:id="63" w:name="_Toc6550_WPSOffice_Level1"/>
      <w:bookmarkStart w:id="64" w:name="_Toc5400"/>
      <w:bookmarkStart w:id="65" w:name="_Toc31837"/>
      <w:r>
        <w:rPr>
          <w:rFonts w:cs="Times New Roman" w:eastAsiaTheme="minorEastAsia"/>
          <w:szCs w:val="32"/>
        </w:rPr>
        <w:t xml:space="preserve">  </w:t>
      </w:r>
      <w:bookmarkStart w:id="66" w:name="_Toc80224141"/>
      <w:r>
        <w:rPr>
          <w:rFonts w:cs="Times New Roman" w:eastAsiaTheme="minorEastAsia"/>
          <w:szCs w:val="32"/>
        </w:rPr>
        <w:t>验收监测调查</w:t>
      </w:r>
      <w:bookmarkEnd w:id="63"/>
      <w:bookmarkEnd w:id="64"/>
      <w:bookmarkEnd w:id="65"/>
      <w:bookmarkEnd w:id="66"/>
    </w:p>
    <w:p>
      <w:pPr>
        <w:pStyle w:val="8"/>
        <w:rPr>
          <w:rFonts w:cs="Times New Roman"/>
          <w:sz w:val="32"/>
        </w:rPr>
      </w:pPr>
      <w:bookmarkStart w:id="67" w:name="_Toc7777"/>
      <w:bookmarkStart w:id="68" w:name="_Toc7587_WPSOffice_Level2"/>
      <w:r>
        <w:rPr>
          <w:rFonts w:cs="Times New Roman"/>
          <w:sz w:val="32"/>
        </w:rPr>
        <w:t>. 废水监测因子及监测结果评价</w:t>
      </w:r>
    </w:p>
    <w:p>
      <w:pPr>
        <w:widowControl w:val="0"/>
        <w:autoSpaceDE w:val="0"/>
        <w:autoSpaceDN w:val="0"/>
        <w:adjustRightInd w:val="0"/>
        <w:ind w:firstLine="480"/>
        <w:rPr>
          <w:rFonts w:cs="Times New Roman" w:eastAsiaTheme="minorEastAsia"/>
        </w:rPr>
      </w:pPr>
      <w:r>
        <w:rPr>
          <w:rFonts w:cs="Times New Roman" w:eastAsiaTheme="minorEastAsia"/>
        </w:rPr>
        <w:t>依据对项目的主要污染源、污染物及环保设施运转情况的分析，确定本次验收主要监测内容为废气和噪声。</w:t>
      </w:r>
    </w:p>
    <w:p>
      <w:pPr>
        <w:pStyle w:val="8"/>
        <w:widowControl w:val="0"/>
        <w:rPr>
          <w:rFonts w:cs="Times New Roman" w:eastAsiaTheme="minorEastAsia"/>
        </w:rPr>
      </w:pPr>
      <w:bookmarkStart w:id="69" w:name="_Toc24471"/>
      <w:bookmarkStart w:id="70" w:name="_Toc12176_WPSOffice_Level2"/>
      <w:r>
        <w:rPr>
          <w:rFonts w:cs="Times New Roman" w:eastAsiaTheme="minorEastAsia"/>
        </w:rPr>
        <w:t>验收期间工况调查</w:t>
      </w:r>
      <w:bookmarkEnd w:id="69"/>
      <w:bookmarkEnd w:id="70"/>
    </w:p>
    <w:p>
      <w:pPr>
        <w:widowControl w:val="0"/>
        <w:autoSpaceDE w:val="0"/>
        <w:autoSpaceDN w:val="0"/>
        <w:adjustRightInd w:val="0"/>
        <w:ind w:firstLine="480"/>
        <w:rPr>
          <w:rFonts w:cs="Times New Roman" w:eastAsiaTheme="minorEastAsia"/>
        </w:rPr>
      </w:pPr>
      <w:r>
        <w:rPr>
          <w:rFonts w:cs="Times New Roman" w:eastAsiaTheme="minorEastAsia"/>
        </w:rPr>
        <w:t>本次验收监测于</w:t>
      </w:r>
      <w:r>
        <w:rPr>
          <w:rFonts w:hint="eastAsia" w:cs="Times New Roman" w:eastAsiaTheme="minorEastAsia"/>
          <w:spacing w:val="-4"/>
          <w:lang w:eastAsia="zh-CN"/>
        </w:rPr>
        <w:t>2022.12.06-2022.12.07</w:t>
      </w:r>
      <w:r>
        <w:rPr>
          <w:rFonts w:cs="Times New Roman" w:eastAsiaTheme="minorEastAsia"/>
        </w:rPr>
        <w:t>进行，监测期间对生产装置生产负荷记录进行查验，汇总情况见下表：</w:t>
      </w:r>
    </w:p>
    <w:p>
      <w:pPr>
        <w:widowControl w:val="0"/>
        <w:ind w:firstLine="480"/>
        <w:jc w:val="center"/>
        <w:rPr>
          <w:rFonts w:cs="Times New Roman" w:eastAsiaTheme="minorEastAsia"/>
        </w:rPr>
      </w:pPr>
      <w:bookmarkStart w:id="71" w:name="_Toc14171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4.2</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szCs w:val="24"/>
        </w:rPr>
        <w:t xml:space="preserve">  </w:t>
      </w:r>
      <w:r>
        <w:rPr>
          <w:rFonts w:cs="Times New Roman" w:eastAsiaTheme="minorEastAsia"/>
        </w:rPr>
        <w:t>监测期间生产负荷核查情况</w:t>
      </w:r>
      <w:bookmarkEnd w:id="71"/>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1811"/>
        <w:gridCol w:w="1850"/>
        <w:gridCol w:w="1601"/>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pct"/>
            <w:tcBorders>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监测日期</w:t>
            </w:r>
          </w:p>
        </w:tc>
        <w:tc>
          <w:tcPr>
            <w:tcW w:w="1062" w:type="pct"/>
            <w:tcBorders>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产品名称</w:t>
            </w:r>
          </w:p>
        </w:tc>
        <w:tc>
          <w:tcPr>
            <w:tcW w:w="1085" w:type="pct"/>
            <w:tcBorders>
              <w:bottom w:val="single" w:color="auto" w:sz="4" w:space="0"/>
              <w:tl2br w:val="nil"/>
              <w:tr2bl w:val="nil"/>
            </w:tcBorders>
            <w:vAlign w:val="center"/>
          </w:tcPr>
          <w:p>
            <w:pPr>
              <w:widowControl w:val="0"/>
              <w:adjustRightInd w:val="0"/>
              <w:snapToGrid w:val="0"/>
              <w:spacing w:line="240" w:lineRule="auto"/>
              <w:ind w:firstLine="0" w:firstLineChars="0"/>
              <w:jc w:val="center"/>
              <w:rPr>
                <w:rFonts w:hint="eastAsia" w:eastAsia="宋体" w:cs="Times New Roman"/>
                <w:bCs/>
                <w:sz w:val="21"/>
                <w:szCs w:val="21"/>
                <w:lang w:val="en-US" w:eastAsia="zh-CN"/>
              </w:rPr>
            </w:pPr>
            <w:r>
              <w:rPr>
                <w:rFonts w:cs="Times New Roman"/>
                <w:bCs/>
                <w:sz w:val="21"/>
                <w:szCs w:val="21"/>
              </w:rPr>
              <w:t xml:space="preserve">设计负荷 </w:t>
            </w:r>
            <w:r>
              <w:rPr>
                <w:rFonts w:hint="eastAsia" w:cs="Times New Roman"/>
                <w:bCs/>
                <w:sz w:val="21"/>
                <w:szCs w:val="21"/>
                <w:lang w:val="en-US" w:eastAsia="zh-CN"/>
              </w:rPr>
              <w:t>t</w:t>
            </w:r>
            <w:r>
              <w:rPr>
                <w:rFonts w:cs="Times New Roman"/>
                <w:sz w:val="21"/>
                <w:szCs w:val="21"/>
              </w:rPr>
              <w:t>/</w:t>
            </w:r>
            <w:r>
              <w:rPr>
                <w:rFonts w:hint="eastAsia" w:cs="Times New Roman"/>
                <w:sz w:val="21"/>
                <w:szCs w:val="21"/>
                <w:lang w:val="en-US" w:eastAsia="zh-CN"/>
              </w:rPr>
              <w:t>h</w:t>
            </w:r>
          </w:p>
        </w:tc>
        <w:tc>
          <w:tcPr>
            <w:tcW w:w="939" w:type="pct"/>
            <w:tcBorders>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监测期间负荷</w:t>
            </w:r>
          </w:p>
          <w:p>
            <w:pPr>
              <w:widowControl w:val="0"/>
              <w:adjustRightInd w:val="0"/>
              <w:snapToGrid w:val="0"/>
              <w:spacing w:line="240" w:lineRule="auto"/>
              <w:ind w:firstLine="0" w:firstLineChars="0"/>
              <w:jc w:val="center"/>
              <w:rPr>
                <w:rFonts w:hint="eastAsia" w:eastAsia="宋体" w:cs="Times New Roman"/>
                <w:bCs/>
                <w:sz w:val="21"/>
                <w:szCs w:val="21"/>
                <w:lang w:val="en-US" w:eastAsia="zh-CN"/>
              </w:rPr>
            </w:pPr>
            <w:r>
              <w:rPr>
                <w:rFonts w:hint="eastAsia" w:cs="Times New Roman"/>
                <w:bCs/>
                <w:sz w:val="21"/>
                <w:szCs w:val="21"/>
                <w:lang w:val="en-US" w:eastAsia="zh-CN"/>
              </w:rPr>
              <w:t>t</w:t>
            </w:r>
            <w:r>
              <w:rPr>
                <w:rFonts w:cs="Times New Roman"/>
                <w:bCs/>
                <w:sz w:val="21"/>
                <w:szCs w:val="21"/>
              </w:rPr>
              <w:t>/</w:t>
            </w:r>
            <w:r>
              <w:rPr>
                <w:rFonts w:hint="eastAsia" w:cs="Times New Roman"/>
                <w:bCs/>
                <w:sz w:val="21"/>
                <w:szCs w:val="21"/>
                <w:lang w:val="en-US" w:eastAsia="zh-CN"/>
              </w:rPr>
              <w:t>h</w:t>
            </w:r>
          </w:p>
        </w:tc>
        <w:tc>
          <w:tcPr>
            <w:tcW w:w="635" w:type="pct"/>
            <w:tcBorders>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负荷比</w:t>
            </w:r>
          </w:p>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bookmarkStart w:id="72" w:name="_Hlk418599482"/>
            <w:bookmarkStart w:id="73" w:name="OLE_LINK19" w:colFirst="2" w:colLast="2"/>
            <w:bookmarkStart w:id="74" w:name="OLE_LINK11" w:colFirst="2" w:colLast="2"/>
            <w:r>
              <w:rPr>
                <w:rFonts w:hint="eastAsia" w:cs="Times New Roman"/>
                <w:sz w:val="21"/>
                <w:szCs w:val="21"/>
                <w:lang w:eastAsia="zh-CN"/>
              </w:rPr>
              <w:t>2022.12.06-2022.12.07</w:t>
            </w:r>
          </w:p>
        </w:tc>
        <w:tc>
          <w:tcPr>
            <w:tcW w:w="1062"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氯代特戊酰氯</w:t>
            </w:r>
          </w:p>
        </w:tc>
        <w:tc>
          <w:tcPr>
            <w:tcW w:w="108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9.09</w:t>
            </w:r>
          </w:p>
        </w:tc>
        <w:tc>
          <w:tcPr>
            <w:tcW w:w="939" w:type="pct"/>
            <w:tcBorders>
              <w:top w:val="single" w:color="auto" w:sz="4" w:space="0"/>
              <w:bottom w:val="single" w:color="auto" w:sz="4" w:space="0"/>
              <w:tl2br w:val="nil"/>
              <w:tr2bl w:val="nil"/>
            </w:tcBorders>
            <w:vAlign w:val="center"/>
          </w:tcPr>
          <w:p>
            <w:pPr>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7.82</w:t>
            </w:r>
          </w:p>
        </w:tc>
        <w:tc>
          <w:tcPr>
            <w:tcW w:w="63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pct"/>
            <w:tcBorders>
              <w:top w:val="single" w:color="auto" w:sz="4" w:space="0"/>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2022.12.06-2022.12.07</w:t>
            </w:r>
          </w:p>
        </w:tc>
        <w:tc>
          <w:tcPr>
            <w:tcW w:w="1062" w:type="pct"/>
            <w:tcBorders>
              <w:top w:val="single" w:color="auto" w:sz="4" w:space="0"/>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特戊酰氯</w:t>
            </w:r>
          </w:p>
        </w:tc>
        <w:tc>
          <w:tcPr>
            <w:tcW w:w="1085" w:type="pct"/>
            <w:tcBorders>
              <w:top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0.91</w:t>
            </w:r>
          </w:p>
        </w:tc>
        <w:tc>
          <w:tcPr>
            <w:tcW w:w="939" w:type="pct"/>
            <w:tcBorders>
              <w:top w:val="single" w:color="auto" w:sz="4" w:space="0"/>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0.78</w:t>
            </w:r>
          </w:p>
        </w:tc>
        <w:tc>
          <w:tcPr>
            <w:tcW w:w="635" w:type="pct"/>
            <w:tcBorders>
              <w:top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cs="Times New Roman"/>
                <w:color w:val="auto"/>
                <w:sz w:val="21"/>
                <w:szCs w:val="21"/>
              </w:rPr>
              <w:t>86</w:t>
            </w:r>
          </w:p>
        </w:tc>
      </w:tr>
      <w:bookmarkEnd w:id="72"/>
      <w:bookmarkEnd w:id="73"/>
      <w:bookmarkEnd w:id="74"/>
    </w:tbl>
    <w:p>
      <w:pPr>
        <w:ind w:firstLine="480"/>
        <w:rPr>
          <w:rFonts w:cs="Times New Roman"/>
          <w:szCs w:val="24"/>
        </w:rPr>
      </w:pPr>
      <w:r>
        <w:rPr>
          <w:rFonts w:cs="Times New Roman" w:eastAsiaTheme="minorEastAsia"/>
        </w:rPr>
        <w:t>由上表可知，监测期间各产品生产负荷大于75%，能满足竣工环保验收监测工况的要求。</w:t>
      </w:r>
    </w:p>
    <w:bookmarkEnd w:id="67"/>
    <w:bookmarkEnd w:id="68"/>
    <w:p>
      <w:pPr>
        <w:widowControl w:val="0"/>
        <w:spacing w:line="480" w:lineRule="exact"/>
        <w:ind w:firstLine="480"/>
        <w:rPr>
          <w:rFonts w:cs="Times New Roman" w:eastAsiaTheme="minorEastAsia"/>
        </w:rPr>
      </w:pPr>
      <w:r>
        <w:rPr>
          <w:rFonts w:cs="Times New Roman" w:eastAsiaTheme="minorEastAsia"/>
        </w:rPr>
        <w:br w:type="page"/>
      </w:r>
    </w:p>
    <w:p>
      <w:pPr>
        <w:pStyle w:val="7"/>
        <w:widowControl w:val="0"/>
        <w:jc w:val="center"/>
        <w:rPr>
          <w:rFonts w:cs="Times New Roman" w:eastAsiaTheme="minorEastAsia"/>
          <w:szCs w:val="32"/>
        </w:rPr>
      </w:pPr>
      <w:bookmarkStart w:id="75" w:name="_Toc19274"/>
      <w:bookmarkStart w:id="76" w:name="_Toc23608"/>
      <w:bookmarkStart w:id="77" w:name="_Toc17675_WPSOffice_Level1"/>
      <w:r>
        <w:rPr>
          <w:rFonts w:cs="Times New Roman" w:eastAsiaTheme="minorEastAsia"/>
          <w:szCs w:val="32"/>
        </w:rPr>
        <w:t xml:space="preserve">  </w:t>
      </w:r>
      <w:bookmarkStart w:id="78" w:name="_Toc80224142"/>
      <w:r>
        <w:rPr>
          <w:rFonts w:cs="Times New Roman" w:eastAsiaTheme="minorEastAsia"/>
          <w:szCs w:val="32"/>
        </w:rPr>
        <w:t>验收监测内容</w:t>
      </w:r>
      <w:bookmarkEnd w:id="75"/>
      <w:bookmarkEnd w:id="76"/>
      <w:bookmarkEnd w:id="77"/>
      <w:bookmarkEnd w:id="78"/>
    </w:p>
    <w:p>
      <w:pPr>
        <w:pStyle w:val="8"/>
        <w:widowControl w:val="0"/>
        <w:rPr>
          <w:rFonts w:cs="Times New Roman" w:eastAsiaTheme="minorEastAsia"/>
        </w:rPr>
      </w:pPr>
      <w:bookmarkStart w:id="79" w:name="_Toc24381"/>
      <w:bookmarkStart w:id="80" w:name="_Toc4027_WPSOffice_Level2"/>
      <w:r>
        <w:rPr>
          <w:rFonts w:cs="Times New Roman" w:eastAsiaTheme="minorEastAsia"/>
        </w:rPr>
        <w:t xml:space="preserve"> 废气监测因子及监测结果评价</w:t>
      </w:r>
      <w:bookmarkEnd w:id="79"/>
      <w:bookmarkEnd w:id="80"/>
    </w:p>
    <w:p>
      <w:pPr>
        <w:pStyle w:val="9"/>
        <w:rPr>
          <w:rFonts w:cs="Times New Roman" w:eastAsiaTheme="minorEastAsia"/>
        </w:rPr>
      </w:pPr>
      <w:bookmarkStart w:id="81" w:name="_Toc19993_WPSOffice_Level3"/>
      <w:bookmarkStart w:id="82" w:name="_Toc18709"/>
      <w:bookmarkStart w:id="83" w:name="_Toc6934"/>
      <w:r>
        <w:rPr>
          <w:rFonts w:cs="Times New Roman" w:eastAsiaTheme="minorEastAsia"/>
        </w:rPr>
        <w:t>监测点位、监测因子</w:t>
      </w:r>
      <w:bookmarkEnd w:id="81"/>
      <w:bookmarkEnd w:id="82"/>
    </w:p>
    <w:p>
      <w:pPr>
        <w:widowControl w:val="0"/>
        <w:tabs>
          <w:tab w:val="left" w:pos="0"/>
        </w:tabs>
        <w:ind w:firstLine="480"/>
        <w:rPr>
          <w:rFonts w:cs="Times New Roman" w:eastAsiaTheme="minorEastAsia"/>
        </w:rPr>
      </w:pPr>
      <w:r>
        <w:rPr>
          <w:rFonts w:cs="Times New Roman" w:eastAsiaTheme="minorEastAsia"/>
        </w:rPr>
        <w:t>有组织废气监测点位及监测因子见下表：</w:t>
      </w:r>
    </w:p>
    <w:p>
      <w:pPr>
        <w:widowControl w:val="0"/>
        <w:tabs>
          <w:tab w:val="left" w:pos="0"/>
        </w:tabs>
        <w:ind w:left="7" w:hanging="7" w:hangingChars="3"/>
        <w:jc w:val="center"/>
        <w:rPr>
          <w:rFonts w:cs="Times New Roman" w:eastAsiaTheme="minorEastAsia"/>
        </w:rPr>
      </w:pPr>
      <w:bookmarkStart w:id="84" w:name="_Toc32261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5.1</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t xml:space="preserve">  有组织废气监测点位及监测因子设置</w:t>
      </w:r>
      <w:bookmarkEnd w:id="84"/>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5251"/>
        <w:gridCol w:w="1461"/>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01" w:type="pct"/>
            <w:tcBorders>
              <w:bottom w:val="single" w:color="auto" w:sz="4" w:space="0"/>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编号</w:t>
            </w:r>
          </w:p>
        </w:tc>
        <w:tc>
          <w:tcPr>
            <w:tcW w:w="3080" w:type="pct"/>
            <w:tcBorders>
              <w:bottom w:val="single" w:color="auto" w:sz="4" w:space="0"/>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监测点位</w:t>
            </w:r>
          </w:p>
        </w:tc>
        <w:tc>
          <w:tcPr>
            <w:tcW w:w="857" w:type="pct"/>
            <w:tcBorders>
              <w:bottom w:val="single" w:color="auto" w:sz="4" w:space="0"/>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监测项目</w:t>
            </w:r>
          </w:p>
        </w:tc>
        <w:tc>
          <w:tcPr>
            <w:tcW w:w="660" w:type="pct"/>
            <w:tcBorders>
              <w:bottom w:val="single" w:color="auto" w:sz="4" w:space="0"/>
            </w:tcBorders>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color w:val="00000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01" w:type="pct"/>
            <w:tcBorders>
              <w:top w:val="single" w:color="auto" w:sz="4" w:space="0"/>
              <w:bottom w:val="single" w:color="auto" w:sz="4" w:space="0"/>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3080" w:type="pct"/>
            <w:tcBorders>
              <w:top w:val="single" w:color="auto" w:sz="4" w:space="0"/>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宋体" w:cs="Times New Roman"/>
                <w:sz w:val="21"/>
                <w:szCs w:val="21"/>
              </w:rPr>
            </w:pPr>
            <w:r>
              <w:rPr>
                <w:rFonts w:hint="default" w:ascii="Times New Roman" w:hAnsi="Times New Roman" w:cs="Times New Roman"/>
                <w:szCs w:val="21"/>
                <w:lang w:val="en-US" w:eastAsia="zh-CN"/>
              </w:rPr>
              <w:t>RTO尾气</w:t>
            </w:r>
            <w:r>
              <w:rPr>
                <w:rFonts w:hint="default" w:ascii="Times New Roman" w:hAnsi="Times New Roman" w:cs="Times New Roman"/>
                <w:szCs w:val="21"/>
              </w:rPr>
              <w:t>排气筒</w:t>
            </w:r>
            <w:r>
              <w:rPr>
                <w:rFonts w:hint="default" w:ascii="Times New Roman" w:hAnsi="Times New Roman" w:cs="Times New Roman"/>
                <w:szCs w:val="21"/>
                <w:lang w:eastAsia="zh-CN"/>
              </w:rPr>
              <w:t>出</w:t>
            </w:r>
            <w:r>
              <w:rPr>
                <w:rFonts w:hint="default" w:ascii="Times New Roman" w:hAnsi="Times New Roman" w:cs="Times New Roman"/>
                <w:szCs w:val="21"/>
              </w:rPr>
              <w:t>口</w:t>
            </w:r>
          </w:p>
        </w:tc>
        <w:tc>
          <w:tcPr>
            <w:tcW w:w="857" w:type="pct"/>
            <w:tcBorders>
              <w:top w:val="single" w:color="auto" w:sz="4" w:space="0"/>
              <w:bottom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rPr>
            </w:pPr>
            <w:r>
              <w:rPr>
                <w:rFonts w:hint="eastAsia" w:cs="Times New Roman"/>
                <w:sz w:val="21"/>
                <w:szCs w:val="21"/>
                <w:lang w:val="en-US" w:eastAsia="zh-CN"/>
              </w:rPr>
              <w:t>VOC</w:t>
            </w:r>
            <w:r>
              <w:rPr>
                <w:rFonts w:hint="eastAsia" w:cs="Times New Roman"/>
                <w:sz w:val="21"/>
                <w:szCs w:val="21"/>
                <w:vertAlign w:val="subscript"/>
                <w:lang w:val="en-US" w:eastAsia="zh-CN"/>
              </w:rPr>
              <w:t>S</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二噁英</w:t>
            </w:r>
          </w:p>
        </w:tc>
        <w:tc>
          <w:tcPr>
            <w:tcW w:w="660" w:type="pct"/>
            <w:vAlign w:val="center"/>
          </w:tcPr>
          <w:p>
            <w:pPr>
              <w:widowControl w:val="0"/>
              <w:adjustRightInd w:val="0"/>
              <w:snapToGrid w:val="0"/>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w:t>
            </w:r>
            <w:r>
              <w:rPr>
                <w:rFonts w:ascii="Times New Roman" w:hAnsi="Times New Roman" w:eastAsia="宋体" w:cs="Times New Roman"/>
                <w:sz w:val="21"/>
                <w:szCs w:val="21"/>
              </w:rPr>
              <w:t>次/天，</w:t>
            </w:r>
          </w:p>
          <w:p>
            <w:pPr>
              <w:widowControl w:val="0"/>
              <w:adjustRightInd w:val="0"/>
              <w:snapToGrid w:val="0"/>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2天</w:t>
            </w:r>
          </w:p>
        </w:tc>
      </w:tr>
    </w:tbl>
    <w:p>
      <w:pPr>
        <w:widowControl w:val="0"/>
        <w:tabs>
          <w:tab w:val="left" w:pos="0"/>
        </w:tabs>
        <w:spacing w:line="500" w:lineRule="exact"/>
        <w:ind w:firstLine="480"/>
        <w:rPr>
          <w:rFonts w:cs="Times New Roman" w:eastAsiaTheme="minorEastAsia"/>
        </w:rPr>
      </w:pPr>
      <w:r>
        <w:rPr>
          <w:rFonts w:cs="Times New Roman" w:eastAsiaTheme="minorEastAsia"/>
        </w:rPr>
        <w:t>无组织废气监测点位及监测因子见下表及</w:t>
      </w:r>
      <w:r>
        <w:rPr>
          <w:rFonts w:cs="Times New Roman" w:eastAsiaTheme="minorEastAsia"/>
        </w:rPr>
        <w:fldChar w:fldCharType="begin"/>
      </w:r>
      <w:r>
        <w:rPr>
          <w:rFonts w:cs="Times New Roman" w:eastAsiaTheme="minorEastAsia"/>
        </w:rPr>
        <w:instrText xml:space="preserve"> REF _Ref80219091 \h  \* MERGEFORMAT </w:instrText>
      </w:r>
      <w:r>
        <w:rPr>
          <w:rFonts w:cs="Times New Roman" w:eastAsiaTheme="minorEastAsia"/>
        </w:rPr>
        <w:fldChar w:fldCharType="separate"/>
      </w:r>
      <w:r>
        <w:rPr>
          <w:rFonts w:cs="Times New Roman" w:eastAsiaTheme="minorEastAsia"/>
        </w:rPr>
        <w:t xml:space="preserve">图 </w:t>
      </w:r>
      <w:r>
        <w:rPr>
          <w:rFonts w:cs="Times New Roman" w:eastAsiaTheme="minorEastAsia"/>
        </w:rPr>
        <w:fldChar w:fldCharType="begin"/>
      </w:r>
      <w:r>
        <w:rPr>
          <w:rFonts w:cs="Times New Roman" w:eastAsiaTheme="minorEastAsia"/>
        </w:rPr>
        <w:instrText xml:space="preserve"> STYLEREF</w:instrText>
      </w:r>
      <w:r>
        <w:instrText xml:space="preserve"> 2 \s </w:instrText>
      </w:r>
      <w:r>
        <w:fldChar w:fldCharType="separate"/>
      </w:r>
      <w:r>
        <w:t>5.1</w:t>
      </w:r>
      <w:r>
        <w:fldChar w:fldCharType="end"/>
      </w:r>
      <w:r>
        <w:t>–1</w:t>
      </w:r>
      <w:r>
        <w:rPr>
          <w:rFonts w:cs="Times New Roman" w:eastAsiaTheme="minorEastAsia"/>
        </w:rPr>
        <w:fldChar w:fldCharType="end"/>
      </w:r>
      <w:r>
        <w:rPr>
          <w:rFonts w:cs="Times New Roman" w:eastAsiaTheme="minorEastAsia"/>
        </w:rPr>
        <w:t>。</w:t>
      </w:r>
    </w:p>
    <w:p>
      <w:pPr>
        <w:widowControl w:val="0"/>
        <w:tabs>
          <w:tab w:val="left" w:pos="0"/>
        </w:tabs>
        <w:spacing w:line="470" w:lineRule="exact"/>
        <w:ind w:left="10" w:hanging="9" w:hangingChars="4"/>
        <w:jc w:val="center"/>
        <w:rPr>
          <w:rFonts w:cs="Times New Roman" w:eastAsiaTheme="minorEastAsia"/>
        </w:rPr>
      </w:pPr>
      <w:bookmarkStart w:id="85" w:name="_Toc14552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5.1</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2</w:t>
      </w:r>
      <w:r>
        <w:rPr>
          <w:rFonts w:cs="Times New Roman" w:eastAsiaTheme="minorEastAsia"/>
        </w:rPr>
        <w:fldChar w:fldCharType="end"/>
      </w:r>
      <w:r>
        <w:rPr>
          <w:rFonts w:cs="Times New Roman" w:eastAsiaTheme="minorEastAsia"/>
        </w:rPr>
        <w:t xml:space="preserve">  无组织废气监测点位及监测因子设置</w:t>
      </w:r>
      <w:bookmarkEnd w:id="85"/>
    </w:p>
    <w:tbl>
      <w:tblPr>
        <w:tblStyle w:val="38"/>
        <w:tblpPr w:leftFromText="180" w:rightFromText="180" w:vertAnchor="text" w:horzAnchor="margin" w:tblpXSpec="center" w:tblpY="3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364"/>
        <w:gridCol w:w="2023"/>
        <w:gridCol w:w="1583"/>
        <w:gridCol w:w="15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1"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编号</w:t>
            </w:r>
          </w:p>
        </w:tc>
        <w:tc>
          <w:tcPr>
            <w:tcW w:w="1386"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监测点位</w:t>
            </w:r>
          </w:p>
        </w:tc>
        <w:tc>
          <w:tcPr>
            <w:tcW w:w="1186"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监测因子</w:t>
            </w:r>
          </w:p>
        </w:tc>
        <w:tc>
          <w:tcPr>
            <w:tcW w:w="928"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监测项目</w:t>
            </w:r>
          </w:p>
        </w:tc>
        <w:tc>
          <w:tcPr>
            <w:tcW w:w="935"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1"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1386"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厂界上风向（参照点）</w:t>
            </w:r>
          </w:p>
        </w:tc>
        <w:tc>
          <w:tcPr>
            <w:tcW w:w="1186" w:type="pct"/>
            <w:vMerge w:val="restar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hint="eastAsia" w:cs="Times New Roman"/>
                <w:sz w:val="21"/>
                <w:szCs w:val="21"/>
                <w:lang w:val="en-US" w:eastAsia="zh-CN"/>
              </w:rPr>
              <w:t>VOC</w:t>
            </w:r>
            <w:r>
              <w:rPr>
                <w:rFonts w:hint="eastAsia" w:cs="Times New Roman"/>
                <w:sz w:val="21"/>
                <w:szCs w:val="21"/>
                <w:vertAlign w:val="subscript"/>
                <w:lang w:val="en-US" w:eastAsia="zh-CN"/>
              </w:rPr>
              <w:t>S</w:t>
            </w:r>
          </w:p>
        </w:tc>
        <w:tc>
          <w:tcPr>
            <w:tcW w:w="928" w:type="pct"/>
            <w:vMerge w:val="restart"/>
            <w:tcBorders>
              <w:top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排放浓度及</w:t>
            </w:r>
          </w:p>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气象参数</w:t>
            </w:r>
          </w:p>
        </w:tc>
        <w:tc>
          <w:tcPr>
            <w:tcW w:w="935" w:type="pct"/>
            <w:vMerge w:val="restart"/>
            <w:tcBorders>
              <w:top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3次/天，2天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1"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2#~4#</w:t>
            </w:r>
          </w:p>
        </w:tc>
        <w:tc>
          <w:tcPr>
            <w:tcW w:w="1386"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厂界下风向（监控点）</w:t>
            </w:r>
          </w:p>
        </w:tc>
        <w:tc>
          <w:tcPr>
            <w:tcW w:w="1186" w:type="pct"/>
            <w:vMerge w:val="continue"/>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c>
          <w:tcPr>
            <w:tcW w:w="928" w:type="pct"/>
            <w:vMerge w:val="continue"/>
            <w:tcBorders>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c>
          <w:tcPr>
            <w:tcW w:w="935" w:type="pct"/>
            <w:vMerge w:val="continue"/>
            <w:tcBorders>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r>
    </w:tbl>
    <w:p>
      <w:pPr>
        <w:pStyle w:val="9"/>
        <w:rPr>
          <w:rFonts w:cs="Times New Roman" w:eastAsiaTheme="minorEastAsia"/>
        </w:rPr>
      </w:pPr>
      <w:bookmarkStart w:id="86" w:name="_Toc32338_WPSOffice_Level3"/>
      <w:bookmarkStart w:id="87" w:name="_Toc12858"/>
      <w:r>
        <w:rPr>
          <w:rFonts w:cs="Times New Roman" w:eastAsiaTheme="minorEastAsia"/>
        </w:rPr>
        <w:t>监测分析方法</w:t>
      </w:r>
      <w:bookmarkEnd w:id="86"/>
      <w:bookmarkEnd w:id="87"/>
    </w:p>
    <w:p>
      <w:pPr>
        <w:widowControl w:val="0"/>
        <w:spacing w:line="520" w:lineRule="exact"/>
        <w:ind w:firstLine="480"/>
        <w:rPr>
          <w:rFonts w:cs="Times New Roman" w:eastAsiaTheme="minorEastAsia"/>
        </w:rPr>
      </w:pPr>
      <w:r>
        <w:rPr>
          <w:rFonts w:cs="Times New Roman" w:eastAsiaTheme="minorEastAsia"/>
        </w:rPr>
        <w:t>废气监测分析方法见下表：</w:t>
      </w:r>
    </w:p>
    <w:p>
      <w:pPr>
        <w:widowControl w:val="0"/>
        <w:adjustRightInd w:val="0"/>
        <w:snapToGrid w:val="0"/>
        <w:spacing w:line="480" w:lineRule="exact"/>
        <w:ind w:firstLine="480"/>
        <w:jc w:val="center"/>
        <w:rPr>
          <w:rFonts w:cs="Times New Roman" w:eastAsiaTheme="minorEastAsia"/>
          <w:bCs/>
        </w:rPr>
      </w:pPr>
      <w:bookmarkStart w:id="88" w:name="_Toc32338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5.1</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3</w:t>
      </w:r>
      <w:r>
        <w:rPr>
          <w:rFonts w:cs="Times New Roman" w:eastAsiaTheme="minorEastAsia"/>
        </w:rPr>
        <w:fldChar w:fldCharType="end"/>
      </w:r>
      <w:r>
        <w:rPr>
          <w:rFonts w:cs="Times New Roman" w:eastAsiaTheme="minorEastAsia"/>
        </w:rPr>
        <w:t xml:space="preserve">  </w:t>
      </w:r>
      <w:r>
        <w:rPr>
          <w:rFonts w:cs="Times New Roman" w:eastAsiaTheme="minorEastAsia"/>
          <w:bCs/>
        </w:rPr>
        <w:t>废气监测分析方法</w:t>
      </w:r>
      <w:bookmarkEnd w:id="88"/>
    </w:p>
    <w:tbl>
      <w:tblPr>
        <w:tblStyle w:val="39"/>
        <w:tblW w:w="510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855"/>
        <w:gridCol w:w="4096"/>
        <w:gridCol w:w="1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bookmarkStart w:id="89" w:name="_Toc17443_WPSOffice_Level3"/>
            <w:r>
              <w:rPr>
                <w:rFonts w:cs="Times New Roman"/>
                <w:sz w:val="21"/>
                <w:szCs w:val="21"/>
              </w:rPr>
              <w:t>检测项目</w:t>
            </w:r>
          </w:p>
        </w:tc>
        <w:tc>
          <w:tcPr>
            <w:tcW w:w="106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标准号</w:t>
            </w:r>
          </w:p>
        </w:tc>
        <w:tc>
          <w:tcPr>
            <w:tcW w:w="2351"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color w:val="auto"/>
                <w:sz w:val="21"/>
                <w:szCs w:val="21"/>
              </w:rPr>
            </w:pPr>
            <w:r>
              <w:rPr>
                <w:rFonts w:cs="Times New Roman"/>
                <w:color w:val="auto"/>
                <w:sz w:val="21"/>
                <w:szCs w:val="21"/>
              </w:rPr>
              <w:t>分析方法</w:t>
            </w:r>
          </w:p>
        </w:tc>
        <w:tc>
          <w:tcPr>
            <w:tcW w:w="837"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color w:val="auto"/>
                <w:sz w:val="21"/>
                <w:szCs w:val="21"/>
                <w:vertAlign w:val="superscript"/>
              </w:rPr>
            </w:pPr>
            <w:r>
              <w:rPr>
                <w:rFonts w:cs="Times New Roman"/>
                <w:color w:val="auto"/>
                <w:sz w:val="21"/>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06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HJ 38-2017</w:t>
            </w:r>
          </w:p>
        </w:tc>
        <w:tc>
          <w:tcPr>
            <w:tcW w:w="2351"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固定污染源废气 总烃、甲烷和非甲烷总烃的测定 气相色谱法</w:t>
            </w:r>
            <w:r>
              <w:rPr>
                <w:rFonts w:hint="default" w:ascii="Times New Roman" w:hAnsi="Times New Roman" w:eastAsia="宋体" w:cs="Times New Roman"/>
                <w:sz w:val="21"/>
                <w:szCs w:val="21"/>
                <w:lang w:val="en-US" w:eastAsia="zh-CN"/>
              </w:rPr>
              <w:t>》</w:t>
            </w:r>
          </w:p>
        </w:tc>
        <w:tc>
          <w:tcPr>
            <w:tcW w:w="837"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0.07mg/m</w:t>
            </w:r>
            <w:r>
              <w:rPr>
                <w:rFonts w:hint="default" w:ascii="Times New Roman" w:hAnsi="Times New Roman" w:eastAsia="宋体" w:cs="Times New Roman"/>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06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HJ 604-2017</w:t>
            </w:r>
          </w:p>
        </w:tc>
        <w:tc>
          <w:tcPr>
            <w:tcW w:w="2351"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《环境空气总烃、甲烷和非甲烷总烃的测定 直接进样-气相色谱法》</w:t>
            </w:r>
          </w:p>
        </w:tc>
        <w:tc>
          <w:tcPr>
            <w:tcW w:w="837"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0.07mg/m</w:t>
            </w:r>
            <w:r>
              <w:rPr>
                <w:rFonts w:hint="default" w:ascii="Times New Roman" w:hAnsi="Times New Roman" w:eastAsia="宋体" w:cs="Times New Roman"/>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二噁英</w:t>
            </w:r>
          </w:p>
        </w:tc>
        <w:tc>
          <w:tcPr>
            <w:tcW w:w="106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HJ 77.2－2008</w:t>
            </w:r>
          </w:p>
        </w:tc>
        <w:tc>
          <w:tcPr>
            <w:tcW w:w="2351"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《环境空气和废气 </w:t>
            </w:r>
            <w:r>
              <w:rPr>
                <w:rFonts w:hint="eastAsia" w:ascii="Times New Roman" w:hAnsi="Times New Roman" w:eastAsia="宋体" w:cs="Times New Roman"/>
                <w:sz w:val="21"/>
                <w:szCs w:val="21"/>
                <w:lang w:val="en-US" w:eastAsia="zh-CN"/>
              </w:rPr>
              <w:t>二噁英</w:t>
            </w:r>
            <w:r>
              <w:rPr>
                <w:rFonts w:hint="default" w:ascii="Times New Roman" w:hAnsi="Times New Roman" w:eastAsia="宋体" w:cs="Times New Roman"/>
                <w:sz w:val="21"/>
                <w:szCs w:val="21"/>
                <w:lang w:val="en-US" w:eastAsia="zh-CN"/>
              </w:rPr>
              <w:t>类的测定</w:t>
            </w:r>
          </w:p>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同位素稀释高分辨气相色谱-高分辨质谱法</w:t>
            </w:r>
            <w:r>
              <w:rPr>
                <w:rFonts w:hint="eastAsia" w:ascii="Times New Roman" w:hAnsi="Times New Roman" w:eastAsia="宋体" w:cs="Times New Roman"/>
                <w:sz w:val="21"/>
                <w:szCs w:val="21"/>
              </w:rPr>
              <w:t>》</w:t>
            </w:r>
          </w:p>
        </w:tc>
        <w:tc>
          <w:tcPr>
            <w:tcW w:w="837"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w:t>
            </w:r>
          </w:p>
        </w:tc>
      </w:tr>
    </w:tbl>
    <w:p>
      <w:pPr>
        <w:pStyle w:val="9"/>
        <w:rPr>
          <w:rFonts w:cs="Times New Roman" w:eastAsiaTheme="minorEastAsia"/>
        </w:rPr>
      </w:pPr>
      <w:r>
        <w:rPr>
          <w:rFonts w:cs="Times New Roman" w:eastAsiaTheme="minorEastAsia"/>
        </w:rPr>
        <w:t xml:space="preserve"> 质量保证和质量控制</w:t>
      </w:r>
      <w:bookmarkEnd w:id="83"/>
      <w:bookmarkEnd w:id="89"/>
    </w:p>
    <w:p>
      <w:pPr>
        <w:widowControl w:val="0"/>
        <w:autoSpaceDE w:val="0"/>
        <w:autoSpaceDN w:val="0"/>
        <w:adjustRightInd w:val="0"/>
        <w:ind w:firstLine="480"/>
        <w:rPr>
          <w:rFonts w:cs="Times New Roman" w:eastAsiaTheme="minorEastAsia"/>
        </w:rPr>
      </w:pPr>
      <w:bookmarkStart w:id="90" w:name="_Toc7264"/>
      <w:r>
        <w:rPr>
          <w:rFonts w:cs="Times New Roman" w:eastAsiaTheme="minorEastAsia"/>
        </w:rPr>
        <w:t>监测质量保证和质量控制按照《固定污染源监测质量保证与质量控制技术规范（试行）》（HJ/T373-2007）、《环境空气质量手工监测技术规范》（HJ/T194-2017）的相关要求进行。</w:t>
      </w:r>
    </w:p>
    <w:p>
      <w:pPr>
        <w:widowControl w:val="0"/>
        <w:autoSpaceDE w:val="0"/>
        <w:autoSpaceDN w:val="0"/>
        <w:adjustRightInd w:val="0"/>
        <w:ind w:firstLine="480"/>
        <w:rPr>
          <w:rFonts w:cs="Times New Roman" w:eastAsiaTheme="minorEastAsia"/>
        </w:rPr>
      </w:pPr>
      <w:r>
        <w:rPr>
          <w:rFonts w:cs="Times New Roman" w:eastAsiaTheme="minorEastAsia"/>
        </w:rPr>
        <w:fldChar w:fldCharType="begin"/>
      </w:r>
      <w:r>
        <w:rPr>
          <w:rFonts w:cs="Times New Roman" w:eastAsiaTheme="minorEastAsia"/>
        </w:rPr>
        <w:instrText xml:space="preserve"> = 1 \* GB2 </w:instrText>
      </w:r>
      <w:r>
        <w:rPr>
          <w:rFonts w:cs="Times New Roman" w:eastAsiaTheme="minorEastAsia"/>
        </w:rPr>
        <w:fldChar w:fldCharType="separate"/>
      </w:r>
      <w:r>
        <w:rPr>
          <w:rFonts w:cs="Times New Roman" w:eastAsiaTheme="minorEastAsia"/>
        </w:rPr>
        <w:t>⑴</w:t>
      </w:r>
      <w:r>
        <w:rPr>
          <w:rFonts w:cs="Times New Roman" w:eastAsiaTheme="minorEastAsia"/>
        </w:rPr>
        <w:fldChar w:fldCharType="end"/>
      </w:r>
      <w:r>
        <w:rPr>
          <w:rFonts w:cs="Times New Roman" w:eastAsiaTheme="minorEastAsia"/>
        </w:rPr>
        <w:t>监测期间核查了生产负荷记录，生产负荷大于75%，满足要求。</w:t>
      </w:r>
    </w:p>
    <w:p>
      <w:pPr>
        <w:widowControl w:val="0"/>
        <w:autoSpaceDE w:val="0"/>
        <w:autoSpaceDN w:val="0"/>
        <w:adjustRightInd w:val="0"/>
        <w:ind w:firstLine="480"/>
        <w:rPr>
          <w:rFonts w:cs="Times New Roman" w:eastAsiaTheme="minorEastAsia"/>
        </w:rPr>
      </w:pPr>
      <w:r>
        <w:rPr>
          <w:rFonts w:cs="Times New Roman" w:eastAsiaTheme="minorEastAsia"/>
        </w:rPr>
        <w:fldChar w:fldCharType="begin"/>
      </w:r>
      <w:r>
        <w:rPr>
          <w:rFonts w:cs="Times New Roman" w:eastAsiaTheme="minorEastAsia"/>
        </w:rPr>
        <w:instrText xml:space="preserve"> = 2 \* GB2 </w:instrText>
      </w:r>
      <w:r>
        <w:rPr>
          <w:rFonts w:cs="Times New Roman" w:eastAsiaTheme="minorEastAsia"/>
        </w:rPr>
        <w:fldChar w:fldCharType="separate"/>
      </w:r>
      <w:r>
        <w:rPr>
          <w:rFonts w:cs="Times New Roman" w:eastAsiaTheme="minorEastAsia"/>
        </w:rPr>
        <w:t>⑵</w:t>
      </w:r>
      <w:r>
        <w:rPr>
          <w:rFonts w:cs="Times New Roman" w:eastAsiaTheme="minorEastAsia"/>
        </w:rPr>
        <w:fldChar w:fldCharType="end"/>
      </w:r>
      <w:r>
        <w:rPr>
          <w:rFonts w:cs="Times New Roman" w:eastAsiaTheme="minorEastAsia"/>
        </w:rPr>
        <w:t>优先采用了国标、行标监测分析方法，监测采样与测试分析人员均经考核合格并持证上岗，监测仪器经计量部门检定并在有效使用期内。</w:t>
      </w:r>
    </w:p>
    <w:p>
      <w:pPr>
        <w:widowControl w:val="0"/>
        <w:autoSpaceDE w:val="0"/>
        <w:autoSpaceDN w:val="0"/>
        <w:adjustRightInd w:val="0"/>
        <w:ind w:firstLine="480"/>
        <w:rPr>
          <w:rFonts w:cs="Times New Roman" w:eastAsiaTheme="minorEastAsia"/>
          <w:bCs/>
        </w:rPr>
      </w:pPr>
      <w:r>
        <w:rPr>
          <w:rFonts w:cs="Times New Roman" w:eastAsiaTheme="minorEastAsia"/>
        </w:rPr>
        <w:fldChar w:fldCharType="begin"/>
      </w:r>
      <w:r>
        <w:rPr>
          <w:rFonts w:cs="Times New Roman" w:eastAsiaTheme="minorEastAsia"/>
        </w:rPr>
        <w:instrText xml:space="preserve"> = 3 \* GB2 </w:instrText>
      </w:r>
      <w:r>
        <w:rPr>
          <w:rFonts w:cs="Times New Roman" w:eastAsiaTheme="minorEastAsia"/>
        </w:rPr>
        <w:fldChar w:fldCharType="separate"/>
      </w:r>
      <w:r>
        <w:rPr>
          <w:rFonts w:cs="Times New Roman" w:eastAsiaTheme="minorEastAsia"/>
        </w:rPr>
        <w:t>⑶</w:t>
      </w:r>
      <w:r>
        <w:rPr>
          <w:rFonts w:cs="Times New Roman" w:eastAsiaTheme="minorEastAsia"/>
        </w:rPr>
        <w:fldChar w:fldCharType="end"/>
      </w:r>
      <w:r>
        <w:rPr>
          <w:rFonts w:cs="Times New Roman" w:eastAsiaTheme="minorEastAsia"/>
        </w:rPr>
        <w:t>监测数据和技术报告执行三级审核制度。</w:t>
      </w:r>
    </w:p>
    <w:p>
      <w:pPr>
        <w:pStyle w:val="9"/>
        <w:rPr>
          <w:rFonts w:cs="Times New Roman" w:eastAsiaTheme="minorEastAsia"/>
        </w:rPr>
      </w:pPr>
      <w:bookmarkStart w:id="91" w:name="_Toc23952_WPSOffice_Level3"/>
      <w:r>
        <w:rPr>
          <w:rFonts w:cs="Times New Roman" w:eastAsiaTheme="minorEastAsia"/>
        </w:rPr>
        <w:t xml:space="preserve"> 验收监测评价标准</w:t>
      </w:r>
      <w:bookmarkEnd w:id="90"/>
      <w:bookmarkEnd w:id="91"/>
    </w:p>
    <w:p>
      <w:pPr>
        <w:widowControl w:val="0"/>
        <w:autoSpaceDE w:val="0"/>
        <w:autoSpaceDN w:val="0"/>
        <w:adjustRightInd w:val="0"/>
        <w:spacing w:before="46" w:beforeLines="15" w:after="46" w:afterLines="15"/>
        <w:ind w:firstLine="470" w:firstLineChars="195"/>
        <w:rPr>
          <w:rFonts w:cs="Times New Roman" w:eastAsiaTheme="minorEastAsia"/>
          <w:b/>
          <w:kern w:val="0"/>
        </w:rPr>
      </w:pPr>
      <w:bookmarkStart w:id="92" w:name="_Toc23952_WPSOffice_Level2"/>
      <w:r>
        <w:rPr>
          <w:rFonts w:cs="Times New Roman" w:eastAsiaTheme="minorEastAsia"/>
          <w:b/>
          <w:kern w:val="0"/>
        </w:rPr>
        <w:t>1.有组织废气排放评价标准</w:t>
      </w:r>
    </w:p>
    <w:p>
      <w:pPr>
        <w:widowControl w:val="0"/>
        <w:autoSpaceDE w:val="0"/>
        <w:autoSpaceDN w:val="0"/>
        <w:adjustRightInd w:val="0"/>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本项目VOC</w:t>
      </w:r>
      <w:r>
        <w:rPr>
          <w:rFonts w:hint="eastAsia" w:ascii="Times New Roman" w:hAnsi="Times New Roman" w:eastAsia="宋体" w:cs="Times New Roman"/>
          <w:color w:val="auto"/>
          <w:vertAlign w:val="subscript"/>
        </w:rPr>
        <w:t>S</w:t>
      </w:r>
      <w:r>
        <w:rPr>
          <w:rFonts w:hint="eastAsia" w:ascii="Times New Roman" w:hAnsi="Times New Roman" w:eastAsia="宋体" w:cs="Times New Roman"/>
          <w:color w:val="auto"/>
        </w:rPr>
        <w:t>执行《挥发性有机物排放标准 第6部分：有机化工行业》(DB37/2801.6--2018)表1 中其他行业Ⅱ时段排放限值（VOCs：60mg/m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、3.0kg/h）；</w:t>
      </w:r>
      <w:r>
        <w:rPr>
          <w:rFonts w:hint="eastAsia" w:cs="Times New Roman"/>
          <w:color w:val="auto"/>
          <w:lang w:eastAsia="zh-CN"/>
        </w:rPr>
        <w:t>二噁英排放能够满足《挥发性有机物排放标准第 6 部分：有机化工行业》（DB37/2801.6-2019）表2废气中有机特征污染物及排放限值的要求</w:t>
      </w:r>
      <w:r>
        <w:rPr>
          <w:rFonts w:hint="eastAsia" w:ascii="Times New Roman" w:hAnsi="Times New Roman" w:eastAsia="宋体" w:cs="Times New Roman"/>
          <w:color w:val="auto"/>
        </w:rPr>
        <w:t>（</w:t>
      </w:r>
      <w:r>
        <w:rPr>
          <w:rFonts w:hint="eastAsia" w:cs="Times New Roman"/>
          <w:color w:val="auto"/>
          <w:lang w:eastAsia="zh-CN"/>
        </w:rPr>
        <w:t>二噁英</w:t>
      </w:r>
      <w:r>
        <w:rPr>
          <w:rFonts w:hint="eastAsia" w:ascii="Times New Roman" w:hAnsi="Times New Roman" w:eastAsia="宋体" w:cs="Times New Roman"/>
          <w:color w:val="auto"/>
        </w:rPr>
        <w:t>：0.1ng-TEQ/m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w:t>
      </w:r>
    </w:p>
    <w:p>
      <w:pPr>
        <w:widowControl w:val="0"/>
        <w:spacing w:line="460" w:lineRule="exact"/>
        <w:ind w:firstLine="480"/>
        <w:rPr>
          <w:rFonts w:cs="Times New Roman" w:eastAsiaTheme="minorEastAsia"/>
          <w:spacing w:val="-5"/>
        </w:rPr>
      </w:pPr>
      <w:r>
        <w:rPr>
          <w:rFonts w:cs="Times New Roman" w:eastAsiaTheme="minorEastAsia"/>
        </w:rPr>
        <w:t>排气筒执行的标准限值见下表：</w:t>
      </w:r>
    </w:p>
    <w:p>
      <w:pPr>
        <w:widowControl w:val="0"/>
        <w:spacing w:line="460" w:lineRule="exact"/>
        <w:ind w:firstLine="480"/>
        <w:jc w:val="center"/>
        <w:rPr>
          <w:rFonts w:cs="Times New Roman" w:eastAsiaTheme="minorEastAsia"/>
        </w:rPr>
      </w:pPr>
      <w:bookmarkStart w:id="93" w:name="_Toc17443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5.1</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4</w:t>
      </w:r>
      <w:r>
        <w:rPr>
          <w:rFonts w:cs="Times New Roman" w:eastAsiaTheme="minorEastAsia"/>
        </w:rPr>
        <w:fldChar w:fldCharType="end"/>
      </w:r>
      <w:r>
        <w:rPr>
          <w:rFonts w:cs="Times New Roman" w:eastAsiaTheme="minorEastAsia"/>
        </w:rPr>
        <w:t xml:space="preserve">  废气排放评价标准限值</w:t>
      </w:r>
      <w:bookmarkEnd w:id="93"/>
    </w:p>
    <w:tbl>
      <w:tblPr>
        <w:tblStyle w:val="38"/>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91"/>
        <w:gridCol w:w="1809"/>
        <w:gridCol w:w="2508"/>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trPr>
        <w:tc>
          <w:tcPr>
            <w:tcW w:w="1174" w:type="pct"/>
            <w:vMerge w:val="restart"/>
            <w:tcBorders>
              <w:tl2br w:val="nil"/>
              <w:tr2bl w:val="nil"/>
            </w:tcBorders>
            <w:shd w:val="clear" w:color="auto" w:fill="auto"/>
            <w:vAlign w:val="center"/>
          </w:tcPr>
          <w:p>
            <w:pPr>
              <w:widowControl w:val="0"/>
              <w:adjustRightInd w:val="0"/>
              <w:snapToGrid w:val="0"/>
              <w:spacing w:line="332" w:lineRule="auto"/>
              <w:ind w:firstLine="0" w:firstLineChars="0"/>
              <w:jc w:val="center"/>
              <w:rPr>
                <w:rFonts w:cs="Times New Roman"/>
                <w:bCs/>
                <w:color w:val="000000"/>
                <w:sz w:val="21"/>
                <w:szCs w:val="21"/>
              </w:rPr>
            </w:pPr>
            <w:r>
              <w:rPr>
                <w:rFonts w:cs="Times New Roman"/>
                <w:bCs/>
                <w:color w:val="000000"/>
                <w:sz w:val="21"/>
                <w:szCs w:val="21"/>
              </w:rPr>
              <w:t>排气筒名称</w:t>
            </w:r>
          </w:p>
        </w:tc>
        <w:tc>
          <w:tcPr>
            <w:tcW w:w="1067" w:type="pct"/>
            <w:vMerge w:val="restart"/>
            <w:tcBorders>
              <w:tl2br w:val="nil"/>
              <w:tr2bl w:val="nil"/>
            </w:tcBorders>
            <w:shd w:val="clear" w:color="auto" w:fill="auto"/>
            <w:vAlign w:val="center"/>
          </w:tcPr>
          <w:p>
            <w:pPr>
              <w:widowControl w:val="0"/>
              <w:adjustRightInd w:val="0"/>
              <w:snapToGrid w:val="0"/>
              <w:spacing w:line="332" w:lineRule="auto"/>
              <w:ind w:firstLine="0" w:firstLineChars="0"/>
              <w:jc w:val="center"/>
              <w:rPr>
                <w:rFonts w:cs="Times New Roman"/>
                <w:bCs/>
                <w:color w:val="000000"/>
                <w:sz w:val="21"/>
                <w:szCs w:val="21"/>
              </w:rPr>
            </w:pPr>
            <w:r>
              <w:rPr>
                <w:rFonts w:cs="Times New Roman"/>
                <w:bCs/>
                <w:color w:val="000000"/>
                <w:sz w:val="21"/>
                <w:szCs w:val="21"/>
              </w:rPr>
              <w:t>监测项目</w:t>
            </w:r>
          </w:p>
        </w:tc>
        <w:tc>
          <w:tcPr>
            <w:tcW w:w="1479" w:type="pct"/>
            <w:vMerge w:val="restart"/>
            <w:tcBorders>
              <w:tl2br w:val="nil"/>
              <w:tr2bl w:val="nil"/>
            </w:tcBorders>
            <w:shd w:val="clear" w:color="auto" w:fill="auto"/>
            <w:vAlign w:val="center"/>
          </w:tcPr>
          <w:p>
            <w:pPr>
              <w:widowControl w:val="0"/>
              <w:adjustRightInd w:val="0"/>
              <w:snapToGrid w:val="0"/>
              <w:spacing w:line="332" w:lineRule="auto"/>
              <w:ind w:firstLine="0" w:firstLineChars="0"/>
              <w:jc w:val="center"/>
              <w:rPr>
                <w:rFonts w:cs="Times New Roman"/>
                <w:bCs/>
                <w:color w:val="000000"/>
                <w:sz w:val="21"/>
                <w:szCs w:val="21"/>
              </w:rPr>
            </w:pPr>
            <w:r>
              <w:rPr>
                <w:rFonts w:cs="Times New Roman"/>
                <w:bCs/>
                <w:color w:val="000000"/>
                <w:sz w:val="21"/>
                <w:szCs w:val="21"/>
              </w:rPr>
              <w:t>评价标准</w:t>
            </w:r>
          </w:p>
        </w:tc>
        <w:tc>
          <w:tcPr>
            <w:tcW w:w="1278" w:type="pct"/>
            <w:tcBorders>
              <w:tl2br w:val="nil"/>
              <w:tr2bl w:val="nil"/>
            </w:tcBorders>
            <w:shd w:val="clear" w:color="auto" w:fill="auto"/>
            <w:vAlign w:val="center"/>
          </w:tcPr>
          <w:p>
            <w:pPr>
              <w:widowControl w:val="0"/>
              <w:adjustRightInd w:val="0"/>
              <w:snapToGrid w:val="0"/>
              <w:spacing w:line="332" w:lineRule="auto"/>
              <w:ind w:firstLine="0" w:firstLineChars="0"/>
              <w:jc w:val="center"/>
              <w:rPr>
                <w:rFonts w:cs="Times New Roman"/>
                <w:bCs/>
                <w:color w:val="000000"/>
                <w:sz w:val="21"/>
                <w:szCs w:val="21"/>
              </w:rPr>
            </w:pPr>
            <w:r>
              <w:rPr>
                <w:rFonts w:cs="Times New Roman"/>
                <w:bCs/>
                <w:color w:val="000000"/>
                <w:sz w:val="21"/>
                <w:szCs w:val="21"/>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174" w:type="pct"/>
            <w:vMerge w:val="continue"/>
            <w:tcBorders>
              <w:tl2br w:val="nil"/>
              <w:tr2bl w:val="nil"/>
            </w:tcBorders>
            <w:shd w:val="clear" w:color="auto" w:fill="auto"/>
            <w:vAlign w:val="center"/>
          </w:tcPr>
          <w:p>
            <w:pPr>
              <w:widowControl w:val="0"/>
              <w:adjustRightInd w:val="0"/>
              <w:snapToGrid w:val="0"/>
              <w:spacing w:line="332" w:lineRule="auto"/>
              <w:ind w:firstLine="0" w:firstLineChars="0"/>
              <w:jc w:val="center"/>
              <w:rPr>
                <w:rFonts w:cs="Times New Roman"/>
                <w:bCs/>
                <w:color w:val="000000"/>
                <w:sz w:val="21"/>
                <w:szCs w:val="21"/>
              </w:rPr>
            </w:pPr>
          </w:p>
        </w:tc>
        <w:tc>
          <w:tcPr>
            <w:tcW w:w="1067" w:type="pct"/>
            <w:vMerge w:val="continue"/>
            <w:tcBorders>
              <w:tl2br w:val="nil"/>
              <w:tr2bl w:val="nil"/>
            </w:tcBorders>
            <w:shd w:val="clear" w:color="auto" w:fill="auto"/>
            <w:vAlign w:val="center"/>
          </w:tcPr>
          <w:p>
            <w:pPr>
              <w:widowControl w:val="0"/>
              <w:adjustRightInd w:val="0"/>
              <w:snapToGrid w:val="0"/>
              <w:spacing w:line="332" w:lineRule="auto"/>
              <w:ind w:firstLine="0" w:firstLineChars="0"/>
              <w:jc w:val="center"/>
              <w:rPr>
                <w:rFonts w:cs="Times New Roman"/>
                <w:bCs/>
                <w:color w:val="000000"/>
                <w:sz w:val="21"/>
                <w:szCs w:val="21"/>
              </w:rPr>
            </w:pPr>
          </w:p>
        </w:tc>
        <w:tc>
          <w:tcPr>
            <w:tcW w:w="1479" w:type="pct"/>
            <w:vMerge w:val="continue"/>
            <w:tcBorders>
              <w:tl2br w:val="nil"/>
              <w:tr2bl w:val="nil"/>
            </w:tcBorders>
            <w:shd w:val="clear" w:color="auto" w:fill="auto"/>
            <w:vAlign w:val="center"/>
          </w:tcPr>
          <w:p>
            <w:pPr>
              <w:widowControl w:val="0"/>
              <w:adjustRightInd w:val="0"/>
              <w:snapToGrid w:val="0"/>
              <w:spacing w:line="332" w:lineRule="auto"/>
              <w:ind w:firstLine="0" w:firstLineChars="0"/>
              <w:jc w:val="center"/>
              <w:rPr>
                <w:rFonts w:cs="Times New Roman"/>
                <w:bCs/>
                <w:color w:val="000000"/>
                <w:sz w:val="21"/>
                <w:szCs w:val="21"/>
              </w:rPr>
            </w:pPr>
          </w:p>
        </w:tc>
        <w:tc>
          <w:tcPr>
            <w:tcW w:w="1278" w:type="pct"/>
            <w:tcBorders>
              <w:tl2br w:val="nil"/>
              <w:tr2bl w:val="nil"/>
            </w:tcBorders>
            <w:shd w:val="clear" w:color="auto" w:fill="auto"/>
            <w:vAlign w:val="center"/>
          </w:tcPr>
          <w:p>
            <w:pPr>
              <w:widowControl w:val="0"/>
              <w:adjustRightInd w:val="0"/>
              <w:snapToGrid w:val="0"/>
              <w:spacing w:line="332" w:lineRule="auto"/>
              <w:ind w:firstLine="0" w:firstLineChars="0"/>
              <w:jc w:val="center"/>
              <w:rPr>
                <w:rFonts w:cs="Times New Roman"/>
                <w:bCs/>
                <w:color w:val="000000"/>
                <w:sz w:val="21"/>
                <w:szCs w:val="21"/>
              </w:rPr>
            </w:pPr>
            <w:r>
              <w:rPr>
                <w:rFonts w:cs="Times New Roman"/>
                <w:bCs/>
                <w:color w:val="000000"/>
                <w:sz w:val="21"/>
                <w:szCs w:val="21"/>
              </w:rPr>
              <w:t>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74" w:type="pct"/>
            <w:vMerge w:val="restart"/>
            <w:tcBorders>
              <w:tl2br w:val="nil"/>
              <w:tr2bl w:val="nil"/>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RTO尾气</w:t>
            </w:r>
            <w:r>
              <w:rPr>
                <w:rFonts w:hint="default" w:ascii="Times New Roman" w:hAnsi="Times New Roman" w:eastAsia="宋体" w:cs="Times New Roman"/>
                <w:sz w:val="21"/>
                <w:szCs w:val="21"/>
              </w:rPr>
              <w:t>排气筒</w:t>
            </w:r>
            <w:r>
              <w:rPr>
                <w:rFonts w:hint="default" w:ascii="Times New Roman" w:hAnsi="Times New Roman" w:eastAsia="宋体" w:cs="Times New Roman"/>
                <w:sz w:val="21"/>
                <w:szCs w:val="21"/>
                <w:lang w:eastAsia="zh-CN"/>
              </w:rPr>
              <w:t>出</w:t>
            </w:r>
            <w:r>
              <w:rPr>
                <w:rFonts w:hint="default" w:ascii="Times New Roman" w:hAnsi="Times New Roman" w:eastAsia="宋体" w:cs="Times New Roman"/>
                <w:sz w:val="21"/>
                <w:szCs w:val="21"/>
              </w:rPr>
              <w:t>口</w:t>
            </w:r>
          </w:p>
        </w:tc>
        <w:tc>
          <w:tcPr>
            <w:tcW w:w="1067"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479" w:type="pct"/>
            <w:vMerge w:val="restart"/>
            <w:tcBorders>
              <w:tl2br w:val="nil"/>
              <w:tr2bl w:val="nil"/>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《挥发性有机物排放标准 第6部分：有机化工行业》(DB37/2801.6--2018)</w:t>
            </w:r>
          </w:p>
        </w:tc>
        <w:tc>
          <w:tcPr>
            <w:tcW w:w="1278"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color w:val="auto"/>
              </w:rPr>
              <w:t>60mg/m</w:t>
            </w:r>
            <w:r>
              <w:rPr>
                <w:rFonts w:hint="eastAsia" w:ascii="Times New Roman" w:hAnsi="Times New Roman" w:eastAsia="宋体" w:cs="Times New Roman"/>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74" w:type="pct"/>
            <w:vMerge w:val="continue"/>
            <w:tcBorders>
              <w:tl2br w:val="nil"/>
              <w:tr2bl w:val="nil"/>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宋体" w:cs="Times New Roman"/>
                <w:sz w:val="21"/>
                <w:szCs w:val="21"/>
              </w:rPr>
            </w:pPr>
          </w:p>
        </w:tc>
        <w:tc>
          <w:tcPr>
            <w:tcW w:w="1067"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二噁英</w:t>
            </w:r>
          </w:p>
        </w:tc>
        <w:tc>
          <w:tcPr>
            <w:tcW w:w="1479" w:type="pct"/>
            <w:vMerge w:val="continue"/>
            <w:tcBorders>
              <w:tl2br w:val="nil"/>
              <w:tr2bl w:val="nil"/>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宋体" w:cs="Times New Roman"/>
                <w:sz w:val="21"/>
                <w:szCs w:val="21"/>
              </w:rPr>
            </w:pPr>
          </w:p>
        </w:tc>
        <w:tc>
          <w:tcPr>
            <w:tcW w:w="1278" w:type="pct"/>
            <w:tcBorders>
              <w:tl2br w:val="nil"/>
              <w:tr2bl w:val="nil"/>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color w:val="auto"/>
              </w:rPr>
              <w:t>0.1ng-TEQ/m</w:t>
            </w:r>
            <w:r>
              <w:rPr>
                <w:rFonts w:hint="eastAsia" w:ascii="Times New Roman" w:hAnsi="Times New Roman" w:eastAsia="宋体" w:cs="Times New Roman"/>
                <w:color w:val="auto"/>
                <w:vertAlign w:val="superscript"/>
              </w:rPr>
              <w:t>3</w:t>
            </w:r>
          </w:p>
        </w:tc>
      </w:tr>
    </w:tbl>
    <w:p>
      <w:pPr>
        <w:widowControl w:val="0"/>
        <w:autoSpaceDE w:val="0"/>
        <w:autoSpaceDN w:val="0"/>
        <w:adjustRightInd w:val="0"/>
        <w:spacing w:before="46" w:beforeLines="15" w:after="46" w:afterLines="15" w:line="480" w:lineRule="exact"/>
        <w:ind w:firstLine="470" w:firstLineChars="195"/>
        <w:rPr>
          <w:rFonts w:cs="Times New Roman" w:eastAsiaTheme="minorEastAsia"/>
          <w:b/>
          <w:kern w:val="0"/>
        </w:rPr>
      </w:pPr>
      <w:r>
        <w:rPr>
          <w:rFonts w:hint="eastAsia" w:cs="Times New Roman" w:eastAsiaTheme="minorEastAsia"/>
          <w:b/>
          <w:kern w:val="0"/>
        </w:rPr>
        <w:t>2</w:t>
      </w:r>
      <w:r>
        <w:rPr>
          <w:rFonts w:cs="Times New Roman" w:eastAsiaTheme="minorEastAsia"/>
          <w:b/>
          <w:kern w:val="0"/>
        </w:rPr>
        <w:t>.无组织排放评价标准</w:t>
      </w:r>
      <w:bookmarkEnd w:id="92"/>
    </w:p>
    <w:p>
      <w:pPr>
        <w:widowControl w:val="0"/>
        <w:ind w:firstLine="480"/>
        <w:rPr>
          <w:rFonts w:hint="eastAsia" w:cs="Times New Roman" w:eastAsiaTheme="minorEastAsia"/>
        </w:rPr>
      </w:pPr>
      <w:r>
        <w:rPr>
          <w:rFonts w:cs="Times New Roman" w:eastAsiaTheme="minorEastAsia"/>
        </w:rPr>
        <w:t>厂界无组织</w:t>
      </w:r>
      <w:r>
        <w:rPr>
          <w:rFonts w:hint="eastAsia" w:cs="Times New Roman" w:eastAsiaTheme="minorEastAsia"/>
          <w:lang w:val="en-US" w:eastAsia="zh-CN"/>
        </w:rPr>
        <w:t>VOC</w:t>
      </w:r>
      <w:r>
        <w:rPr>
          <w:rFonts w:hint="eastAsia" w:cs="Times New Roman" w:eastAsiaTheme="minorEastAsia"/>
          <w:vertAlign w:val="subscript"/>
          <w:lang w:val="en-US" w:eastAsia="zh-CN"/>
        </w:rPr>
        <w:t>S</w:t>
      </w:r>
      <w:r>
        <w:rPr>
          <w:rFonts w:hint="eastAsia" w:cs="Times New Roman" w:eastAsiaTheme="minorEastAsia"/>
        </w:rPr>
        <w:t>《挥发性有机物排放标准 第6部分：有机化工行业》(DB37/2801.6--2018)表3 厂界监控点浓度限值(2.0mg/m</w:t>
      </w:r>
      <w:r>
        <w:rPr>
          <w:rFonts w:hint="eastAsia" w:cs="Times New Roman" w:eastAsiaTheme="minorEastAsia"/>
          <w:vertAlign w:val="superscript"/>
        </w:rPr>
        <w:t>3</w:t>
      </w:r>
      <w:r>
        <w:rPr>
          <w:rFonts w:hint="eastAsia" w:cs="Times New Roman" w:eastAsiaTheme="minorEastAsia"/>
        </w:rPr>
        <w:t>)。</w:t>
      </w:r>
    </w:p>
    <w:p>
      <w:pPr>
        <w:widowControl w:val="0"/>
        <w:ind w:firstLine="480"/>
        <w:rPr>
          <w:rFonts w:cs="Times New Roman" w:eastAsiaTheme="minorEastAsia"/>
        </w:rPr>
      </w:pPr>
      <w:r>
        <w:rPr>
          <w:rFonts w:cs="Times New Roman" w:eastAsiaTheme="minorEastAsia"/>
        </w:rPr>
        <w:t>限值见下表：</w:t>
      </w:r>
    </w:p>
    <w:p>
      <w:pPr>
        <w:widowControl w:val="0"/>
        <w:spacing w:line="480" w:lineRule="exact"/>
        <w:ind w:firstLine="480"/>
        <w:jc w:val="center"/>
        <w:rPr>
          <w:rFonts w:cs="Times New Roman" w:eastAsiaTheme="minorEastAsia"/>
        </w:rPr>
      </w:pPr>
      <w:bookmarkStart w:id="94" w:name="_Toc6616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5.1</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5</w:t>
      </w:r>
      <w:r>
        <w:rPr>
          <w:rFonts w:cs="Times New Roman" w:eastAsiaTheme="minorEastAsia"/>
        </w:rPr>
        <w:fldChar w:fldCharType="end"/>
      </w:r>
      <w:r>
        <w:rPr>
          <w:rFonts w:cs="Times New Roman" w:eastAsiaTheme="minorEastAsia"/>
        </w:rPr>
        <w:t xml:space="preserve">  无组织排放评价标准限值</w:t>
      </w:r>
      <w:bookmarkEnd w:id="94"/>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079"/>
        <w:gridCol w:w="1033"/>
        <w:gridCol w:w="1441"/>
        <w:gridCol w:w="4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tcBorders>
              <w:top w:val="single" w:color="auto" w:sz="4" w:space="0"/>
              <w:left w:val="single" w:color="auto" w:sz="4" w:space="0"/>
              <w:bottom w:val="single" w:color="auto" w:sz="4" w:space="0"/>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序号</w:t>
            </w:r>
          </w:p>
        </w:tc>
        <w:tc>
          <w:tcPr>
            <w:tcW w:w="633" w:type="pct"/>
            <w:tcBorders>
              <w:top w:val="single" w:color="auto" w:sz="4" w:space="0"/>
              <w:bottom w:val="single" w:color="auto" w:sz="4" w:space="0"/>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污染因子</w:t>
            </w:r>
          </w:p>
        </w:tc>
        <w:tc>
          <w:tcPr>
            <w:tcW w:w="606" w:type="pct"/>
            <w:tcBorders>
              <w:top w:val="single" w:color="auto" w:sz="4" w:space="0"/>
              <w:bottom w:val="single" w:color="auto" w:sz="4" w:space="0"/>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单位</w:t>
            </w:r>
          </w:p>
        </w:tc>
        <w:tc>
          <w:tcPr>
            <w:tcW w:w="845" w:type="pct"/>
            <w:tcBorders>
              <w:top w:val="single" w:color="auto" w:sz="4" w:space="0"/>
              <w:bottom w:val="single" w:color="auto" w:sz="4" w:space="0"/>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标准限值</w:t>
            </w:r>
          </w:p>
        </w:tc>
        <w:tc>
          <w:tcPr>
            <w:tcW w:w="2509" w:type="pct"/>
            <w:tcBorders>
              <w:top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tcBorders>
              <w:top w:val="single" w:color="auto" w:sz="4" w:space="0"/>
              <w:left w:val="single" w:color="auto" w:sz="4" w:space="0"/>
              <w:bottom w:val="single" w:color="auto" w:sz="4" w:space="0"/>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633" w:type="pct"/>
            <w:tcBorders>
              <w:top w:val="single" w:color="auto" w:sz="4" w:space="0"/>
              <w:bottom w:val="single" w:color="auto" w:sz="4" w:space="0"/>
            </w:tcBorders>
            <w:vAlign w:val="center"/>
          </w:tcPr>
          <w:p>
            <w:pPr>
              <w:widowControl w:val="0"/>
              <w:adjustRightInd w:val="0"/>
              <w:snapToGrid w:val="0"/>
              <w:spacing w:line="240" w:lineRule="auto"/>
              <w:ind w:firstLine="0" w:firstLineChars="0"/>
              <w:jc w:val="center"/>
              <w:rPr>
                <w:rFonts w:cs="Times New Roman"/>
                <w:sz w:val="21"/>
                <w:szCs w:val="21"/>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606" w:type="pct"/>
            <w:tcBorders>
              <w:top w:val="single" w:color="auto" w:sz="4" w:space="0"/>
              <w:bottom w:val="single" w:color="auto" w:sz="4" w:space="0"/>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mg/m</w:t>
            </w:r>
            <w:r>
              <w:rPr>
                <w:rFonts w:cs="Times New Roman"/>
                <w:sz w:val="21"/>
                <w:szCs w:val="21"/>
                <w:vertAlign w:val="superscript"/>
              </w:rPr>
              <w:t>3</w:t>
            </w:r>
          </w:p>
        </w:tc>
        <w:tc>
          <w:tcPr>
            <w:tcW w:w="845" w:type="pct"/>
            <w:tcBorders>
              <w:top w:val="single" w:color="auto" w:sz="4" w:space="0"/>
              <w:bottom w:val="single" w:color="auto" w:sz="4" w:space="0"/>
            </w:tcBorders>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2.0</w:t>
            </w:r>
          </w:p>
        </w:tc>
        <w:tc>
          <w:tcPr>
            <w:tcW w:w="2509" w:type="pct"/>
            <w:tcBorders>
              <w:top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hint="default" w:cs="Times New Roman"/>
                <w:sz w:val="21"/>
                <w:szCs w:val="21"/>
                <w:lang w:val="en-US"/>
              </w:rPr>
            </w:pPr>
            <w:r>
              <w:rPr>
                <w:rFonts w:hint="eastAsia" w:ascii="Times New Roman" w:hAnsi="Times New Roman" w:eastAsia="宋体" w:cs="Times New Roman"/>
                <w:sz w:val="21"/>
                <w:szCs w:val="21"/>
                <w:lang w:val="en-US" w:eastAsia="zh-CN"/>
              </w:rPr>
              <w:t>《挥发性有机物排放标准 第6部分：有机化工行业》(DB37/2801.6--2018)表3厂界监控点浓度限值</w:t>
            </w:r>
          </w:p>
        </w:tc>
      </w:tr>
    </w:tbl>
    <w:p>
      <w:pPr>
        <w:pStyle w:val="9"/>
        <w:rPr>
          <w:rFonts w:cs="Times New Roman" w:eastAsiaTheme="minorEastAsia"/>
          <w:sz w:val="24"/>
        </w:rPr>
      </w:pPr>
      <w:bookmarkStart w:id="95" w:name="_Toc6616_WPSOffice_Level3"/>
      <w:r>
        <w:rPr>
          <w:rFonts w:cs="Times New Roman" w:eastAsiaTheme="minorEastAsia"/>
          <w:sz w:val="24"/>
        </w:rPr>
        <w:t xml:space="preserve"> 监测结果</w:t>
      </w:r>
      <w:bookmarkEnd w:id="95"/>
    </w:p>
    <w:p>
      <w:pPr>
        <w:pStyle w:val="10"/>
        <w:rPr>
          <w:rFonts w:cs="Times New Roman" w:eastAsiaTheme="minorEastAsia"/>
        </w:rPr>
      </w:pPr>
      <w:r>
        <w:rPr>
          <w:rFonts w:cs="Times New Roman" w:eastAsiaTheme="minorEastAsia"/>
        </w:rPr>
        <w:t xml:space="preserve"> 有组织废气监测结果</w:t>
      </w:r>
    </w:p>
    <w:p>
      <w:pPr>
        <w:widowControl w:val="0"/>
        <w:ind w:firstLine="480"/>
        <w:rPr>
          <w:rFonts w:cs="Times New Roman" w:eastAsiaTheme="minorEastAsia"/>
          <w:b/>
          <w:color w:val="auto"/>
          <w:sz w:val="28"/>
          <w:szCs w:val="28"/>
        </w:rPr>
      </w:pPr>
      <w:bookmarkStart w:id="96" w:name="_Toc12229_WPSOffice_Level2"/>
      <w:r>
        <w:rPr>
          <w:rFonts w:cs="Times New Roman" w:eastAsiaTheme="minorEastAsia"/>
          <w:color w:val="auto"/>
        </w:rPr>
        <w:t>有组织废气排气筒监测结果见</w:t>
      </w:r>
      <w:bookmarkEnd w:id="96"/>
      <w:r>
        <w:rPr>
          <w:rFonts w:cs="Times New Roman" w:eastAsiaTheme="minorEastAsia"/>
          <w:color w:val="auto"/>
        </w:rPr>
        <w:t>下表：</w:t>
      </w:r>
    </w:p>
    <w:tbl>
      <w:tblPr>
        <w:tblStyle w:val="38"/>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6"/>
        <w:gridCol w:w="1850"/>
        <w:gridCol w:w="989"/>
        <w:gridCol w:w="989"/>
        <w:gridCol w:w="989"/>
        <w:gridCol w:w="5"/>
        <w:gridCol w:w="984"/>
        <w:gridCol w:w="989"/>
        <w:gridCol w:w="9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71"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bookmarkStart w:id="97" w:name="_Toc8289_WPSOffice_Level2"/>
            <w:r>
              <w:rPr>
                <w:rFonts w:hint="default" w:ascii="Times New Roman" w:hAnsi="Times New Roman" w:eastAsia="宋体" w:cs="Times New Roman"/>
                <w:sz w:val="21"/>
                <w:szCs w:val="21"/>
              </w:rPr>
              <w:t>检测点位</w:t>
            </w:r>
          </w:p>
        </w:tc>
        <w:tc>
          <w:tcPr>
            <w:tcW w:w="3328" w:type="pct"/>
            <w:gridSpan w:val="7"/>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RTO尾气</w:t>
            </w:r>
            <w:r>
              <w:rPr>
                <w:rFonts w:hint="default" w:ascii="Times New Roman" w:hAnsi="Times New Roman" w:eastAsia="宋体" w:cs="Times New Roman"/>
                <w:sz w:val="21"/>
                <w:szCs w:val="21"/>
              </w:rPr>
              <w:t>排气筒</w:t>
            </w:r>
            <w:r>
              <w:rPr>
                <w:rFonts w:hint="default" w:ascii="Times New Roman" w:hAnsi="Times New Roman" w:eastAsia="宋体" w:cs="Times New Roman"/>
                <w:sz w:val="21"/>
                <w:szCs w:val="21"/>
                <w:lang w:eastAsia="zh-CN"/>
              </w:rPr>
              <w:t>出</w:t>
            </w:r>
            <w:r>
              <w:rPr>
                <w:rFonts w:hint="default" w:ascii="Times New Roman" w:hAnsi="Times New Roman" w:eastAsia="宋体" w:cs="Times New Roman"/>
                <w:sz w:val="21"/>
                <w:szCs w:val="21"/>
              </w:rPr>
              <w:t>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71"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排气筒高度（m）</w:t>
            </w:r>
          </w:p>
        </w:tc>
        <w:tc>
          <w:tcPr>
            <w:tcW w:w="3328" w:type="pct"/>
            <w:gridSpan w:val="7"/>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71"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排气筒截面积（m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3328" w:type="pct"/>
            <w:gridSpan w:val="7"/>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71"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检测日期</w:t>
            </w:r>
          </w:p>
        </w:tc>
        <w:tc>
          <w:tcPr>
            <w:tcW w:w="1638" w:type="pct"/>
            <w:gridSpan w:val="4"/>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2022.12.06</w:t>
            </w:r>
          </w:p>
        </w:tc>
        <w:tc>
          <w:tcPr>
            <w:tcW w:w="1689" w:type="pct"/>
            <w:gridSpan w:val="3"/>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2022.12.07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71"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检测</w:t>
            </w:r>
            <w:r>
              <w:rPr>
                <w:rFonts w:hint="default" w:ascii="Times New Roman" w:hAnsi="Times New Roman" w:eastAsia="宋体" w:cs="Times New Roman"/>
                <w:sz w:val="21"/>
                <w:szCs w:val="21"/>
              </w:rPr>
              <w:t>频次</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频次</w:t>
            </w:r>
            <w:r>
              <w:rPr>
                <w:rFonts w:hint="eastAsia" w:ascii="Times New Roman" w:hAnsi="Times New Roman" w:eastAsia="宋体" w:cs="Times New Roman"/>
                <w:sz w:val="21"/>
                <w:szCs w:val="21"/>
              </w:rPr>
              <w:t>1</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频次</w:t>
            </w:r>
            <w:r>
              <w:rPr>
                <w:rFonts w:hint="eastAsia" w:ascii="Times New Roman" w:hAnsi="Times New Roman" w:eastAsia="宋体" w:cs="Times New Roman"/>
                <w:sz w:val="21"/>
                <w:szCs w:val="21"/>
                <w:lang w:val="en-US" w:eastAsia="zh-CN"/>
              </w:rPr>
              <w:t>2</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频次</w:t>
            </w:r>
            <w:r>
              <w:rPr>
                <w:rFonts w:hint="eastAsia" w:ascii="Times New Roman" w:hAnsi="Times New Roman" w:eastAsia="宋体" w:cs="Times New Roman"/>
                <w:sz w:val="21"/>
                <w:szCs w:val="21"/>
                <w:lang w:val="en-US" w:eastAsia="zh-CN"/>
              </w:rPr>
              <w:t>3</w:t>
            </w:r>
          </w:p>
        </w:tc>
        <w:tc>
          <w:tcPr>
            <w:tcW w:w="545"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频次</w:t>
            </w:r>
            <w:r>
              <w:rPr>
                <w:rFonts w:hint="eastAsia" w:ascii="Times New Roman" w:hAnsi="Times New Roman" w:eastAsia="宋体" w:cs="Times New Roman"/>
                <w:sz w:val="21"/>
                <w:szCs w:val="21"/>
              </w:rPr>
              <w:t>1</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频次</w:t>
            </w:r>
            <w:r>
              <w:rPr>
                <w:rFonts w:hint="eastAsia" w:ascii="Times New Roman" w:hAnsi="Times New Roman" w:eastAsia="宋体" w:cs="Times New Roman"/>
                <w:sz w:val="21"/>
                <w:szCs w:val="21"/>
                <w:lang w:val="en-US" w:eastAsia="zh-CN"/>
              </w:rPr>
              <w:t>2</w:t>
            </w:r>
          </w:p>
        </w:tc>
        <w:tc>
          <w:tcPr>
            <w:tcW w:w="600"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频次</w:t>
            </w:r>
            <w:r>
              <w:rPr>
                <w:rFonts w:hint="eastAsia" w:ascii="Times New Roman" w:hAnsi="Times New Roman" w:eastAsia="宋体" w:cs="Times New Roman"/>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71"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5710</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5431</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5701</w:t>
            </w:r>
          </w:p>
        </w:tc>
        <w:tc>
          <w:tcPr>
            <w:tcW w:w="545"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4873</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5443</w:t>
            </w:r>
          </w:p>
        </w:tc>
        <w:tc>
          <w:tcPr>
            <w:tcW w:w="600"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04" w:type="pct"/>
            <w:vMerge w:val="restart"/>
            <w:tcBorders>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166" w:type="pct"/>
            <w:tcBorders>
              <w:lef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排放</w:t>
            </w:r>
            <w:r>
              <w:rPr>
                <w:rFonts w:hint="eastAsia" w:ascii="Times New Roman" w:hAnsi="Times New Roman" w:eastAsia="宋体" w:cs="Times New Roman"/>
                <w:sz w:val="21"/>
                <w:szCs w:val="21"/>
                <w:lang w:eastAsia="zh-CN"/>
              </w:rPr>
              <w:t>浓度</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rPr>
              <w:t>g/</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4.70</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4.18</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6.78</w:t>
            </w:r>
          </w:p>
        </w:tc>
        <w:tc>
          <w:tcPr>
            <w:tcW w:w="545"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8.94</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4.16</w:t>
            </w:r>
          </w:p>
        </w:tc>
        <w:tc>
          <w:tcPr>
            <w:tcW w:w="600"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04" w:type="pct"/>
            <w:vMerge w:val="continue"/>
            <w:tcBorders>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166" w:type="pct"/>
            <w:tcBorders>
              <w:lef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排放速率（kg/h）</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545"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600"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04" w:type="pct"/>
            <w:vMerge w:val="restart"/>
            <w:tcBorders>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*二噁英</w:t>
            </w:r>
          </w:p>
        </w:tc>
        <w:tc>
          <w:tcPr>
            <w:tcW w:w="1166" w:type="pct"/>
            <w:tcBorders>
              <w:lef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排放</w:t>
            </w:r>
            <w:r>
              <w:rPr>
                <w:rFonts w:hint="eastAsia" w:ascii="Times New Roman" w:hAnsi="Times New Roman" w:eastAsia="宋体" w:cs="Times New Roman"/>
                <w:sz w:val="21"/>
                <w:szCs w:val="21"/>
                <w:lang w:eastAsia="zh-CN"/>
              </w:rPr>
              <w:t>浓度</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rPr>
              <w:t>g</w:t>
            </w:r>
            <w:r>
              <w:rPr>
                <w:rFonts w:hint="eastAsia" w:ascii="Times New Roman" w:hAnsi="Times New Roman" w:eastAsia="宋体" w:cs="Times New Roman"/>
                <w:sz w:val="21"/>
                <w:szCs w:val="21"/>
                <w:lang w:val="en-US" w:eastAsia="zh-CN"/>
              </w:rPr>
              <w:t>-TEQ</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0.0018</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0.0019</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0.0019</w:t>
            </w:r>
          </w:p>
        </w:tc>
        <w:tc>
          <w:tcPr>
            <w:tcW w:w="545"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0.0026</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0.0049</w:t>
            </w:r>
          </w:p>
        </w:tc>
        <w:tc>
          <w:tcPr>
            <w:tcW w:w="600"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04" w:type="pct"/>
            <w:vMerge w:val="continue"/>
            <w:tcBorders>
              <w:righ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166" w:type="pct"/>
            <w:tcBorders>
              <w:left w:val="single" w:color="auto" w:sz="4" w:space="0"/>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排放速率（kg</w:t>
            </w:r>
            <w:r>
              <w:rPr>
                <w:rFonts w:hint="eastAsia" w:ascii="Times New Roman" w:hAnsi="Times New Roman" w:eastAsia="宋体" w:cs="Times New Roman"/>
                <w:sz w:val="21"/>
                <w:szCs w:val="21"/>
                <w:lang w:val="en-US" w:eastAsia="zh-CN"/>
              </w:rPr>
              <w:t>-TEQ</w:t>
            </w:r>
            <w:r>
              <w:rPr>
                <w:rFonts w:hint="default" w:ascii="Times New Roman" w:hAnsi="Times New Roman" w:eastAsia="宋体" w:cs="Times New Roman"/>
                <w:sz w:val="21"/>
                <w:szCs w:val="21"/>
              </w:rPr>
              <w:t>/h）</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w:t>
            </w:r>
            <w:r>
              <w:rPr>
                <w:rFonts w:hint="eastAsia" w:ascii="Times New Roman" w:hAnsi="Times New Roman" w:eastAsia="宋体" w:cs="Times New Roman"/>
                <w:sz w:val="21"/>
                <w:szCs w:val="21"/>
                <w:vertAlign w:val="superscript"/>
                <w:lang w:val="en-US" w:eastAsia="zh-CN"/>
              </w:rPr>
              <w:t>17</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w:t>
            </w:r>
            <w:r>
              <w:rPr>
                <w:rFonts w:hint="eastAsia" w:ascii="Times New Roman" w:hAnsi="Times New Roman" w:eastAsia="宋体" w:cs="Times New Roman"/>
                <w:sz w:val="21"/>
                <w:szCs w:val="21"/>
                <w:vertAlign w:val="superscript"/>
                <w:lang w:val="en-US" w:eastAsia="zh-CN"/>
              </w:rPr>
              <w:t>17</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w:t>
            </w:r>
            <w:r>
              <w:rPr>
                <w:rFonts w:hint="eastAsia" w:ascii="Times New Roman" w:hAnsi="Times New Roman" w:eastAsia="宋体" w:cs="Times New Roman"/>
                <w:sz w:val="21"/>
                <w:szCs w:val="21"/>
                <w:vertAlign w:val="superscript"/>
                <w:lang w:val="en-US" w:eastAsia="zh-CN"/>
              </w:rPr>
              <w:t>17</w:t>
            </w:r>
          </w:p>
        </w:tc>
        <w:tc>
          <w:tcPr>
            <w:tcW w:w="545"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w:t>
            </w:r>
            <w:r>
              <w:rPr>
                <w:rFonts w:hint="eastAsia" w:ascii="Times New Roman" w:hAnsi="Times New Roman" w:eastAsia="宋体" w:cs="Times New Roman"/>
                <w:sz w:val="21"/>
                <w:szCs w:val="21"/>
                <w:vertAlign w:val="superscript"/>
                <w:lang w:val="en-US" w:eastAsia="zh-CN"/>
              </w:rPr>
              <w:t>17</w:t>
            </w:r>
          </w:p>
        </w:tc>
        <w:tc>
          <w:tcPr>
            <w:tcW w:w="545"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w:t>
            </w:r>
            <w:r>
              <w:rPr>
                <w:rFonts w:hint="eastAsia" w:ascii="Times New Roman" w:hAnsi="Times New Roman" w:eastAsia="宋体" w:cs="Times New Roman"/>
                <w:sz w:val="21"/>
                <w:szCs w:val="21"/>
                <w:vertAlign w:val="superscript"/>
                <w:lang w:val="en-US" w:eastAsia="zh-CN"/>
              </w:rPr>
              <w:t>17</w:t>
            </w:r>
          </w:p>
        </w:tc>
        <w:tc>
          <w:tcPr>
            <w:tcW w:w="600" w:type="pct"/>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w:t>
            </w:r>
            <w:r>
              <w:rPr>
                <w:rFonts w:hint="eastAsia" w:ascii="Times New Roman" w:hAnsi="Times New Roman" w:eastAsia="宋体" w:cs="Times New Roman"/>
                <w:sz w:val="21"/>
                <w:szCs w:val="21"/>
                <w:vertAlign w:val="superscript"/>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71" w:type="pct"/>
            <w:gridSpan w:val="2"/>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3328" w:type="pct"/>
            <w:gridSpan w:val="7"/>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pStyle w:val="2"/>
        <w:widowControl w:val="0"/>
        <w:ind w:left="480" w:firstLine="480"/>
        <w:jc w:val="center"/>
        <w:rPr>
          <w:rFonts w:hint="default" w:ascii="Times New Roman" w:hAnsi="Times New Roman" w:cs="Times New Roman" w:eastAsiaTheme="minorEastAsia"/>
        </w:rPr>
      </w:pPr>
      <w:r>
        <w:rPr>
          <w:rFonts w:hint="default" w:ascii="Times New Roman" w:hAnsi="Times New Roman" w:cs="Times New Roman" w:eastAsiaTheme="minorEastAsia"/>
        </w:rPr>
        <w:t xml:space="preserve">表 </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STYLEREF 2 \s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5.1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SEQ 表 \* ARABIC \s 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 xml:space="preserve"> </w:t>
      </w:r>
      <w:r>
        <w:rPr>
          <w:rFonts w:hint="eastAsia" w:cs="Times New Roman" w:eastAsiaTheme="minorEastAsia"/>
          <w:lang w:val="en-US" w:eastAsia="zh-CN"/>
        </w:rPr>
        <w:t>RTO尾气排气筒出口</w:t>
      </w:r>
      <w:r>
        <w:rPr>
          <w:rFonts w:hint="default" w:ascii="Times New Roman" w:hAnsi="Times New Roman" w:cs="Times New Roman" w:eastAsiaTheme="minorEastAsia"/>
        </w:rPr>
        <w:t>监测结果</w:t>
      </w:r>
      <w:bookmarkEnd w:id="97"/>
    </w:p>
    <w:p>
      <w:pPr>
        <w:widowControl w:val="0"/>
        <w:wordWrap w:val="0"/>
        <w:topLinePunct/>
        <w:ind w:firstLine="480"/>
        <w:rPr>
          <w:rFonts w:hint="eastAsia" w:ascii="Times New Roman" w:hAnsi="Times New Roman" w:cs="Times New Roman" w:eastAsiaTheme="minorEastAsia"/>
          <w:lang w:eastAsia="zh-CN"/>
        </w:rPr>
      </w:pPr>
      <w:r>
        <w:rPr>
          <w:rFonts w:hint="default" w:ascii="Times New Roman" w:hAnsi="Times New Roman" w:cs="Times New Roman" w:eastAsiaTheme="minorEastAsia"/>
        </w:rPr>
        <w:t>根据以上检测结果可知，验收监测期间，</w:t>
      </w:r>
      <w:r>
        <w:rPr>
          <w:rFonts w:hint="default" w:ascii="Times New Roman" w:hAnsi="Times New Roman" w:cs="Times New Roman" w:eastAsiaTheme="minorEastAsia"/>
          <w:lang w:val="en-US" w:eastAsia="zh-CN"/>
        </w:rPr>
        <w:t>RTO尾气</w:t>
      </w:r>
      <w:r>
        <w:rPr>
          <w:rFonts w:hint="default" w:ascii="Times New Roman" w:hAnsi="Times New Roman" w:cs="Times New Roman" w:eastAsiaTheme="minorEastAsia"/>
        </w:rPr>
        <w:t>排气筒</w:t>
      </w:r>
      <w:r>
        <w:rPr>
          <w:rFonts w:hint="default" w:ascii="Times New Roman" w:hAnsi="Times New Roman" w:cs="Times New Roman" w:eastAsiaTheme="minorEastAsia"/>
          <w:lang w:eastAsia="zh-CN"/>
        </w:rPr>
        <w:t>出</w:t>
      </w:r>
      <w:r>
        <w:rPr>
          <w:rFonts w:hint="default" w:ascii="Times New Roman" w:hAnsi="Times New Roman" w:cs="Times New Roman" w:eastAsiaTheme="minorEastAsia"/>
        </w:rPr>
        <w:t>口有组织</w:t>
      </w:r>
      <w:r>
        <w:rPr>
          <w:rFonts w:hint="eastAsia" w:ascii="Times New Roman" w:hAnsi="Times New Roman" w:cs="Times New Roman" w:eastAsiaTheme="minorEastAsia"/>
          <w:lang w:val="en-US" w:eastAsia="zh-CN"/>
        </w:rPr>
        <w:t>VOC</w:t>
      </w:r>
      <w:r>
        <w:rPr>
          <w:rFonts w:hint="eastAsia" w:ascii="Times New Roman" w:hAnsi="Times New Roman" w:cs="Times New Roman" w:eastAsiaTheme="minorEastAsia"/>
          <w:vertAlign w:val="subscript"/>
          <w:lang w:val="en-US" w:eastAsia="zh-CN"/>
        </w:rPr>
        <w:t>S</w:t>
      </w:r>
      <w:r>
        <w:rPr>
          <w:rFonts w:hint="eastAsia" w:ascii="Times New Roman" w:hAnsi="Times New Roman" w:cs="Times New Roman" w:eastAsiaTheme="minorEastAsia"/>
          <w:lang w:val="en-US" w:eastAsia="zh-CN"/>
        </w:rPr>
        <w:t>两</w:t>
      </w:r>
      <w:r>
        <w:rPr>
          <w:rFonts w:cs="Times New Roman" w:eastAsiaTheme="minorEastAsia"/>
        </w:rPr>
        <w:t>天测得</w:t>
      </w:r>
      <w:r>
        <w:rPr>
          <w:rFonts w:hint="eastAsia" w:cs="Times New Roman" w:eastAsiaTheme="minorEastAsia"/>
          <w:lang w:eastAsia="zh-CN"/>
        </w:rPr>
        <w:t>最大排放浓度为9.52mg/m³，最大排放速率为5.4×10</w:t>
      </w:r>
      <w:r>
        <w:rPr>
          <w:rFonts w:hint="eastAsia" w:cs="Times New Roman" w:eastAsiaTheme="minorEastAsia"/>
          <w:vertAlign w:val="superscript"/>
          <w:lang w:eastAsia="zh-CN"/>
        </w:rPr>
        <w:t>-2</w:t>
      </w:r>
      <w:r>
        <w:rPr>
          <w:rFonts w:hint="eastAsia" w:cs="Times New Roman" w:eastAsiaTheme="minorEastAsia"/>
          <w:lang w:eastAsia="zh-CN"/>
        </w:rPr>
        <w:t>kg/h</w:t>
      </w:r>
      <w:r>
        <w:rPr>
          <w:rFonts w:hint="eastAsia" w:cs="Times New Roman" w:eastAsiaTheme="minorEastAsia"/>
          <w:lang w:val="en-US" w:eastAsia="zh-CN"/>
        </w:rPr>
        <w:t>,</w:t>
      </w:r>
      <w:r>
        <w:rPr>
          <w:rFonts w:hint="default" w:ascii="Times New Roman" w:hAnsi="Times New Roman" w:cs="Times New Roman" w:eastAsiaTheme="minorEastAsia"/>
          <w:lang w:val="en-US" w:eastAsia="zh-CN"/>
        </w:rPr>
        <w:t>RTO尾气</w:t>
      </w:r>
      <w:r>
        <w:rPr>
          <w:rFonts w:hint="default" w:ascii="Times New Roman" w:hAnsi="Times New Roman" w:cs="Times New Roman" w:eastAsiaTheme="minorEastAsia"/>
        </w:rPr>
        <w:t>排气筒</w:t>
      </w:r>
      <w:r>
        <w:rPr>
          <w:rFonts w:hint="default" w:ascii="Times New Roman" w:hAnsi="Times New Roman" w:cs="Times New Roman" w:eastAsiaTheme="minorEastAsia"/>
          <w:lang w:eastAsia="zh-CN"/>
        </w:rPr>
        <w:t>出</w:t>
      </w:r>
      <w:r>
        <w:rPr>
          <w:rFonts w:hint="default" w:ascii="Times New Roman" w:hAnsi="Times New Roman" w:cs="Times New Roman" w:eastAsiaTheme="minorEastAsia"/>
        </w:rPr>
        <w:t>口有组织</w:t>
      </w:r>
      <w:r>
        <w:rPr>
          <w:rFonts w:hint="eastAsia" w:cs="Times New Roman" w:eastAsiaTheme="minorEastAsia"/>
          <w:lang w:eastAsia="zh-CN"/>
        </w:rPr>
        <w:t>二噁英</w:t>
      </w:r>
      <w:r>
        <w:rPr>
          <w:rFonts w:hint="default" w:ascii="Times New Roman" w:hAnsi="Times New Roman" w:cs="Times New Roman" w:eastAsiaTheme="minorEastAsia"/>
        </w:rPr>
        <w:t>两天测得最大排放浓度</w:t>
      </w:r>
      <w:r>
        <w:rPr>
          <w:rFonts w:hint="eastAsia" w:cs="Times New Roman" w:eastAsiaTheme="minorEastAsia"/>
          <w:lang w:eastAsia="zh-CN"/>
        </w:rPr>
        <w:t>为</w:t>
      </w:r>
      <w:r>
        <w:rPr>
          <w:rFonts w:hint="eastAsia" w:cs="Times New Roman" w:eastAsiaTheme="minorEastAsia"/>
          <w:lang w:val="en-US" w:eastAsia="zh-CN"/>
        </w:rPr>
        <w:t>0.00</w:t>
      </w:r>
      <w:r>
        <w:rPr>
          <w:rFonts w:hint="eastAsia" w:ascii="Times New Roman" w:hAnsi="Times New Roman" w:cs="Times New Roman" w:eastAsiaTheme="minorEastAsia"/>
          <w:lang w:val="en-US" w:eastAsia="zh-CN"/>
        </w:rPr>
        <w:t>57</w:t>
      </w:r>
      <w:r>
        <w:rPr>
          <w:rFonts w:hint="eastAsia" w:ascii="Times New Roman" w:hAnsi="Times New Roman" w:eastAsia="宋体" w:cs="Times New Roman"/>
          <w:sz w:val="24"/>
          <w:szCs w:val="24"/>
          <w:lang w:val="en-US" w:eastAsia="zh-CN"/>
        </w:rPr>
        <w:t>n</w:t>
      </w:r>
      <w:r>
        <w:rPr>
          <w:rFonts w:hint="default" w:ascii="Times New Roman" w:hAnsi="Times New Roman" w:eastAsia="宋体" w:cs="Times New Roman"/>
          <w:sz w:val="24"/>
          <w:szCs w:val="24"/>
        </w:rPr>
        <w:t>g</w:t>
      </w:r>
      <w:r>
        <w:rPr>
          <w:rFonts w:hint="eastAsia" w:ascii="Times New Roman" w:hAnsi="Times New Roman" w:eastAsia="宋体" w:cs="Times New Roman"/>
          <w:sz w:val="24"/>
          <w:szCs w:val="24"/>
          <w:lang w:val="en-US" w:eastAsia="zh-CN"/>
        </w:rPr>
        <w:t>-TEQ</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满足《挥发性有机物排放标准 第6部分：有机化工行业》(DB37/2801.6--2018)表1 中其他行业Ⅱ时段排放限值</w:t>
      </w:r>
      <w:r>
        <w:rPr>
          <w:rFonts w:hint="eastAsia" w:cs="Times New Roman" w:eastAsiaTheme="minorEastAsia"/>
          <w:lang w:eastAsia="zh-CN"/>
        </w:rPr>
        <w:t>的要求</w:t>
      </w:r>
      <w:r>
        <w:rPr>
          <w:rFonts w:hint="default" w:ascii="Times New Roman" w:hAnsi="Times New Roman" w:cs="Times New Roman" w:eastAsiaTheme="minorEastAsia"/>
        </w:rPr>
        <w:t>（VOCs：60mg/m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、3.0kg/h）</w:t>
      </w:r>
      <w:r>
        <w:rPr>
          <w:rFonts w:hint="eastAsia" w:cs="Times New Roman" w:eastAsiaTheme="minorEastAsia"/>
          <w:lang w:eastAsia="zh-CN"/>
        </w:rPr>
        <w:t>及《挥发性有机物排放标准第 6 部分：有机化工行业》（DB37/2801.6-2019）表2废气中有机特征污染物及排放限值的要求（二噁英：0.1ng-TEQ/m</w:t>
      </w:r>
      <w:r>
        <w:rPr>
          <w:rFonts w:hint="eastAsia" w:cs="Times New Roman" w:eastAsiaTheme="minorEastAsia"/>
          <w:vertAlign w:val="superscript"/>
          <w:lang w:eastAsia="zh-CN"/>
        </w:rPr>
        <w:t>3</w:t>
      </w:r>
      <w:r>
        <w:rPr>
          <w:rFonts w:hint="eastAsia" w:cs="Times New Roman" w:eastAsiaTheme="minorEastAsia"/>
          <w:lang w:eastAsia="zh-CN"/>
        </w:rPr>
        <w:t>）。</w:t>
      </w:r>
    </w:p>
    <w:p>
      <w:pPr>
        <w:pStyle w:val="10"/>
        <w:rPr>
          <w:rFonts w:cs="Times New Roman" w:eastAsiaTheme="minorEastAsia"/>
        </w:rPr>
      </w:pPr>
      <w:bookmarkStart w:id="98" w:name="_Toc5021_WPSOffice_Level2"/>
      <w:r>
        <w:rPr>
          <w:rFonts w:cs="Times New Roman" w:eastAsiaTheme="minorEastAsia"/>
        </w:rPr>
        <w:t xml:space="preserve"> 无组织废气监测结果</w:t>
      </w:r>
      <w:bookmarkEnd w:id="98"/>
    </w:p>
    <w:p>
      <w:pPr>
        <w:widowControl w:val="0"/>
        <w:autoSpaceDE w:val="0"/>
        <w:autoSpaceDN w:val="0"/>
        <w:adjustRightInd w:val="0"/>
        <w:ind w:firstLine="480"/>
        <w:rPr>
          <w:rFonts w:cs="Times New Roman" w:eastAsiaTheme="minorEastAsia"/>
        </w:rPr>
      </w:pPr>
      <w:r>
        <w:rPr>
          <w:rFonts w:cs="Times New Roman" w:eastAsiaTheme="minorEastAsia"/>
        </w:rPr>
        <w:t>监测期间气象参数见下表：</w:t>
      </w:r>
    </w:p>
    <w:p>
      <w:pPr>
        <w:widowControl w:val="0"/>
        <w:adjustRightInd w:val="0"/>
        <w:snapToGrid w:val="0"/>
        <w:ind w:firstLine="480"/>
        <w:jc w:val="center"/>
        <w:rPr>
          <w:rFonts w:cs="Times New Roman" w:eastAsiaTheme="minorEastAsia"/>
        </w:rPr>
      </w:pPr>
      <w:bookmarkStart w:id="99" w:name="_Toc6402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5.1</w:t>
      </w:r>
      <w:r>
        <w:rPr>
          <w:rFonts w:cs="Times New Roman" w:eastAsiaTheme="minorEastAsia"/>
        </w:rPr>
        <w:fldChar w:fldCharType="end"/>
      </w:r>
      <w:r>
        <w:rPr>
          <w:rFonts w:cs="Times New Roman" w:eastAsiaTheme="minorEastAsia"/>
        </w:rPr>
        <w:t>–</w:t>
      </w:r>
      <w:r>
        <w:rPr>
          <w:rFonts w:hint="eastAsia" w:cs="Times New Roman" w:eastAsiaTheme="minorEastAsia"/>
          <w:lang w:val="en-US" w:eastAsia="zh-CN"/>
        </w:rPr>
        <w:t>9</w:t>
      </w:r>
      <w:r>
        <w:rPr>
          <w:rFonts w:cs="Times New Roman" w:eastAsiaTheme="minorEastAsia"/>
        </w:rPr>
        <w:t xml:space="preserve">  </w:t>
      </w:r>
      <w:r>
        <w:rPr>
          <w:rFonts w:cs="Times New Roman" w:eastAsiaTheme="minorEastAsia"/>
          <w:bCs/>
        </w:rPr>
        <w:t>监测期间气象参数表</w:t>
      </w:r>
      <w:bookmarkEnd w:id="99"/>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905"/>
        <w:gridCol w:w="1007"/>
        <w:gridCol w:w="1101"/>
        <w:gridCol w:w="1503"/>
        <w:gridCol w:w="895"/>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2" w:type="pct"/>
            <w:tcBorders>
              <w:tl2br w:val="nil"/>
              <w:tr2bl w:val="nil"/>
            </w:tcBorders>
            <w:vAlign w:val="center"/>
          </w:tcPr>
          <w:p>
            <w:pPr>
              <w:widowControl w:val="0"/>
              <w:spacing w:line="240" w:lineRule="auto"/>
              <w:ind w:firstLine="0" w:firstLineChars="0"/>
              <w:jc w:val="center"/>
              <w:rPr>
                <w:rFonts w:cs="Times New Roman"/>
                <w:sz w:val="21"/>
                <w:szCs w:val="21"/>
              </w:rPr>
            </w:pPr>
            <w:r>
              <w:rPr>
                <w:rFonts w:cs="Times New Roman"/>
                <w:sz w:val="21"/>
                <w:szCs w:val="21"/>
              </w:rPr>
              <w:t>检测日期</w:t>
            </w:r>
          </w:p>
        </w:tc>
        <w:tc>
          <w:tcPr>
            <w:tcW w:w="531" w:type="pct"/>
            <w:tcBorders>
              <w:tl2br w:val="nil"/>
              <w:tr2bl w:val="nil"/>
            </w:tcBorders>
            <w:vAlign w:val="center"/>
          </w:tcPr>
          <w:p>
            <w:pPr>
              <w:widowControl w:val="0"/>
              <w:spacing w:line="240" w:lineRule="auto"/>
              <w:ind w:firstLine="0" w:firstLineChars="0"/>
              <w:jc w:val="center"/>
              <w:rPr>
                <w:rFonts w:cs="Times New Roman"/>
                <w:sz w:val="21"/>
                <w:szCs w:val="21"/>
              </w:rPr>
            </w:pPr>
            <w:r>
              <w:rPr>
                <w:rFonts w:cs="Times New Roman"/>
                <w:sz w:val="21"/>
                <w:szCs w:val="21"/>
              </w:rPr>
              <w:t>天气</w:t>
            </w:r>
          </w:p>
        </w:tc>
        <w:tc>
          <w:tcPr>
            <w:tcW w:w="591" w:type="pct"/>
            <w:tcBorders>
              <w:tl2br w:val="nil"/>
              <w:tr2bl w:val="nil"/>
            </w:tcBorders>
            <w:vAlign w:val="center"/>
          </w:tcPr>
          <w:p>
            <w:pPr>
              <w:widowControl w:val="0"/>
              <w:spacing w:line="240" w:lineRule="auto"/>
              <w:ind w:firstLine="0" w:firstLineChars="0"/>
              <w:jc w:val="center"/>
              <w:rPr>
                <w:rFonts w:cs="Times New Roman"/>
                <w:sz w:val="21"/>
                <w:szCs w:val="21"/>
              </w:rPr>
            </w:pPr>
            <w:r>
              <w:rPr>
                <w:rFonts w:cs="Times New Roman"/>
                <w:sz w:val="21"/>
                <w:szCs w:val="21"/>
              </w:rPr>
              <w:t>气温</w:t>
            </w:r>
          </w:p>
          <w:p>
            <w:pPr>
              <w:widowControl w:val="0"/>
              <w:spacing w:line="240" w:lineRule="auto"/>
              <w:ind w:firstLine="0" w:firstLineChars="0"/>
              <w:jc w:val="center"/>
              <w:rPr>
                <w:rFonts w:cs="Times New Roman"/>
                <w:sz w:val="21"/>
                <w:szCs w:val="21"/>
              </w:rPr>
            </w:pPr>
            <w:r>
              <w:rPr>
                <w:rFonts w:cs="Times New Roman"/>
                <w:sz w:val="21"/>
                <w:szCs w:val="21"/>
              </w:rPr>
              <w:t>（℃）</w:t>
            </w:r>
          </w:p>
        </w:tc>
        <w:tc>
          <w:tcPr>
            <w:tcW w:w="646" w:type="pct"/>
            <w:tcBorders>
              <w:tl2br w:val="nil"/>
              <w:tr2bl w:val="nil"/>
            </w:tcBorders>
            <w:vAlign w:val="center"/>
          </w:tcPr>
          <w:p>
            <w:pPr>
              <w:widowControl w:val="0"/>
              <w:spacing w:line="240" w:lineRule="auto"/>
              <w:ind w:firstLine="0" w:firstLineChars="0"/>
              <w:jc w:val="center"/>
              <w:rPr>
                <w:rFonts w:cs="Times New Roman"/>
                <w:sz w:val="21"/>
                <w:szCs w:val="21"/>
              </w:rPr>
            </w:pPr>
            <w:r>
              <w:rPr>
                <w:rFonts w:cs="Times New Roman"/>
                <w:sz w:val="21"/>
                <w:szCs w:val="21"/>
              </w:rPr>
              <w:t>气压</w:t>
            </w:r>
          </w:p>
          <w:p>
            <w:pPr>
              <w:widowControl w:val="0"/>
              <w:spacing w:line="240" w:lineRule="auto"/>
              <w:ind w:firstLine="0" w:firstLineChars="0"/>
              <w:jc w:val="center"/>
              <w:rPr>
                <w:rFonts w:cs="Times New Roman"/>
                <w:sz w:val="21"/>
                <w:szCs w:val="21"/>
              </w:rPr>
            </w:pPr>
            <w:r>
              <w:rPr>
                <w:rFonts w:cs="Times New Roman"/>
                <w:sz w:val="21"/>
                <w:szCs w:val="21"/>
              </w:rPr>
              <w:t>（hPa）</w:t>
            </w:r>
          </w:p>
        </w:tc>
        <w:tc>
          <w:tcPr>
            <w:tcW w:w="882" w:type="pct"/>
            <w:tcBorders>
              <w:tl2br w:val="nil"/>
              <w:tr2bl w:val="nil"/>
            </w:tcBorders>
            <w:vAlign w:val="center"/>
          </w:tcPr>
          <w:p>
            <w:pPr>
              <w:widowControl w:val="0"/>
              <w:spacing w:line="240" w:lineRule="auto"/>
              <w:ind w:firstLine="0" w:firstLineChars="0"/>
              <w:jc w:val="center"/>
              <w:rPr>
                <w:rFonts w:cs="Times New Roman"/>
                <w:sz w:val="21"/>
                <w:szCs w:val="21"/>
              </w:rPr>
            </w:pPr>
            <w:r>
              <w:rPr>
                <w:rFonts w:cs="Times New Roman"/>
                <w:sz w:val="21"/>
                <w:szCs w:val="21"/>
              </w:rPr>
              <w:t>相对湿度</w:t>
            </w:r>
          </w:p>
          <w:p>
            <w:pPr>
              <w:widowControl w:val="0"/>
              <w:spacing w:line="240" w:lineRule="auto"/>
              <w:ind w:firstLine="0" w:firstLineChars="0"/>
              <w:jc w:val="center"/>
              <w:rPr>
                <w:rFonts w:cs="Times New Roman"/>
                <w:sz w:val="21"/>
                <w:szCs w:val="21"/>
              </w:rPr>
            </w:pPr>
            <w:r>
              <w:rPr>
                <w:rFonts w:cs="Times New Roman"/>
                <w:sz w:val="21"/>
                <w:szCs w:val="21"/>
              </w:rPr>
              <w:t>（%RH）</w:t>
            </w:r>
          </w:p>
        </w:tc>
        <w:tc>
          <w:tcPr>
            <w:tcW w:w="525" w:type="pct"/>
            <w:tcBorders>
              <w:tl2br w:val="nil"/>
              <w:tr2bl w:val="nil"/>
            </w:tcBorders>
            <w:vAlign w:val="center"/>
          </w:tcPr>
          <w:p>
            <w:pPr>
              <w:widowControl w:val="0"/>
              <w:spacing w:line="240" w:lineRule="auto"/>
              <w:ind w:firstLine="0" w:firstLineChars="0"/>
              <w:jc w:val="center"/>
              <w:rPr>
                <w:rFonts w:cs="Times New Roman"/>
                <w:sz w:val="21"/>
                <w:szCs w:val="21"/>
              </w:rPr>
            </w:pPr>
            <w:r>
              <w:rPr>
                <w:rFonts w:cs="Times New Roman"/>
                <w:sz w:val="21"/>
                <w:szCs w:val="21"/>
              </w:rPr>
              <w:t>风向</w:t>
            </w:r>
          </w:p>
        </w:tc>
        <w:tc>
          <w:tcPr>
            <w:tcW w:w="780" w:type="pct"/>
            <w:tcBorders>
              <w:tl2br w:val="nil"/>
              <w:tr2bl w:val="nil"/>
            </w:tcBorders>
            <w:vAlign w:val="center"/>
          </w:tcPr>
          <w:p>
            <w:pPr>
              <w:widowControl w:val="0"/>
              <w:spacing w:line="240" w:lineRule="auto"/>
              <w:ind w:firstLine="0" w:firstLineChars="0"/>
              <w:jc w:val="center"/>
              <w:rPr>
                <w:rFonts w:cs="Times New Roman"/>
                <w:sz w:val="21"/>
                <w:szCs w:val="21"/>
              </w:rPr>
            </w:pPr>
            <w:r>
              <w:rPr>
                <w:rFonts w:cs="Times New Roman"/>
                <w:sz w:val="21"/>
                <w:szCs w:val="21"/>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2" w:type="pct"/>
            <w:tcBorders>
              <w:tl2br w:val="nil"/>
              <w:tr2bl w:val="nil"/>
            </w:tcBorders>
            <w:shd w:val="clear" w:color="auto" w:fill="auto"/>
            <w:vAlign w:val="center"/>
          </w:tcPr>
          <w:p>
            <w:pPr>
              <w:widowControl w:val="0"/>
              <w:spacing w:line="240" w:lineRule="auto"/>
              <w:ind w:firstLine="0" w:firstLineChars="0"/>
              <w:jc w:val="center"/>
              <w:rPr>
                <w:rFonts w:ascii="Times New Roman" w:hAnsi="Times New Roman" w:eastAsia="宋体" w:cs="Times New Roman"/>
                <w:bCs/>
                <w:sz w:val="21"/>
                <w:szCs w:val="21"/>
              </w:rPr>
            </w:pPr>
            <w:r>
              <w:rPr>
                <w:rFonts w:hint="eastAsia" w:cs="Times New Roman"/>
                <w:bCs/>
                <w:sz w:val="21"/>
                <w:szCs w:val="21"/>
                <w:lang w:eastAsia="zh-CN"/>
              </w:rPr>
              <w:t>2022.12.06</w:t>
            </w:r>
          </w:p>
        </w:tc>
        <w:tc>
          <w:tcPr>
            <w:tcW w:w="905" w:type="dxa"/>
            <w:tcBorders>
              <w:tl2br w:val="nil"/>
              <w:tr2bl w:val="nil"/>
            </w:tcBorders>
            <w:shd w:val="clear" w:color="auto" w:fill="auto"/>
            <w:vAlign w:val="center"/>
          </w:tcPr>
          <w:p>
            <w:pPr>
              <w:widowControl w:val="0"/>
              <w:spacing w:line="240" w:lineRule="auto"/>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晴</w:t>
            </w:r>
          </w:p>
        </w:tc>
        <w:tc>
          <w:tcPr>
            <w:tcW w:w="1007" w:type="dxa"/>
            <w:tcBorders>
              <w:tl2br w:val="nil"/>
              <w:tr2bl w:val="nil"/>
            </w:tcBorders>
            <w:shd w:val="clear" w:color="auto" w:fill="auto"/>
            <w:vAlign w:val="center"/>
          </w:tcPr>
          <w:p>
            <w:pPr>
              <w:widowControl w:val="0"/>
              <w:spacing w:line="240" w:lineRule="auto"/>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7.3</w:t>
            </w:r>
          </w:p>
        </w:tc>
        <w:tc>
          <w:tcPr>
            <w:tcW w:w="1101" w:type="dxa"/>
            <w:tcBorders>
              <w:tl2br w:val="nil"/>
              <w:tr2bl w:val="nil"/>
            </w:tcBorders>
            <w:shd w:val="clear" w:color="auto" w:fill="auto"/>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1001.1</w:t>
            </w:r>
          </w:p>
        </w:tc>
        <w:tc>
          <w:tcPr>
            <w:tcW w:w="1503" w:type="dxa"/>
            <w:tcBorders>
              <w:tl2br w:val="nil"/>
              <w:tr2bl w:val="nil"/>
            </w:tcBorders>
            <w:shd w:val="clear" w:color="auto" w:fill="auto"/>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41</w:t>
            </w:r>
          </w:p>
        </w:tc>
        <w:tc>
          <w:tcPr>
            <w:tcW w:w="895" w:type="dxa"/>
            <w:tcBorders>
              <w:tl2br w:val="nil"/>
              <w:tr2bl w:val="nil"/>
            </w:tcBorders>
            <w:shd w:val="clear" w:color="auto" w:fill="auto"/>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w:t>
            </w:r>
          </w:p>
        </w:tc>
        <w:tc>
          <w:tcPr>
            <w:tcW w:w="1330" w:type="dxa"/>
            <w:tcBorders>
              <w:tl2br w:val="nil"/>
              <w:tr2bl w:val="nil"/>
            </w:tcBorders>
            <w:shd w:val="clear" w:color="auto" w:fill="auto"/>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2" w:type="pct"/>
            <w:tcBorders>
              <w:tl2br w:val="nil"/>
              <w:tr2bl w:val="nil"/>
            </w:tcBorders>
            <w:shd w:val="clear" w:color="auto" w:fill="auto"/>
            <w:vAlign w:val="center"/>
          </w:tcPr>
          <w:p>
            <w:pPr>
              <w:widowControl w:val="0"/>
              <w:spacing w:line="240" w:lineRule="auto"/>
              <w:ind w:firstLine="0" w:firstLineChars="0"/>
              <w:jc w:val="center"/>
              <w:rPr>
                <w:rFonts w:ascii="Times New Roman" w:hAnsi="Times New Roman" w:eastAsia="宋体" w:cs="Times New Roman"/>
                <w:bCs/>
                <w:sz w:val="21"/>
                <w:szCs w:val="21"/>
              </w:rPr>
            </w:pPr>
            <w:r>
              <w:rPr>
                <w:rFonts w:hint="eastAsia" w:cs="Times New Roman"/>
                <w:bCs/>
                <w:sz w:val="21"/>
                <w:szCs w:val="21"/>
                <w:lang w:eastAsia="zh-CN"/>
              </w:rPr>
              <w:t>2022.12.07</w:t>
            </w:r>
          </w:p>
        </w:tc>
        <w:tc>
          <w:tcPr>
            <w:tcW w:w="905" w:type="dxa"/>
            <w:tcBorders>
              <w:tl2br w:val="nil"/>
              <w:tr2bl w:val="nil"/>
            </w:tcBorders>
            <w:shd w:val="clear" w:color="auto" w:fill="auto"/>
            <w:vAlign w:val="center"/>
          </w:tcPr>
          <w:p>
            <w:pPr>
              <w:widowControl w:val="0"/>
              <w:spacing w:line="240" w:lineRule="auto"/>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晴</w:t>
            </w:r>
          </w:p>
        </w:tc>
        <w:tc>
          <w:tcPr>
            <w:tcW w:w="1007" w:type="dxa"/>
            <w:tcBorders>
              <w:tl2br w:val="nil"/>
              <w:tr2bl w:val="nil"/>
            </w:tcBorders>
            <w:shd w:val="clear" w:color="auto" w:fill="auto"/>
            <w:vAlign w:val="center"/>
          </w:tcPr>
          <w:p>
            <w:pPr>
              <w:widowControl w:val="0"/>
              <w:spacing w:line="240" w:lineRule="auto"/>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8.7</w:t>
            </w:r>
          </w:p>
        </w:tc>
        <w:tc>
          <w:tcPr>
            <w:tcW w:w="1101" w:type="dxa"/>
            <w:tcBorders>
              <w:tl2br w:val="nil"/>
              <w:tr2bl w:val="nil"/>
            </w:tcBorders>
            <w:shd w:val="clear" w:color="auto" w:fill="auto"/>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1000.6</w:t>
            </w:r>
          </w:p>
        </w:tc>
        <w:tc>
          <w:tcPr>
            <w:tcW w:w="1503" w:type="dxa"/>
            <w:tcBorders>
              <w:tl2br w:val="nil"/>
              <w:tr2bl w:val="nil"/>
            </w:tcBorders>
            <w:shd w:val="clear" w:color="auto" w:fill="auto"/>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31</w:t>
            </w:r>
          </w:p>
        </w:tc>
        <w:tc>
          <w:tcPr>
            <w:tcW w:w="895" w:type="dxa"/>
            <w:tcBorders>
              <w:tl2br w:val="nil"/>
              <w:tr2bl w:val="nil"/>
            </w:tcBorders>
            <w:shd w:val="clear" w:color="auto" w:fill="auto"/>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NW</w:t>
            </w:r>
          </w:p>
        </w:tc>
        <w:tc>
          <w:tcPr>
            <w:tcW w:w="1330" w:type="dxa"/>
            <w:tcBorders>
              <w:tl2br w:val="nil"/>
              <w:tr2bl w:val="nil"/>
            </w:tcBorders>
            <w:shd w:val="clear" w:color="auto" w:fill="auto"/>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w:t>
            </w:r>
          </w:p>
        </w:tc>
      </w:tr>
    </w:tbl>
    <w:p>
      <w:pPr>
        <w:widowControl w:val="0"/>
        <w:adjustRightInd w:val="0"/>
        <w:snapToGrid w:val="0"/>
        <w:spacing w:line="240" w:lineRule="auto"/>
        <w:ind w:firstLine="480"/>
        <w:rPr>
          <w:rFonts w:cs="Times New Roman" w:eastAsiaTheme="minorEastAsia"/>
        </w:rPr>
      </w:pPr>
      <w:r>
        <w:rPr>
          <w:rFonts w:cs="Times New Roman" w:eastAsiaTheme="minorEastAsia"/>
        </w:rPr>
        <w:t>厂界无组织排放监测结果见下表：</w:t>
      </w:r>
    </w:p>
    <w:p>
      <w:pPr>
        <w:pStyle w:val="2"/>
        <w:widowControl w:val="0"/>
        <w:spacing w:line="240" w:lineRule="auto"/>
        <w:ind w:left="480" w:firstLine="480"/>
        <w:jc w:val="center"/>
        <w:rPr>
          <w:rFonts w:cs="Times New Roman" w:eastAsiaTheme="minorEastAsia"/>
          <w:bCs/>
        </w:rPr>
      </w:pPr>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5.1</w:t>
      </w:r>
      <w:r>
        <w:rPr>
          <w:rFonts w:cs="Times New Roman" w:eastAsiaTheme="minorEastAsia"/>
        </w:rPr>
        <w:fldChar w:fldCharType="end"/>
      </w:r>
      <w:r>
        <w:rPr>
          <w:rFonts w:cs="Times New Roman" w:eastAsiaTheme="minorEastAsia"/>
        </w:rPr>
        <w:t>–</w:t>
      </w:r>
      <w:r>
        <w:rPr>
          <w:rFonts w:hint="eastAsia" w:cs="Times New Roman" w:eastAsiaTheme="minorEastAsia"/>
          <w:lang w:val="en-US" w:eastAsia="zh-CN"/>
        </w:rPr>
        <w:t>10</w:t>
      </w:r>
      <w:r>
        <w:rPr>
          <w:rFonts w:cs="Times New Roman" w:eastAsiaTheme="minorEastAsia"/>
        </w:rPr>
        <w:t xml:space="preserve">  </w:t>
      </w:r>
      <w:r>
        <w:rPr>
          <w:rFonts w:cs="Times New Roman" w:eastAsiaTheme="minorEastAsia"/>
          <w:bCs/>
        </w:rPr>
        <w:t>厂界无组织</w:t>
      </w:r>
      <w:r>
        <w:rPr>
          <w:rFonts w:cs="Times New Roman" w:eastAsiaTheme="minorEastAsia"/>
          <w:bCs/>
          <w:szCs w:val="24"/>
        </w:rPr>
        <w:t>颗粒物排</w:t>
      </w:r>
      <w:r>
        <w:rPr>
          <w:rFonts w:cs="Times New Roman" w:eastAsiaTheme="minorEastAsia"/>
          <w:bCs/>
        </w:rPr>
        <w:t xml:space="preserve">放监测结果 </w:t>
      </w:r>
      <w:r>
        <w:rPr>
          <w:rFonts w:cs="Times New Roman" w:eastAsiaTheme="minorEastAsia"/>
          <w:bCs/>
          <w:szCs w:val="21"/>
        </w:rPr>
        <w:t>（单位：mg/</w:t>
      </w:r>
      <w:r>
        <w:rPr>
          <w:rFonts w:hint="eastAsia" w:cs="Times New Roman" w:eastAsiaTheme="minorEastAsia"/>
          <w:bCs/>
          <w:szCs w:val="21"/>
        </w:rPr>
        <w:t>m</w:t>
      </w:r>
      <w:r>
        <w:rPr>
          <w:rFonts w:hint="eastAsia" w:cs="Times New Roman" w:eastAsiaTheme="minorEastAsia"/>
          <w:bCs/>
          <w:szCs w:val="21"/>
          <w:vertAlign w:val="superscript"/>
        </w:rPr>
        <w:t>3</w:t>
      </w:r>
      <w:r>
        <w:rPr>
          <w:rFonts w:cs="Times New Roman" w:eastAsiaTheme="minorEastAsia"/>
          <w:bCs/>
          <w:szCs w:val="21"/>
        </w:rPr>
        <w:t>）</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020"/>
        <w:gridCol w:w="1161"/>
        <w:gridCol w:w="968"/>
        <w:gridCol w:w="1054"/>
        <w:gridCol w:w="1054"/>
        <w:gridCol w:w="1054"/>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Merge w:val="restart"/>
            <w:tcBorders>
              <w:tl2br w:val="nil"/>
              <w:tr2bl w:val="nil"/>
            </w:tcBorders>
            <w:vAlign w:val="center"/>
          </w:tcPr>
          <w:p>
            <w:pPr>
              <w:widowControl w:val="0"/>
              <w:ind w:firstLine="0" w:firstLineChars="0"/>
              <w:jc w:val="center"/>
              <w:rPr>
                <w:rFonts w:cs="Times New Roman"/>
                <w:bCs/>
                <w:sz w:val="21"/>
                <w:szCs w:val="21"/>
              </w:rPr>
            </w:pPr>
            <w:r>
              <w:rPr>
                <w:rFonts w:cs="Times New Roman"/>
                <w:bCs/>
                <w:sz w:val="21"/>
                <w:szCs w:val="21"/>
              </w:rPr>
              <w:t>类别</w:t>
            </w:r>
          </w:p>
        </w:tc>
        <w:tc>
          <w:tcPr>
            <w:tcW w:w="0" w:type="auto"/>
            <w:vMerge w:val="restart"/>
            <w:tcBorders>
              <w:tl2br w:val="nil"/>
              <w:tr2bl w:val="nil"/>
            </w:tcBorders>
            <w:vAlign w:val="center"/>
          </w:tcPr>
          <w:p>
            <w:pPr>
              <w:widowControl w:val="0"/>
              <w:ind w:firstLine="0" w:firstLineChars="0"/>
              <w:jc w:val="center"/>
              <w:rPr>
                <w:rFonts w:cs="Times New Roman"/>
                <w:bCs/>
                <w:sz w:val="21"/>
                <w:szCs w:val="21"/>
              </w:rPr>
            </w:pPr>
            <w:r>
              <w:rPr>
                <w:rFonts w:cs="Times New Roman"/>
                <w:bCs/>
                <w:sz w:val="21"/>
                <w:szCs w:val="21"/>
              </w:rPr>
              <w:t>检测项目</w:t>
            </w:r>
          </w:p>
        </w:tc>
        <w:tc>
          <w:tcPr>
            <w:tcW w:w="0" w:type="auto"/>
            <w:vMerge w:val="restart"/>
            <w:tcBorders>
              <w:tl2br w:val="nil"/>
              <w:tr2bl w:val="nil"/>
            </w:tcBorders>
            <w:vAlign w:val="center"/>
          </w:tcPr>
          <w:p>
            <w:pPr>
              <w:widowControl w:val="0"/>
              <w:spacing w:line="240" w:lineRule="auto"/>
              <w:ind w:firstLine="0" w:firstLineChars="0"/>
              <w:jc w:val="center"/>
              <w:rPr>
                <w:rFonts w:cs="Times New Roman"/>
                <w:bCs/>
                <w:sz w:val="21"/>
                <w:szCs w:val="21"/>
              </w:rPr>
            </w:pPr>
            <w:r>
              <w:rPr>
                <w:rFonts w:cs="Times New Roman"/>
                <w:bCs/>
                <w:sz w:val="21"/>
                <w:szCs w:val="21"/>
              </w:rPr>
              <w:t>检测日期</w:t>
            </w:r>
          </w:p>
        </w:tc>
        <w:tc>
          <w:tcPr>
            <w:tcW w:w="0" w:type="auto"/>
            <w:vMerge w:val="restart"/>
            <w:tcBorders>
              <w:tl2br w:val="nil"/>
              <w:tr2bl w:val="nil"/>
            </w:tcBorders>
            <w:vAlign w:val="center"/>
          </w:tcPr>
          <w:p>
            <w:pPr>
              <w:widowControl w:val="0"/>
              <w:spacing w:line="240" w:lineRule="auto"/>
              <w:ind w:firstLine="0" w:firstLineChars="0"/>
              <w:jc w:val="center"/>
              <w:rPr>
                <w:rFonts w:cs="Times New Roman"/>
                <w:bCs/>
                <w:sz w:val="21"/>
                <w:szCs w:val="21"/>
              </w:rPr>
            </w:pPr>
            <w:r>
              <w:rPr>
                <w:rFonts w:cs="Times New Roman"/>
                <w:bCs/>
                <w:sz w:val="21"/>
                <w:szCs w:val="21"/>
              </w:rPr>
              <w:t>检测频次</w:t>
            </w:r>
          </w:p>
        </w:tc>
        <w:tc>
          <w:tcPr>
            <w:tcW w:w="0" w:type="auto"/>
            <w:gridSpan w:val="4"/>
            <w:tcBorders>
              <w:tl2br w:val="nil"/>
              <w:tr2bl w:val="nil"/>
            </w:tcBorders>
            <w:vAlign w:val="center"/>
          </w:tcPr>
          <w:p>
            <w:pPr>
              <w:widowControl w:val="0"/>
              <w:spacing w:line="240" w:lineRule="auto"/>
              <w:ind w:firstLine="0" w:firstLineChars="0"/>
              <w:jc w:val="center"/>
              <w:rPr>
                <w:rFonts w:cs="Times New Roman"/>
                <w:bCs/>
                <w:sz w:val="21"/>
                <w:szCs w:val="21"/>
              </w:rPr>
            </w:pPr>
            <w:r>
              <w:rPr>
                <w:rFonts w:cs="Times New Roman"/>
                <w:bCs/>
                <w:sz w:val="21"/>
                <w:szCs w:val="21"/>
              </w:rPr>
              <w:t>检测结果（mg/m</w:t>
            </w:r>
            <w:r>
              <w:rPr>
                <w:rFonts w:cs="Times New Roman"/>
                <w:bCs/>
                <w:sz w:val="21"/>
                <w:szCs w:val="21"/>
                <w:vertAlign w:val="superscript"/>
              </w:rPr>
              <w:t>3</w:t>
            </w:r>
            <w:r>
              <w:rPr>
                <w:rFonts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Merge w:val="continue"/>
            <w:tcBorders>
              <w:tl2br w:val="nil"/>
              <w:tr2bl w:val="nil"/>
            </w:tcBorders>
            <w:vAlign w:val="center"/>
          </w:tcPr>
          <w:p>
            <w:pPr>
              <w:widowControl w:val="0"/>
              <w:ind w:firstLine="0" w:firstLineChars="0"/>
              <w:jc w:val="center"/>
              <w:rPr>
                <w:rFonts w:cs="Times New Roman"/>
                <w:bCs/>
                <w:sz w:val="21"/>
                <w:szCs w:val="21"/>
              </w:rPr>
            </w:pPr>
          </w:p>
        </w:tc>
        <w:tc>
          <w:tcPr>
            <w:tcW w:w="0" w:type="auto"/>
            <w:vMerge w:val="continue"/>
            <w:tcBorders>
              <w:tl2br w:val="nil"/>
              <w:tr2bl w:val="nil"/>
            </w:tcBorders>
            <w:vAlign w:val="center"/>
          </w:tcPr>
          <w:p>
            <w:pPr>
              <w:widowControl w:val="0"/>
              <w:ind w:firstLine="0" w:firstLineChars="0"/>
              <w:jc w:val="center"/>
              <w:rPr>
                <w:rFonts w:cs="Times New Roman"/>
                <w:bCs/>
                <w:sz w:val="21"/>
                <w:szCs w:val="21"/>
              </w:rPr>
            </w:pPr>
          </w:p>
        </w:tc>
        <w:tc>
          <w:tcPr>
            <w:tcW w:w="0" w:type="auto"/>
            <w:vMerge w:val="continue"/>
            <w:tcBorders>
              <w:tl2br w:val="nil"/>
              <w:tr2bl w:val="nil"/>
            </w:tcBorders>
            <w:vAlign w:val="center"/>
          </w:tcPr>
          <w:p>
            <w:pPr>
              <w:widowControl w:val="0"/>
              <w:spacing w:line="240" w:lineRule="auto"/>
              <w:ind w:firstLine="0" w:firstLineChars="0"/>
              <w:jc w:val="center"/>
              <w:rPr>
                <w:rFonts w:cs="Times New Roman"/>
                <w:bCs/>
                <w:sz w:val="21"/>
                <w:szCs w:val="21"/>
              </w:rPr>
            </w:pPr>
          </w:p>
        </w:tc>
        <w:tc>
          <w:tcPr>
            <w:tcW w:w="0" w:type="auto"/>
            <w:vMerge w:val="continue"/>
            <w:tcBorders>
              <w:tl2br w:val="nil"/>
              <w:tr2bl w:val="nil"/>
            </w:tcBorders>
            <w:vAlign w:val="center"/>
          </w:tcPr>
          <w:p>
            <w:pPr>
              <w:widowControl w:val="0"/>
              <w:spacing w:line="240" w:lineRule="auto"/>
              <w:ind w:firstLine="0" w:firstLineChars="0"/>
              <w:jc w:val="center"/>
              <w:rPr>
                <w:rFonts w:cs="Times New Roman"/>
                <w:bCs/>
                <w:sz w:val="21"/>
                <w:szCs w:val="21"/>
              </w:rPr>
            </w:pPr>
          </w:p>
        </w:tc>
        <w:tc>
          <w:tcPr>
            <w:tcW w:w="0" w:type="auto"/>
            <w:tcBorders>
              <w:tl2br w:val="nil"/>
              <w:tr2bl w:val="nil"/>
            </w:tcBorders>
            <w:vAlign w:val="center"/>
          </w:tcPr>
          <w:p>
            <w:pPr>
              <w:widowControl w:val="0"/>
              <w:spacing w:line="240" w:lineRule="auto"/>
              <w:ind w:firstLine="0" w:firstLineChars="0"/>
              <w:jc w:val="center"/>
              <w:rPr>
                <w:rFonts w:cs="Times New Roman"/>
                <w:bCs/>
                <w:sz w:val="21"/>
                <w:szCs w:val="21"/>
              </w:rPr>
            </w:pPr>
            <w:r>
              <w:rPr>
                <w:rFonts w:cs="Times New Roman"/>
                <w:bCs/>
                <w:sz w:val="21"/>
                <w:szCs w:val="21"/>
              </w:rPr>
              <w:t>上风向1#</w:t>
            </w:r>
          </w:p>
        </w:tc>
        <w:tc>
          <w:tcPr>
            <w:tcW w:w="0" w:type="auto"/>
            <w:tcBorders>
              <w:tl2br w:val="nil"/>
              <w:tr2bl w:val="nil"/>
            </w:tcBorders>
            <w:vAlign w:val="center"/>
          </w:tcPr>
          <w:p>
            <w:pPr>
              <w:widowControl w:val="0"/>
              <w:spacing w:line="240" w:lineRule="auto"/>
              <w:ind w:firstLine="0" w:firstLineChars="0"/>
              <w:jc w:val="center"/>
              <w:rPr>
                <w:rFonts w:cs="Times New Roman"/>
                <w:bCs/>
                <w:sz w:val="21"/>
                <w:szCs w:val="21"/>
              </w:rPr>
            </w:pPr>
            <w:r>
              <w:rPr>
                <w:rFonts w:cs="Times New Roman"/>
                <w:bCs/>
                <w:sz w:val="21"/>
                <w:szCs w:val="21"/>
              </w:rPr>
              <w:t>下风向2#</w:t>
            </w:r>
          </w:p>
        </w:tc>
        <w:tc>
          <w:tcPr>
            <w:tcW w:w="0" w:type="auto"/>
            <w:tcBorders>
              <w:tl2br w:val="nil"/>
              <w:tr2bl w:val="nil"/>
            </w:tcBorders>
            <w:vAlign w:val="center"/>
          </w:tcPr>
          <w:p>
            <w:pPr>
              <w:widowControl w:val="0"/>
              <w:spacing w:line="240" w:lineRule="auto"/>
              <w:ind w:firstLine="0" w:firstLineChars="0"/>
              <w:jc w:val="center"/>
              <w:rPr>
                <w:rFonts w:cs="Times New Roman"/>
                <w:bCs/>
                <w:sz w:val="21"/>
                <w:szCs w:val="21"/>
              </w:rPr>
            </w:pPr>
            <w:r>
              <w:rPr>
                <w:rFonts w:cs="Times New Roman"/>
                <w:bCs/>
                <w:sz w:val="21"/>
                <w:szCs w:val="21"/>
              </w:rPr>
              <w:t>下风向3#</w:t>
            </w:r>
          </w:p>
        </w:tc>
        <w:tc>
          <w:tcPr>
            <w:tcW w:w="0" w:type="auto"/>
            <w:tcBorders>
              <w:tl2br w:val="nil"/>
              <w:tr2bl w:val="nil"/>
            </w:tcBorders>
            <w:vAlign w:val="center"/>
          </w:tcPr>
          <w:p>
            <w:pPr>
              <w:widowControl w:val="0"/>
              <w:spacing w:line="240" w:lineRule="auto"/>
              <w:ind w:firstLine="0" w:firstLineChars="0"/>
              <w:jc w:val="center"/>
              <w:rPr>
                <w:rFonts w:cs="Times New Roman"/>
                <w:bCs/>
                <w:sz w:val="21"/>
                <w:szCs w:val="21"/>
              </w:rPr>
            </w:pPr>
            <w:r>
              <w:rPr>
                <w:rFonts w:cs="Times New Roman"/>
                <w:bCs/>
                <w:sz w:val="21"/>
                <w:szCs w:val="21"/>
              </w:rPr>
              <w:t>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57" w:type="dxa"/>
            <w:vMerge w:val="restart"/>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无组织</w:t>
            </w:r>
          </w:p>
        </w:tc>
        <w:tc>
          <w:tcPr>
            <w:tcW w:w="1020" w:type="dxa"/>
            <w:vMerge w:val="restart"/>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VOC</w:t>
            </w:r>
            <w:r>
              <w:rPr>
                <w:rFonts w:hint="eastAsia" w:ascii="Times New Roman" w:hAnsi="Times New Roman" w:eastAsia="宋体" w:cs="Times New Roman"/>
                <w:bCs/>
                <w:sz w:val="21"/>
                <w:szCs w:val="21"/>
                <w:vertAlign w:val="subscript"/>
                <w:lang w:val="en-US" w:eastAsia="zh-CN"/>
              </w:rPr>
              <w:t>S</w:t>
            </w:r>
          </w:p>
        </w:tc>
        <w:tc>
          <w:tcPr>
            <w:tcW w:w="1161" w:type="dxa"/>
            <w:vMerge w:val="restart"/>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r>
              <w:rPr>
                <w:rFonts w:hint="eastAsia" w:cs="Times New Roman"/>
                <w:bCs/>
                <w:sz w:val="21"/>
                <w:szCs w:val="21"/>
                <w:lang w:eastAsia="zh-CN"/>
              </w:rPr>
              <w:t>2022.12.06</w:t>
            </w:r>
          </w:p>
        </w:tc>
        <w:tc>
          <w:tcPr>
            <w:tcW w:w="0" w:type="auto"/>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频次1</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0.71</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1.46</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1.24</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57"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020"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161"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0" w:type="auto"/>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频次2</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0.88</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1.44</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1.25</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57"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020"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161"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0" w:type="auto"/>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频次3</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0.67</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1.35</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1.16</w:t>
            </w:r>
          </w:p>
        </w:tc>
        <w:tc>
          <w:tcPr>
            <w:tcW w:w="1054" w:type="dxa"/>
            <w:tcBorders>
              <w:tl2br w:val="nil"/>
              <w:tr2bl w:val="nil"/>
            </w:tcBorders>
            <w:vAlign w:val="center"/>
          </w:tcPr>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57"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020"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161" w:type="dxa"/>
            <w:vMerge w:val="restart"/>
            <w:tcBorders>
              <w:tl2br w:val="nil"/>
              <w:tr2bl w:val="nil"/>
            </w:tcBorders>
            <w:vAlign w:val="center"/>
          </w:tcPr>
          <w:p>
            <w:pPr>
              <w:widowControl w:val="0"/>
              <w:spacing w:line="240" w:lineRule="auto"/>
              <w:ind w:firstLine="0" w:firstLineChars="0"/>
              <w:jc w:val="center"/>
              <w:rPr>
                <w:rFonts w:hint="eastAsia" w:cs="Times New Roman"/>
                <w:bCs/>
                <w:sz w:val="21"/>
                <w:szCs w:val="21"/>
                <w:lang w:eastAsia="zh-CN"/>
              </w:rPr>
            </w:pPr>
          </w:p>
          <w:p>
            <w:pPr>
              <w:widowControl w:val="0"/>
              <w:spacing w:line="240" w:lineRule="auto"/>
              <w:ind w:firstLine="0" w:firstLineChars="0"/>
              <w:jc w:val="center"/>
              <w:rPr>
                <w:rFonts w:hint="eastAsia" w:ascii="Times New Roman" w:hAnsi="Times New Roman" w:eastAsia="宋体" w:cs="Times New Roman"/>
                <w:bCs/>
                <w:sz w:val="21"/>
                <w:szCs w:val="21"/>
                <w:lang w:val="en-US" w:eastAsia="zh-CN"/>
              </w:rPr>
            </w:pPr>
            <w:r>
              <w:rPr>
                <w:rFonts w:hint="eastAsia" w:cs="Times New Roman"/>
                <w:bCs/>
                <w:sz w:val="21"/>
                <w:szCs w:val="21"/>
                <w:lang w:eastAsia="zh-CN"/>
              </w:rPr>
              <w:t>2022.12.07</w:t>
            </w:r>
          </w:p>
          <w:p>
            <w:pPr>
              <w:widowControl w:val="0"/>
              <w:spacing w:line="240" w:lineRule="auto"/>
              <w:ind w:firstLine="0" w:firstLineChars="0"/>
              <w:jc w:val="center"/>
              <w:rPr>
                <w:rFonts w:ascii="Times New Roman" w:hAnsi="Times New Roman" w:eastAsia="宋体" w:cs="Times New Roman"/>
                <w:bCs/>
                <w:sz w:val="21"/>
                <w:szCs w:val="21"/>
              </w:rPr>
            </w:pPr>
          </w:p>
        </w:tc>
        <w:tc>
          <w:tcPr>
            <w:tcW w:w="0" w:type="auto"/>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频次1</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0.63</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1.49</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1.15</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57"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020"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161"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0" w:type="auto"/>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频次2</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0.86</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1.42</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1.27</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57"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020"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1161" w:type="dxa"/>
            <w:vMerge w:val="continue"/>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p>
        </w:tc>
        <w:tc>
          <w:tcPr>
            <w:tcW w:w="0" w:type="auto"/>
            <w:tcBorders>
              <w:tl2br w:val="nil"/>
              <w:tr2bl w:val="nil"/>
            </w:tcBorders>
            <w:vAlign w:val="center"/>
          </w:tcPr>
          <w:p>
            <w:pPr>
              <w:widowControl w:val="0"/>
              <w:spacing w:line="24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频次3</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0.76</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1.36</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1.31</w:t>
            </w:r>
          </w:p>
        </w:tc>
        <w:tc>
          <w:tcPr>
            <w:tcW w:w="1054"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gridSpan w:val="8"/>
            <w:tcBorders>
              <w:tl2br w:val="nil"/>
              <w:tr2bl w:val="nil"/>
            </w:tcBorders>
            <w:vAlign w:val="center"/>
          </w:tcPr>
          <w:p>
            <w:pPr>
              <w:widowControl w:val="0"/>
              <w:spacing w:line="240" w:lineRule="auto"/>
              <w:ind w:firstLine="0" w:firstLineChars="0"/>
              <w:jc w:val="center"/>
              <w:rPr>
                <w:rFonts w:cs="Times New Roman"/>
                <w:b/>
                <w:sz w:val="21"/>
                <w:szCs w:val="21"/>
              </w:rPr>
            </w:pPr>
            <w:r>
              <w:rPr>
                <w:rFonts w:cs="Times New Roman"/>
                <w:b/>
                <w:sz w:val="21"/>
                <w:szCs w:val="21"/>
              </w:rPr>
              <w:t>备注：</w:t>
            </w:r>
            <w:r>
              <w:rPr>
                <w:rFonts w:cs="Times New Roman"/>
                <w:bCs/>
                <w:sz w:val="21"/>
                <w:szCs w:val="21"/>
              </w:rPr>
              <w:t>检测点位见附图</w:t>
            </w:r>
          </w:p>
        </w:tc>
      </w:tr>
    </w:tbl>
    <w:p>
      <w:pPr>
        <w:ind w:firstLine="480"/>
        <w:rPr>
          <w:rFonts w:hint="eastAsia" w:ascii="Times New Roman" w:hAnsi="Times New Roman" w:cs="Times New Roman" w:eastAsiaTheme="minorEastAsia"/>
          <w:bCs/>
          <w:lang w:val="en-US" w:eastAsia="zh-CN"/>
        </w:rPr>
      </w:pPr>
      <w:r>
        <w:rPr>
          <w:rFonts w:cs="Times New Roman" w:eastAsiaTheme="minorEastAsia"/>
          <w:bCs/>
        </w:rPr>
        <w:t>验收监测期间，</w:t>
      </w:r>
      <w:r>
        <w:rPr>
          <w:rFonts w:ascii="Times New Roman" w:hAnsi="Times New Roman" w:cs="Times New Roman" w:eastAsiaTheme="minorEastAsia"/>
          <w:bCs/>
        </w:rPr>
        <w:t>厂界无组织</w:t>
      </w:r>
      <w:r>
        <w:rPr>
          <w:rFonts w:hint="eastAsia" w:ascii="Times New Roman" w:hAnsi="Times New Roman" w:cs="Times New Roman" w:eastAsiaTheme="minorEastAsia"/>
          <w:bCs/>
          <w:lang w:val="en-US" w:eastAsia="zh-CN"/>
        </w:rPr>
        <w:t>VOC</w:t>
      </w:r>
      <w:r>
        <w:rPr>
          <w:rFonts w:hint="eastAsia" w:ascii="Times New Roman" w:hAnsi="Times New Roman" w:cs="Times New Roman" w:eastAsiaTheme="minorEastAsia"/>
          <w:bCs/>
          <w:vertAlign w:val="subscript"/>
          <w:lang w:val="en-US" w:eastAsia="zh-CN"/>
        </w:rPr>
        <w:t>S</w:t>
      </w:r>
      <w:r>
        <w:rPr>
          <w:rFonts w:hint="default" w:ascii="Times New Roman" w:hAnsi="Times New Roman" w:cs="Times New Roman" w:eastAsiaTheme="minorEastAsia"/>
          <w:bCs/>
        </w:rPr>
        <w:t>两天测得最大排放浓度</w:t>
      </w:r>
      <w:r>
        <w:rPr>
          <w:rFonts w:hint="eastAsia" w:cs="Times New Roman" w:eastAsiaTheme="minorEastAsia"/>
          <w:bCs/>
          <w:lang w:eastAsia="zh-CN"/>
        </w:rPr>
        <w:t>为</w:t>
      </w:r>
      <w:r>
        <w:rPr>
          <w:rFonts w:hint="eastAsia" w:cs="Times New Roman" w:eastAsiaTheme="minorEastAsia"/>
          <w:bCs/>
          <w:lang w:val="en-US" w:eastAsia="zh-CN"/>
        </w:rPr>
        <w:t>1.74</w:t>
      </w:r>
      <w:r>
        <w:rPr>
          <w:rFonts w:hint="default" w:ascii="Times New Roman" w:hAnsi="Times New Roman" w:cs="Times New Roman" w:eastAsiaTheme="minorEastAsia"/>
          <w:bCs/>
        </w:rPr>
        <w:t>mg/m³</w:t>
      </w:r>
      <w:r>
        <w:rPr>
          <w:rFonts w:hint="eastAsia" w:ascii="Times New Roman" w:hAnsi="Times New Roman" w:cs="Times New Roman" w:eastAsiaTheme="minorEastAsia"/>
          <w:bCs/>
          <w:lang w:eastAsia="zh-CN"/>
        </w:rPr>
        <w:t>，</w:t>
      </w:r>
      <w:r>
        <w:rPr>
          <w:rFonts w:hint="default" w:ascii="Times New Roman" w:hAnsi="Times New Roman" w:cs="Times New Roman" w:eastAsiaTheme="minorEastAsia"/>
          <w:bCs/>
        </w:rPr>
        <w:t>满足《挥发性有机物排放标准 第6部分：有机化工行业》(DB37/2801.6--2018)表3 厂界监控点浓度限值(2.0mg/m</w:t>
      </w:r>
      <w:r>
        <w:rPr>
          <w:rFonts w:hint="default" w:ascii="Times New Roman" w:hAnsi="Times New Roman" w:cs="Times New Roman" w:eastAsiaTheme="minorEastAsia"/>
          <w:bCs/>
          <w:vertAlign w:val="superscript"/>
        </w:rPr>
        <w:t>3</w:t>
      </w:r>
      <w:r>
        <w:rPr>
          <w:rFonts w:hint="default" w:ascii="Times New Roman" w:hAnsi="Times New Roman" w:cs="Times New Roman" w:eastAsiaTheme="minorEastAsia"/>
          <w:bCs/>
        </w:rPr>
        <w:t>)。</w:t>
      </w:r>
    </w:p>
    <w:p>
      <w:pPr>
        <w:bidi w:val="0"/>
        <w:ind w:left="0" w:leftChars="0" w:firstLine="0" w:firstLineChars="0"/>
        <w:jc w:val="both"/>
      </w:pPr>
      <w:r>
        <w:drawing>
          <wp:inline distT="0" distB="0" distL="114300" distR="114300">
            <wp:extent cx="5219700" cy="3377565"/>
            <wp:effectExtent l="0" t="0" r="0" b="133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a:stretch>
                      <a:fillRect/>
                    </a:stretch>
                  </pic:blipFill>
                  <pic:spPr>
                    <a:xfrm>
                      <a:off x="0" y="0"/>
                      <a:ext cx="5219700" cy="3377565"/>
                    </a:xfrm>
                    <a:prstGeom prst="rect">
                      <a:avLst/>
                    </a:prstGeom>
                    <a:noFill/>
                    <a:ln>
                      <a:noFill/>
                    </a:ln>
                  </pic:spPr>
                </pic:pic>
              </a:graphicData>
            </a:graphic>
          </wp:inline>
        </w:drawing>
      </w:r>
      <w:r>
        <w:drawing>
          <wp:inline distT="0" distB="0" distL="114300" distR="114300">
            <wp:extent cx="5219700" cy="3312795"/>
            <wp:effectExtent l="0" t="0" r="0"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5219700" cy="3312795"/>
                    </a:xfrm>
                    <a:prstGeom prst="rect">
                      <a:avLst/>
                    </a:prstGeom>
                    <a:noFill/>
                    <a:ln>
                      <a:noFill/>
                    </a:ln>
                  </pic:spPr>
                </pic:pic>
              </a:graphicData>
            </a:graphic>
          </wp:inline>
        </w:drawing>
      </w:r>
    </w:p>
    <w:p>
      <w:pPr>
        <w:pStyle w:val="15"/>
        <w:ind w:firstLine="480"/>
        <w:jc w:val="center"/>
        <w:rPr>
          <w:rFonts w:ascii="Times New Roman" w:hAnsi="Times New Roman" w:cs="Times New Roman" w:eastAsiaTheme="minorEastAsia"/>
          <w:sz w:val="24"/>
          <w:szCs w:val="24"/>
        </w:rPr>
      </w:pPr>
      <w:bookmarkStart w:id="100" w:name="_Ref80219091"/>
      <w:r>
        <w:rPr>
          <w:rFonts w:ascii="Times New Roman" w:hAnsi="Times New Roman" w:cs="Times New Roman" w:eastAsiaTheme="minorEastAsia"/>
          <w:sz w:val="24"/>
        </w:rPr>
        <w:t xml:space="preserve">图 </w:t>
      </w:r>
      <w:r>
        <w:rPr>
          <w:rFonts w:ascii="Times New Roman" w:hAnsi="Times New Roman" w:cs="Times New Roman" w:eastAsiaTheme="minorEastAsia"/>
          <w:sz w:val="24"/>
        </w:rPr>
        <w:fldChar w:fldCharType="begin"/>
      </w:r>
      <w:r>
        <w:rPr>
          <w:rFonts w:ascii="Times New Roman" w:hAnsi="Times New Roman" w:cs="Times New Roman" w:eastAsiaTheme="minorEastAsia"/>
          <w:sz w:val="24"/>
        </w:rPr>
        <w:instrText xml:space="preserve"> STYLEREF 2 \s </w:instrText>
      </w:r>
      <w:r>
        <w:rPr>
          <w:rFonts w:ascii="Times New Roman" w:hAnsi="Times New Roman" w:cs="Times New Roman" w:eastAsiaTheme="minorEastAsia"/>
          <w:sz w:val="24"/>
        </w:rPr>
        <w:fldChar w:fldCharType="separate"/>
      </w:r>
      <w:r>
        <w:rPr>
          <w:rFonts w:ascii="Times New Roman" w:hAnsi="Times New Roman" w:cs="Times New Roman" w:eastAsiaTheme="minorEastAsia"/>
          <w:sz w:val="24"/>
        </w:rPr>
        <w:t>5.1</w:t>
      </w:r>
      <w:r>
        <w:rPr>
          <w:rFonts w:ascii="Times New Roman" w:hAnsi="Times New Roman" w:cs="Times New Roman" w:eastAsiaTheme="minorEastAsia"/>
          <w:sz w:val="24"/>
        </w:rPr>
        <w:fldChar w:fldCharType="end"/>
      </w:r>
      <w:r>
        <w:rPr>
          <w:rFonts w:ascii="Times New Roman" w:hAnsi="Times New Roman" w:cs="Times New Roman" w:eastAsiaTheme="minorEastAsia"/>
          <w:sz w:val="24"/>
        </w:rPr>
        <w:t>–</w:t>
      </w:r>
      <w:r>
        <w:rPr>
          <w:rFonts w:ascii="Times New Roman" w:hAnsi="Times New Roman" w:cs="Times New Roman" w:eastAsiaTheme="minorEastAsia"/>
          <w:sz w:val="24"/>
        </w:rPr>
        <w:fldChar w:fldCharType="begin"/>
      </w:r>
      <w:r>
        <w:rPr>
          <w:rFonts w:ascii="Times New Roman" w:hAnsi="Times New Roman" w:cs="Times New Roman" w:eastAsiaTheme="minorEastAsia"/>
          <w:sz w:val="24"/>
        </w:rPr>
        <w:instrText xml:space="preserve"> SEQ 图 \* ARABIC \s 2 </w:instrText>
      </w:r>
      <w:r>
        <w:rPr>
          <w:rFonts w:ascii="Times New Roman" w:hAnsi="Times New Roman" w:cs="Times New Roman" w:eastAsiaTheme="minorEastAsia"/>
          <w:sz w:val="24"/>
        </w:rPr>
        <w:fldChar w:fldCharType="separate"/>
      </w:r>
      <w:r>
        <w:rPr>
          <w:rFonts w:ascii="Times New Roman" w:hAnsi="Times New Roman" w:cs="Times New Roman" w:eastAsiaTheme="minorEastAsia"/>
          <w:sz w:val="24"/>
        </w:rPr>
        <w:t>1</w:t>
      </w:r>
      <w:r>
        <w:rPr>
          <w:rFonts w:ascii="Times New Roman" w:hAnsi="Times New Roman" w:cs="Times New Roman" w:eastAsiaTheme="minorEastAsia"/>
          <w:sz w:val="24"/>
        </w:rPr>
        <w:fldChar w:fldCharType="end"/>
      </w:r>
      <w:bookmarkEnd w:id="100"/>
      <w:r>
        <w:rPr>
          <w:rFonts w:hint="eastAsia" w:ascii="Times New Roman" w:hAnsi="Times New Roman" w:cs="Times New Roman" w:eastAsiaTheme="minorEastAsia"/>
          <w:sz w:val="24"/>
          <w:lang w:val="en-US" w:eastAsia="zh-CN"/>
        </w:rPr>
        <w:t>1</w:t>
      </w:r>
      <w:r>
        <w:rPr>
          <w:rFonts w:ascii="Times New Roman" w:hAnsi="Times New Roman" w:cs="Times New Roman" w:eastAsiaTheme="minorEastAsia"/>
          <w:sz w:val="24"/>
        </w:rPr>
        <w:t xml:space="preserve">  </w:t>
      </w:r>
      <w:r>
        <w:rPr>
          <w:rFonts w:ascii="Times New Roman" w:hAnsi="Times New Roman" w:cs="Times New Roman" w:eastAsiaTheme="minorEastAsia"/>
          <w:sz w:val="24"/>
          <w:szCs w:val="24"/>
        </w:rPr>
        <w:t>无组织废气排放及噪声监测点位图</w:t>
      </w:r>
    </w:p>
    <w:p>
      <w:pPr>
        <w:pStyle w:val="8"/>
        <w:widowControl w:val="0"/>
        <w:numPr>
          <w:ilvl w:val="1"/>
          <w:numId w:val="0"/>
        </w:numPr>
        <w:rPr>
          <w:rFonts w:cs="Times New Roman" w:eastAsiaTheme="minorEastAsia"/>
        </w:rPr>
      </w:pPr>
      <w:bookmarkStart w:id="101" w:name="_Toc29407"/>
      <w:bookmarkStart w:id="102" w:name="_Toc24278_WPSOffice_Level2"/>
      <w:r>
        <w:rPr>
          <w:rFonts w:hint="eastAsia" w:cs="Times New Roman" w:eastAsiaTheme="minorEastAsia"/>
        </w:rPr>
        <w:t>5.3</w:t>
      </w:r>
      <w:r>
        <w:rPr>
          <w:rFonts w:cs="Times New Roman" w:eastAsiaTheme="minorEastAsia"/>
        </w:rPr>
        <w:t>噪声监测因子及监测结果评价</w:t>
      </w:r>
      <w:bookmarkEnd w:id="101"/>
      <w:bookmarkEnd w:id="102"/>
    </w:p>
    <w:p>
      <w:pPr>
        <w:pStyle w:val="9"/>
        <w:numPr>
          <w:ilvl w:val="2"/>
          <w:numId w:val="0"/>
        </w:numPr>
        <w:rPr>
          <w:rFonts w:cs="Times New Roman" w:eastAsiaTheme="minorEastAsia"/>
        </w:rPr>
      </w:pPr>
      <w:bookmarkStart w:id="103" w:name="_Toc12229_WPSOffice_Level3"/>
      <w:bookmarkStart w:id="104" w:name="_Toc20600"/>
      <w:r>
        <w:rPr>
          <w:rFonts w:hint="eastAsia" w:cs="Times New Roman" w:eastAsiaTheme="minorEastAsia"/>
        </w:rPr>
        <w:t>5.3.1</w:t>
      </w:r>
      <w:r>
        <w:rPr>
          <w:rFonts w:cs="Times New Roman" w:eastAsiaTheme="minorEastAsia"/>
        </w:rPr>
        <w:t>监测点位、监测因子</w:t>
      </w:r>
      <w:bookmarkEnd w:id="103"/>
      <w:bookmarkEnd w:id="104"/>
    </w:p>
    <w:p>
      <w:pPr>
        <w:widowControl w:val="0"/>
        <w:spacing w:line="480" w:lineRule="exact"/>
        <w:ind w:firstLine="480"/>
        <w:rPr>
          <w:rFonts w:cs="Times New Roman" w:eastAsiaTheme="minorEastAsia"/>
        </w:rPr>
      </w:pPr>
      <w:r>
        <w:rPr>
          <w:rFonts w:cs="Times New Roman" w:eastAsiaTheme="minorEastAsia"/>
        </w:rPr>
        <w:t>噪声监测布点及监测因子见下表，监测点位见</w:t>
      </w:r>
      <w:r>
        <w:rPr>
          <w:rFonts w:cs="Times New Roman" w:eastAsiaTheme="minorEastAsia"/>
        </w:rPr>
        <w:fldChar w:fldCharType="begin"/>
      </w:r>
      <w:r>
        <w:rPr>
          <w:rFonts w:cs="Times New Roman" w:eastAsiaTheme="minorEastAsia"/>
        </w:rPr>
        <w:instrText xml:space="preserve"> REF _Ref80219091 \h  \* MERGEFORMAT </w:instrText>
      </w:r>
      <w:r>
        <w:rPr>
          <w:rFonts w:cs="Times New Roman" w:eastAsiaTheme="minorEastAsia"/>
        </w:rPr>
        <w:fldChar w:fldCharType="separate"/>
      </w:r>
      <w:r>
        <w:rPr>
          <w:rFonts w:cs="Times New Roman" w:eastAsiaTheme="minorEastAsia"/>
        </w:rPr>
        <w:t xml:space="preserve">图 </w:t>
      </w:r>
      <w:r>
        <w:rPr>
          <w:rFonts w:cs="Times New Roman" w:eastAsiaTheme="minorEastAsia"/>
        </w:rPr>
        <w:fldChar w:fldCharType="begin"/>
      </w:r>
      <w:r>
        <w:rPr>
          <w:rFonts w:cs="Times New Roman" w:eastAsiaTheme="minorEastAsia"/>
        </w:rPr>
        <w:instrText xml:space="preserve"> STYLEREF</w:instrText>
      </w:r>
      <w:r>
        <w:instrText xml:space="preserve"> 2 \s </w:instrText>
      </w:r>
      <w:r>
        <w:fldChar w:fldCharType="separate"/>
      </w:r>
      <w:r>
        <w:t>5.1</w:t>
      </w:r>
      <w:r>
        <w:fldChar w:fldCharType="end"/>
      </w:r>
      <w:r>
        <w:t>–1</w:t>
      </w:r>
      <w:r>
        <w:rPr>
          <w:rFonts w:cs="Times New Roman" w:eastAsiaTheme="minorEastAsia"/>
        </w:rPr>
        <w:fldChar w:fldCharType="end"/>
      </w:r>
      <w:r>
        <w:rPr>
          <w:rFonts w:cs="Times New Roman" w:eastAsiaTheme="minorEastAsia"/>
        </w:rPr>
        <w:t>。</w:t>
      </w:r>
    </w:p>
    <w:p>
      <w:pPr>
        <w:widowControl w:val="0"/>
        <w:spacing w:line="480" w:lineRule="exact"/>
        <w:ind w:firstLine="480"/>
        <w:jc w:val="center"/>
        <w:rPr>
          <w:rFonts w:cs="Times New Roman" w:eastAsiaTheme="minorEastAsia"/>
        </w:rPr>
      </w:pPr>
      <w:bookmarkStart w:id="105" w:name="_Toc15783_WPSOffice_Level2"/>
      <w:r>
        <w:rPr>
          <w:rFonts w:cs="Times New Roman" w:eastAsiaTheme="minorEastAsia"/>
        </w:rPr>
        <w:t xml:space="preserve">表 </w:t>
      </w:r>
      <w:r>
        <w:rPr>
          <w:rFonts w:hint="eastAsia" w:cs="Times New Roman" w:eastAsiaTheme="minorEastAsia"/>
        </w:rPr>
        <w:t>5.3</w:t>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t xml:space="preserve">  噪声监测点位及监测因子设置</w:t>
      </w:r>
      <w:bookmarkEnd w:id="105"/>
    </w:p>
    <w:tbl>
      <w:tblPr>
        <w:tblStyle w:val="3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457"/>
        <w:gridCol w:w="2946"/>
        <w:gridCol w:w="22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编号</w:t>
            </w:r>
          </w:p>
        </w:tc>
        <w:tc>
          <w:tcPr>
            <w:tcW w:w="1441"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监测点位</w:t>
            </w:r>
          </w:p>
        </w:tc>
        <w:tc>
          <w:tcPr>
            <w:tcW w:w="1728"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监测项目</w:t>
            </w:r>
          </w:p>
        </w:tc>
        <w:tc>
          <w:tcPr>
            <w:tcW w:w="1310"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1441"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北厂界</w:t>
            </w:r>
          </w:p>
        </w:tc>
        <w:tc>
          <w:tcPr>
            <w:tcW w:w="1728" w:type="pct"/>
            <w:vMerge w:val="restar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等效连续噪声级（Leq）</w:t>
            </w:r>
          </w:p>
        </w:tc>
        <w:tc>
          <w:tcPr>
            <w:tcW w:w="1310" w:type="pct"/>
            <w:vMerge w:val="restar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昼</w:t>
            </w:r>
            <w:r>
              <w:rPr>
                <w:rFonts w:hint="eastAsia" w:cs="Times New Roman"/>
                <w:sz w:val="21"/>
                <w:szCs w:val="21"/>
                <w:lang w:eastAsia="zh-CN"/>
              </w:rPr>
              <w:t>间</w:t>
            </w:r>
            <w:r>
              <w:rPr>
                <w:rFonts w:cs="Times New Roman"/>
                <w:sz w:val="21"/>
                <w:szCs w:val="21"/>
              </w:rPr>
              <w:t>监测1次，连续2天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2#</w:t>
            </w:r>
          </w:p>
        </w:tc>
        <w:tc>
          <w:tcPr>
            <w:tcW w:w="1441"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西厂界</w:t>
            </w:r>
          </w:p>
        </w:tc>
        <w:tc>
          <w:tcPr>
            <w:tcW w:w="1728" w:type="pct"/>
            <w:vMerge w:val="continue"/>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c>
          <w:tcPr>
            <w:tcW w:w="1310" w:type="pct"/>
            <w:vMerge w:val="continue"/>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3#</w:t>
            </w:r>
          </w:p>
        </w:tc>
        <w:tc>
          <w:tcPr>
            <w:tcW w:w="1441"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南厂界</w:t>
            </w:r>
          </w:p>
        </w:tc>
        <w:tc>
          <w:tcPr>
            <w:tcW w:w="1728" w:type="pct"/>
            <w:vMerge w:val="continue"/>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c>
          <w:tcPr>
            <w:tcW w:w="1310" w:type="pct"/>
            <w:vMerge w:val="continue"/>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4#</w:t>
            </w:r>
          </w:p>
        </w:tc>
        <w:tc>
          <w:tcPr>
            <w:tcW w:w="1441"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东厂界</w:t>
            </w:r>
          </w:p>
        </w:tc>
        <w:tc>
          <w:tcPr>
            <w:tcW w:w="1728" w:type="pct"/>
            <w:vMerge w:val="continue"/>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c>
          <w:tcPr>
            <w:tcW w:w="1310" w:type="pct"/>
            <w:vMerge w:val="continue"/>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r>
    </w:tbl>
    <w:p>
      <w:pPr>
        <w:pStyle w:val="9"/>
        <w:numPr>
          <w:ilvl w:val="2"/>
          <w:numId w:val="0"/>
        </w:numPr>
        <w:rPr>
          <w:rFonts w:cs="Times New Roman" w:eastAsiaTheme="minorEastAsia"/>
        </w:rPr>
      </w:pPr>
      <w:bookmarkStart w:id="106" w:name="_Toc9904"/>
      <w:bookmarkStart w:id="107" w:name="_Toc8289_WPSOffice_Level3"/>
      <w:r>
        <w:rPr>
          <w:rFonts w:hint="eastAsia" w:cs="Times New Roman" w:eastAsiaTheme="minorEastAsia"/>
        </w:rPr>
        <w:t>5.3.2</w:t>
      </w:r>
      <w:r>
        <w:rPr>
          <w:rFonts w:cs="Times New Roman" w:eastAsiaTheme="minorEastAsia"/>
        </w:rPr>
        <w:t>监测分析方法及仪器</w:t>
      </w:r>
      <w:bookmarkEnd w:id="106"/>
      <w:bookmarkEnd w:id="107"/>
    </w:p>
    <w:p>
      <w:pPr>
        <w:pStyle w:val="9"/>
        <w:numPr>
          <w:ilvl w:val="2"/>
          <w:numId w:val="0"/>
        </w:numPr>
        <w:rPr>
          <w:rFonts w:cs="Times New Roman" w:eastAsiaTheme="minorEastAsia"/>
          <w:sz w:val="24"/>
        </w:rPr>
      </w:pPr>
      <w:r>
        <w:rPr>
          <w:rFonts w:hint="eastAsia" w:cs="Times New Roman" w:eastAsiaTheme="minorEastAsia"/>
        </w:rPr>
        <w:t>5.3.3</w:t>
      </w:r>
      <w:r>
        <w:rPr>
          <w:rFonts w:cs="Times New Roman" w:eastAsiaTheme="minorEastAsia"/>
          <w:sz w:val="24"/>
        </w:rPr>
        <w:t>监测分析方法及仪器见下表：</w:t>
      </w:r>
    </w:p>
    <w:p>
      <w:pPr>
        <w:widowControl w:val="0"/>
        <w:adjustRightInd w:val="0"/>
        <w:snapToGrid w:val="0"/>
        <w:spacing w:line="480" w:lineRule="exact"/>
        <w:ind w:firstLine="2880" w:firstLineChars="1200"/>
        <w:rPr>
          <w:rFonts w:cs="Times New Roman" w:eastAsiaTheme="minorEastAsia"/>
          <w:bCs/>
        </w:rPr>
      </w:pPr>
      <w:r>
        <w:rPr>
          <w:rFonts w:cs="Times New Roman" w:eastAsiaTheme="minorEastAsia"/>
        </w:rPr>
        <w:t xml:space="preserve">表 </w:t>
      </w:r>
      <w:r>
        <w:rPr>
          <w:rFonts w:hint="eastAsia" w:cs="Times New Roman" w:eastAsiaTheme="minorEastAsia"/>
        </w:rPr>
        <w:t>5.3</w:t>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2</w:t>
      </w:r>
      <w:r>
        <w:rPr>
          <w:rFonts w:cs="Times New Roman" w:eastAsiaTheme="minorEastAsia"/>
        </w:rPr>
        <w:fldChar w:fldCharType="end"/>
      </w:r>
      <w:r>
        <w:rPr>
          <w:rFonts w:cs="Times New Roman" w:eastAsiaTheme="minorEastAsia"/>
        </w:rPr>
        <w:t xml:space="preserve">  </w:t>
      </w:r>
      <w:r>
        <w:rPr>
          <w:rFonts w:cs="Times New Roman" w:eastAsiaTheme="minorEastAsia"/>
          <w:bCs/>
        </w:rPr>
        <w:t>噪声监测、分析方法及仪器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660"/>
        <w:gridCol w:w="3127"/>
        <w:gridCol w:w="2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kern w:val="0"/>
                <w:sz w:val="21"/>
                <w:szCs w:val="21"/>
              </w:rPr>
            </w:pPr>
            <w:r>
              <w:rPr>
                <w:rFonts w:cs="Times New Roman"/>
                <w:bCs/>
                <w:kern w:val="0"/>
                <w:sz w:val="21"/>
                <w:szCs w:val="21"/>
              </w:rPr>
              <w:t>项目名称</w:t>
            </w:r>
          </w:p>
        </w:tc>
        <w:tc>
          <w:tcPr>
            <w:tcW w:w="97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kern w:val="0"/>
                <w:sz w:val="21"/>
                <w:szCs w:val="21"/>
              </w:rPr>
            </w:pPr>
            <w:r>
              <w:rPr>
                <w:rFonts w:cs="Times New Roman"/>
                <w:bCs/>
                <w:kern w:val="0"/>
                <w:sz w:val="21"/>
                <w:szCs w:val="21"/>
              </w:rPr>
              <w:t>标准代号</w:t>
            </w:r>
          </w:p>
        </w:tc>
        <w:tc>
          <w:tcPr>
            <w:tcW w:w="183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kern w:val="0"/>
                <w:sz w:val="21"/>
                <w:szCs w:val="21"/>
              </w:rPr>
            </w:pPr>
            <w:r>
              <w:rPr>
                <w:rFonts w:cs="Times New Roman"/>
                <w:bCs/>
                <w:kern w:val="0"/>
                <w:sz w:val="21"/>
                <w:szCs w:val="21"/>
              </w:rPr>
              <w:t>标准方法</w:t>
            </w:r>
          </w:p>
        </w:tc>
        <w:tc>
          <w:tcPr>
            <w:tcW w:w="1415"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kern w:val="0"/>
                <w:sz w:val="21"/>
                <w:szCs w:val="21"/>
              </w:rPr>
            </w:pPr>
            <w:r>
              <w:rPr>
                <w:rFonts w:cs="Times New Roman"/>
                <w:bCs/>
                <w:kern w:val="0"/>
                <w:sz w:val="21"/>
                <w:szCs w:val="21"/>
              </w:rPr>
              <w:t>监测仪器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厂界噪声</w:t>
            </w:r>
          </w:p>
        </w:tc>
        <w:tc>
          <w:tcPr>
            <w:tcW w:w="97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sz w:val="21"/>
                <w:szCs w:val="21"/>
              </w:rPr>
              <w:t>GB 12348-2008</w:t>
            </w:r>
          </w:p>
        </w:tc>
        <w:tc>
          <w:tcPr>
            <w:tcW w:w="183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sz w:val="21"/>
                <w:szCs w:val="21"/>
              </w:rPr>
              <w:t>工业企业厂界环境噪声排放标准</w:t>
            </w:r>
          </w:p>
        </w:tc>
        <w:tc>
          <w:tcPr>
            <w:tcW w:w="1415"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多功能声级计</w:t>
            </w:r>
            <w:r>
              <w:rPr>
                <w:rFonts w:ascii="Times New Roman" w:hAnsi="Times New Roman" w:eastAsia="宋体" w:cs="Times New Roman"/>
                <w:sz w:val="21"/>
                <w:szCs w:val="21"/>
              </w:rPr>
              <w:t>AWA6</w:t>
            </w:r>
            <w:r>
              <w:rPr>
                <w:rFonts w:hint="eastAsia" w:ascii="Times New Roman" w:hAnsi="Times New Roman" w:eastAsia="宋体" w:cs="Times New Roman"/>
                <w:sz w:val="21"/>
                <w:szCs w:val="21"/>
              </w:rPr>
              <w:t>022A</w:t>
            </w:r>
          </w:p>
        </w:tc>
      </w:tr>
    </w:tbl>
    <w:p>
      <w:pPr>
        <w:pStyle w:val="9"/>
        <w:numPr>
          <w:ilvl w:val="2"/>
          <w:numId w:val="0"/>
        </w:numPr>
        <w:rPr>
          <w:rFonts w:cs="Times New Roman" w:eastAsiaTheme="minorEastAsia"/>
        </w:rPr>
      </w:pPr>
      <w:bookmarkStart w:id="108" w:name="_Toc16216_WPSOffice_Level3"/>
      <w:bookmarkStart w:id="109" w:name="_Toc12275"/>
      <w:r>
        <w:rPr>
          <w:rFonts w:hint="eastAsia" w:cs="Times New Roman" w:eastAsiaTheme="minorEastAsia"/>
        </w:rPr>
        <w:t>5.3.4</w:t>
      </w:r>
      <w:r>
        <w:rPr>
          <w:rFonts w:cs="Times New Roman" w:eastAsiaTheme="minorEastAsia"/>
        </w:rPr>
        <w:t>质量保证和质量控制</w:t>
      </w:r>
      <w:bookmarkEnd w:id="108"/>
      <w:bookmarkEnd w:id="109"/>
    </w:p>
    <w:p>
      <w:pPr>
        <w:widowControl w:val="0"/>
        <w:autoSpaceDE w:val="0"/>
        <w:autoSpaceDN w:val="0"/>
        <w:adjustRightInd w:val="0"/>
        <w:spacing w:line="460" w:lineRule="exact"/>
        <w:ind w:firstLine="480"/>
        <w:rPr>
          <w:rFonts w:cs="Times New Roman" w:eastAsiaTheme="minorEastAsia"/>
        </w:rPr>
      </w:pPr>
      <w:r>
        <w:rPr>
          <w:rFonts w:cs="Times New Roman" w:eastAsiaTheme="minorEastAsia"/>
        </w:rPr>
        <w:t>监测质量保证和质量控制按照《工业企业厂界环境噪声排放标准》（GB12348-2008）的要求进行。</w:t>
      </w:r>
    </w:p>
    <w:p>
      <w:pPr>
        <w:widowControl w:val="0"/>
        <w:autoSpaceDE w:val="0"/>
        <w:autoSpaceDN w:val="0"/>
        <w:adjustRightInd w:val="0"/>
        <w:spacing w:line="460" w:lineRule="exact"/>
        <w:ind w:firstLine="480"/>
        <w:rPr>
          <w:rFonts w:cs="Times New Roman" w:eastAsiaTheme="minorEastAsia"/>
        </w:rPr>
      </w:pPr>
      <w:r>
        <w:rPr>
          <w:rFonts w:cs="Times New Roman" w:eastAsiaTheme="minorEastAsia"/>
        </w:rPr>
        <w:fldChar w:fldCharType="begin"/>
      </w:r>
      <w:r>
        <w:rPr>
          <w:rFonts w:cs="Times New Roman" w:eastAsiaTheme="minorEastAsia"/>
        </w:rPr>
        <w:instrText xml:space="preserve"> = 1 \* GB2 </w:instrText>
      </w:r>
      <w:r>
        <w:rPr>
          <w:rFonts w:cs="Times New Roman" w:eastAsiaTheme="minorEastAsia"/>
        </w:rPr>
        <w:fldChar w:fldCharType="separate"/>
      </w:r>
      <w:r>
        <w:rPr>
          <w:rFonts w:cs="Times New Roman" w:eastAsiaTheme="minorEastAsia"/>
        </w:rPr>
        <w:t>⑴</w:t>
      </w:r>
      <w:r>
        <w:rPr>
          <w:rFonts w:cs="Times New Roman" w:eastAsiaTheme="minorEastAsia"/>
        </w:rPr>
        <w:fldChar w:fldCharType="end"/>
      </w:r>
      <w:r>
        <w:rPr>
          <w:rFonts w:cs="Times New Roman" w:eastAsiaTheme="minorEastAsia"/>
        </w:rPr>
        <w:t>优先采用了国标监测分析方法，监测采样与测试分析人员均经国家考核合格并持证上岗，监测仪器经计量部门检定并在有效使用期内。</w:t>
      </w:r>
    </w:p>
    <w:p>
      <w:pPr>
        <w:widowControl w:val="0"/>
        <w:autoSpaceDE w:val="0"/>
        <w:autoSpaceDN w:val="0"/>
        <w:adjustRightInd w:val="0"/>
        <w:spacing w:line="460" w:lineRule="exact"/>
        <w:ind w:firstLine="480"/>
        <w:rPr>
          <w:rFonts w:cs="Times New Roman" w:eastAsiaTheme="minorEastAsia"/>
        </w:rPr>
      </w:pPr>
      <w:r>
        <w:rPr>
          <w:rFonts w:cs="Times New Roman" w:eastAsiaTheme="minorEastAsia"/>
        </w:rPr>
        <w:fldChar w:fldCharType="begin"/>
      </w:r>
      <w:r>
        <w:rPr>
          <w:rFonts w:cs="Times New Roman" w:eastAsiaTheme="minorEastAsia"/>
        </w:rPr>
        <w:instrText xml:space="preserve"> = 2 \* GB2 </w:instrText>
      </w:r>
      <w:r>
        <w:rPr>
          <w:rFonts w:cs="Times New Roman" w:eastAsiaTheme="minorEastAsia"/>
        </w:rPr>
        <w:fldChar w:fldCharType="separate"/>
      </w:r>
      <w:r>
        <w:rPr>
          <w:rFonts w:cs="Times New Roman" w:eastAsiaTheme="minorEastAsia"/>
        </w:rPr>
        <w:t>⑵</w:t>
      </w:r>
      <w:r>
        <w:rPr>
          <w:rFonts w:cs="Times New Roman" w:eastAsiaTheme="minorEastAsia"/>
        </w:rPr>
        <w:fldChar w:fldCharType="end"/>
      </w:r>
      <w:r>
        <w:rPr>
          <w:rFonts w:cs="Times New Roman" w:eastAsiaTheme="minorEastAsia"/>
        </w:rPr>
        <w:t>测量时传声器加设了防风罩。</w:t>
      </w:r>
    </w:p>
    <w:p>
      <w:pPr>
        <w:widowControl w:val="0"/>
        <w:autoSpaceDE w:val="0"/>
        <w:autoSpaceDN w:val="0"/>
        <w:adjustRightInd w:val="0"/>
        <w:spacing w:line="460" w:lineRule="exact"/>
        <w:ind w:firstLine="480"/>
        <w:rPr>
          <w:rFonts w:cs="Times New Roman" w:eastAsiaTheme="minorEastAsia"/>
        </w:rPr>
      </w:pPr>
      <w:r>
        <w:rPr>
          <w:rFonts w:cs="Times New Roman" w:eastAsiaTheme="minorEastAsia"/>
        </w:rPr>
        <w:fldChar w:fldCharType="begin"/>
      </w:r>
      <w:r>
        <w:rPr>
          <w:rFonts w:cs="Times New Roman" w:eastAsiaTheme="minorEastAsia"/>
        </w:rPr>
        <w:instrText xml:space="preserve"> = 3 \* GB2 </w:instrText>
      </w:r>
      <w:r>
        <w:rPr>
          <w:rFonts w:cs="Times New Roman" w:eastAsiaTheme="minorEastAsia"/>
        </w:rPr>
        <w:fldChar w:fldCharType="separate"/>
      </w:r>
      <w:r>
        <w:rPr>
          <w:rFonts w:cs="Times New Roman" w:eastAsiaTheme="minorEastAsia"/>
        </w:rPr>
        <w:t>⑶</w:t>
      </w:r>
      <w:r>
        <w:rPr>
          <w:rFonts w:cs="Times New Roman" w:eastAsiaTheme="minorEastAsia"/>
        </w:rPr>
        <w:fldChar w:fldCharType="end"/>
      </w:r>
      <w:r>
        <w:rPr>
          <w:rFonts w:cs="Times New Roman" w:eastAsiaTheme="minorEastAsia"/>
        </w:rPr>
        <w:t>测量时无雨雪、无雷电，测量时风速小于5m/s，天气条件满足监测要求。</w:t>
      </w:r>
    </w:p>
    <w:p>
      <w:pPr>
        <w:widowControl w:val="0"/>
        <w:autoSpaceDE w:val="0"/>
        <w:autoSpaceDN w:val="0"/>
        <w:adjustRightInd w:val="0"/>
        <w:spacing w:line="460" w:lineRule="exact"/>
        <w:ind w:firstLine="480"/>
        <w:rPr>
          <w:rFonts w:cs="Times New Roman" w:eastAsiaTheme="minorEastAsia"/>
        </w:rPr>
      </w:pPr>
      <w:r>
        <w:rPr>
          <w:rFonts w:cs="Times New Roman" w:eastAsiaTheme="minorEastAsia"/>
        </w:rPr>
        <w:fldChar w:fldCharType="begin"/>
      </w:r>
      <w:r>
        <w:rPr>
          <w:rFonts w:cs="Times New Roman" w:eastAsiaTheme="minorEastAsia"/>
        </w:rPr>
        <w:instrText xml:space="preserve"> = 4 \* GB2 </w:instrText>
      </w:r>
      <w:r>
        <w:rPr>
          <w:rFonts w:cs="Times New Roman" w:eastAsiaTheme="minorEastAsia"/>
        </w:rPr>
        <w:fldChar w:fldCharType="separate"/>
      </w:r>
      <w:r>
        <w:rPr>
          <w:rFonts w:cs="Times New Roman" w:eastAsiaTheme="minorEastAsia"/>
        </w:rPr>
        <w:t>⑷</w:t>
      </w:r>
      <w:r>
        <w:rPr>
          <w:rFonts w:cs="Times New Roman" w:eastAsiaTheme="minorEastAsia"/>
        </w:rPr>
        <w:fldChar w:fldCharType="end"/>
      </w:r>
      <w:r>
        <w:rPr>
          <w:rFonts w:cs="Times New Roman" w:eastAsiaTheme="minorEastAsia"/>
        </w:rPr>
        <w:t>监测数据和技术报告执行三级审核制度。</w:t>
      </w:r>
    </w:p>
    <w:p>
      <w:pPr>
        <w:widowControl w:val="0"/>
        <w:autoSpaceDE w:val="0"/>
        <w:autoSpaceDN w:val="0"/>
        <w:adjustRightInd w:val="0"/>
        <w:spacing w:line="460" w:lineRule="exact"/>
        <w:ind w:firstLine="480"/>
        <w:rPr>
          <w:rFonts w:cs="Times New Roman" w:eastAsiaTheme="minorEastAsia"/>
        </w:rPr>
      </w:pPr>
      <w:r>
        <w:rPr>
          <w:rFonts w:cs="Times New Roman" w:eastAsiaTheme="minorEastAsia"/>
        </w:rPr>
        <w:fldChar w:fldCharType="begin"/>
      </w:r>
      <w:r>
        <w:rPr>
          <w:rFonts w:cs="Times New Roman" w:eastAsiaTheme="minorEastAsia"/>
        </w:rPr>
        <w:instrText xml:space="preserve"> = 5 \* GB2 </w:instrText>
      </w:r>
      <w:r>
        <w:rPr>
          <w:rFonts w:cs="Times New Roman" w:eastAsiaTheme="minorEastAsia"/>
        </w:rPr>
        <w:fldChar w:fldCharType="separate"/>
      </w:r>
      <w:r>
        <w:rPr>
          <w:rFonts w:cs="Times New Roman" w:eastAsiaTheme="minorEastAsia"/>
        </w:rPr>
        <w:t>⑸</w:t>
      </w:r>
      <w:r>
        <w:rPr>
          <w:rFonts w:cs="Times New Roman" w:eastAsiaTheme="minorEastAsia"/>
        </w:rPr>
        <w:fldChar w:fldCharType="end"/>
      </w:r>
      <w:r>
        <w:rPr>
          <w:rFonts w:cs="Times New Roman" w:eastAsiaTheme="minorEastAsia"/>
        </w:rPr>
        <w:t>采样、测试分析质量保证和质量控制。</w:t>
      </w:r>
    </w:p>
    <w:p>
      <w:pPr>
        <w:widowControl w:val="0"/>
        <w:autoSpaceDE w:val="0"/>
        <w:autoSpaceDN w:val="0"/>
        <w:adjustRightInd w:val="0"/>
        <w:spacing w:line="460" w:lineRule="exact"/>
        <w:ind w:firstLine="480"/>
        <w:rPr>
          <w:rFonts w:cs="Times New Roman" w:eastAsiaTheme="minorEastAsia"/>
        </w:rPr>
      </w:pPr>
      <w:r>
        <w:rPr>
          <w:rFonts w:cs="Times New Roman" w:eastAsiaTheme="minorEastAsia"/>
        </w:rPr>
        <w:t>声级计在测试前后用标准声源进行校准，测量前后仪器的灵敏度相差不大于0.5dB，满足要求。</w:t>
      </w:r>
    </w:p>
    <w:p>
      <w:pPr>
        <w:widowControl w:val="0"/>
        <w:autoSpaceDE w:val="0"/>
        <w:autoSpaceDN w:val="0"/>
        <w:adjustRightInd w:val="0"/>
        <w:spacing w:line="460" w:lineRule="exact"/>
        <w:ind w:firstLine="480"/>
        <w:rPr>
          <w:rFonts w:cs="Times New Roman" w:eastAsiaTheme="minorEastAsia"/>
        </w:rPr>
      </w:pPr>
      <w:r>
        <w:rPr>
          <w:rFonts w:cs="Times New Roman" w:eastAsiaTheme="minorEastAsia"/>
        </w:rPr>
        <w:t>监测期间噪声监测仪校准情况见</w:t>
      </w:r>
      <w:bookmarkStart w:id="110" w:name="_Toc29851_WPSOffice_Level2"/>
      <w:r>
        <w:rPr>
          <w:rFonts w:cs="Times New Roman" w:eastAsiaTheme="minorEastAsia"/>
        </w:rPr>
        <w:t>下表：</w:t>
      </w:r>
    </w:p>
    <w:p>
      <w:pPr>
        <w:widowControl w:val="0"/>
        <w:spacing w:line="480" w:lineRule="exact"/>
        <w:ind w:firstLine="480"/>
        <w:jc w:val="center"/>
        <w:rPr>
          <w:rFonts w:cs="Times New Roman" w:eastAsiaTheme="minorEastAsia"/>
        </w:rPr>
      </w:pPr>
      <w:r>
        <w:rPr>
          <w:rFonts w:cs="Times New Roman" w:eastAsiaTheme="minorEastAsia"/>
        </w:rPr>
        <w:t>表</w:t>
      </w:r>
      <w:r>
        <w:rPr>
          <w:rFonts w:hint="eastAsia" w:cs="Times New Roman" w:eastAsiaTheme="minorEastAsia"/>
        </w:rPr>
        <w:t>5.3</w:t>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3</w:t>
      </w:r>
      <w:r>
        <w:rPr>
          <w:rFonts w:cs="Times New Roman" w:eastAsiaTheme="minorEastAsia"/>
        </w:rPr>
        <w:fldChar w:fldCharType="end"/>
      </w:r>
      <w:r>
        <w:rPr>
          <w:rFonts w:cs="Times New Roman" w:eastAsiaTheme="minorEastAsia"/>
        </w:rPr>
        <w:t xml:space="preserve">  监测期间噪声监测仪校准情况</w:t>
      </w:r>
      <w:bookmarkEnd w:id="110"/>
    </w:p>
    <w:tbl>
      <w:tblPr>
        <w:tblStyle w:val="3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27"/>
        <w:gridCol w:w="1131"/>
        <w:gridCol w:w="1339"/>
        <w:gridCol w:w="894"/>
        <w:gridCol w:w="1311"/>
        <w:gridCol w:w="1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bCs/>
                <w:kern w:val="0"/>
                <w:sz w:val="21"/>
                <w:szCs w:val="21"/>
              </w:rPr>
              <w:t>噪声仪型号与编号</w:t>
            </w:r>
          </w:p>
        </w:tc>
        <w:tc>
          <w:tcPr>
            <w:tcW w:w="663"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kern w:val="0"/>
                <w:sz w:val="21"/>
                <w:szCs w:val="21"/>
              </w:rPr>
            </w:pPr>
            <w:r>
              <w:rPr>
                <w:rFonts w:cs="Times New Roman"/>
                <w:bCs/>
                <w:kern w:val="0"/>
                <w:sz w:val="21"/>
                <w:szCs w:val="21"/>
              </w:rPr>
              <w:t>测量前</w:t>
            </w:r>
          </w:p>
          <w:p>
            <w:pPr>
              <w:widowControl w:val="0"/>
              <w:adjustRightInd w:val="0"/>
              <w:snapToGrid w:val="0"/>
              <w:spacing w:line="240" w:lineRule="auto"/>
              <w:ind w:firstLine="0" w:firstLineChars="0"/>
              <w:jc w:val="center"/>
              <w:rPr>
                <w:rFonts w:cs="Times New Roman"/>
                <w:kern w:val="0"/>
                <w:sz w:val="21"/>
                <w:szCs w:val="21"/>
              </w:rPr>
            </w:pPr>
            <w:r>
              <w:rPr>
                <w:rFonts w:cs="Times New Roman"/>
                <w:bCs/>
                <w:kern w:val="0"/>
                <w:sz w:val="21"/>
                <w:szCs w:val="21"/>
              </w:rPr>
              <w:t>[dB(A)]</w:t>
            </w:r>
          </w:p>
        </w:tc>
        <w:tc>
          <w:tcPr>
            <w:tcW w:w="78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kern w:val="0"/>
                <w:sz w:val="21"/>
                <w:szCs w:val="21"/>
              </w:rPr>
            </w:pPr>
            <w:r>
              <w:rPr>
                <w:rFonts w:cs="Times New Roman"/>
                <w:bCs/>
                <w:kern w:val="0"/>
                <w:sz w:val="21"/>
                <w:szCs w:val="21"/>
              </w:rPr>
              <w:t>测量后</w:t>
            </w:r>
          </w:p>
          <w:p>
            <w:pPr>
              <w:widowControl w:val="0"/>
              <w:adjustRightInd w:val="0"/>
              <w:snapToGrid w:val="0"/>
              <w:spacing w:line="240" w:lineRule="auto"/>
              <w:ind w:firstLine="0" w:firstLineChars="0"/>
              <w:jc w:val="center"/>
              <w:rPr>
                <w:rFonts w:cs="Times New Roman"/>
                <w:kern w:val="0"/>
                <w:sz w:val="21"/>
                <w:szCs w:val="21"/>
              </w:rPr>
            </w:pPr>
            <w:r>
              <w:rPr>
                <w:rFonts w:cs="Times New Roman"/>
                <w:bCs/>
                <w:kern w:val="0"/>
                <w:sz w:val="21"/>
                <w:szCs w:val="21"/>
              </w:rPr>
              <w:t>[dB(A)]</w:t>
            </w:r>
          </w:p>
        </w:tc>
        <w:tc>
          <w:tcPr>
            <w:tcW w:w="52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bCs/>
                <w:sz w:val="21"/>
                <w:szCs w:val="21"/>
              </w:rPr>
              <w:t>差值</w:t>
            </w:r>
            <w:r>
              <w:rPr>
                <w:rFonts w:cs="Times New Roman"/>
                <w:bCs/>
                <w:kern w:val="0"/>
                <w:sz w:val="21"/>
                <w:szCs w:val="21"/>
              </w:rPr>
              <w:t>[dB(A)]</w:t>
            </w:r>
          </w:p>
        </w:tc>
        <w:tc>
          <w:tcPr>
            <w:tcW w:w="769"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bCs/>
                <w:kern w:val="0"/>
                <w:sz w:val="21"/>
                <w:szCs w:val="21"/>
              </w:rPr>
              <w:t>允许差值[dB(A)]</w:t>
            </w:r>
          </w:p>
        </w:tc>
        <w:tc>
          <w:tcPr>
            <w:tcW w:w="950"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kern w:val="0"/>
                <w:sz w:val="21"/>
                <w:szCs w:val="21"/>
              </w:rPr>
            </w:pPr>
            <w:r>
              <w:rPr>
                <w:rFonts w:cs="Times New Roman"/>
                <w:bCs/>
                <w:kern w:val="0"/>
                <w:sz w:val="21"/>
                <w:szCs w:val="21"/>
              </w:rPr>
              <w:t>是否</w:t>
            </w:r>
          </w:p>
          <w:p>
            <w:pPr>
              <w:widowControl w:val="0"/>
              <w:adjustRightInd w:val="0"/>
              <w:snapToGrid w:val="0"/>
              <w:spacing w:line="240" w:lineRule="auto"/>
              <w:ind w:firstLine="0" w:firstLineChars="0"/>
              <w:jc w:val="center"/>
              <w:rPr>
                <w:rFonts w:cs="Times New Roman"/>
                <w:kern w:val="0"/>
                <w:sz w:val="21"/>
                <w:szCs w:val="21"/>
              </w:rPr>
            </w:pPr>
            <w:r>
              <w:rPr>
                <w:rFonts w:cs="Times New Roman"/>
                <w:bCs/>
                <w:kern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声级校准器AWA6022A</w:t>
            </w:r>
          </w:p>
        </w:tc>
        <w:tc>
          <w:tcPr>
            <w:tcW w:w="663"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93.8</w:t>
            </w:r>
          </w:p>
        </w:tc>
        <w:tc>
          <w:tcPr>
            <w:tcW w:w="78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93.8</w:t>
            </w:r>
          </w:p>
        </w:tc>
        <w:tc>
          <w:tcPr>
            <w:tcW w:w="52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0</w:t>
            </w:r>
          </w:p>
        </w:tc>
        <w:tc>
          <w:tcPr>
            <w:tcW w:w="769"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≤0.5</w:t>
            </w:r>
          </w:p>
        </w:tc>
        <w:tc>
          <w:tcPr>
            <w:tcW w:w="950"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cs="Times New Roman"/>
                <w:sz w:val="21"/>
                <w:szCs w:val="21"/>
              </w:rPr>
              <w:t>声级校准器AWA6022A</w:t>
            </w:r>
          </w:p>
        </w:tc>
        <w:tc>
          <w:tcPr>
            <w:tcW w:w="663"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93.8</w:t>
            </w:r>
          </w:p>
        </w:tc>
        <w:tc>
          <w:tcPr>
            <w:tcW w:w="78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93.8</w:t>
            </w:r>
          </w:p>
        </w:tc>
        <w:tc>
          <w:tcPr>
            <w:tcW w:w="52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0</w:t>
            </w:r>
          </w:p>
        </w:tc>
        <w:tc>
          <w:tcPr>
            <w:tcW w:w="769"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≤0.5</w:t>
            </w:r>
          </w:p>
        </w:tc>
        <w:tc>
          <w:tcPr>
            <w:tcW w:w="950"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sz w:val="21"/>
                <w:szCs w:val="21"/>
              </w:rPr>
              <w:t>声级校准器AWA6022A</w:t>
            </w:r>
          </w:p>
        </w:tc>
        <w:tc>
          <w:tcPr>
            <w:tcW w:w="663"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93.8</w:t>
            </w:r>
          </w:p>
        </w:tc>
        <w:tc>
          <w:tcPr>
            <w:tcW w:w="78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93.8</w:t>
            </w:r>
          </w:p>
        </w:tc>
        <w:tc>
          <w:tcPr>
            <w:tcW w:w="52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0</w:t>
            </w:r>
          </w:p>
        </w:tc>
        <w:tc>
          <w:tcPr>
            <w:tcW w:w="769"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≤0.5</w:t>
            </w:r>
          </w:p>
        </w:tc>
        <w:tc>
          <w:tcPr>
            <w:tcW w:w="950"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kern w:val="0"/>
                <w:sz w:val="21"/>
                <w:szCs w:val="21"/>
              </w:rPr>
            </w:pPr>
            <w:r>
              <w:rPr>
                <w:rFonts w:cs="Times New Roman"/>
                <w:kern w:val="0"/>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6"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2"/>
                <w:sz w:val="21"/>
                <w:szCs w:val="21"/>
                <w:lang w:val="en-US" w:eastAsia="zh-CN" w:bidi="ar-SA"/>
              </w:rPr>
            </w:pPr>
            <w:bookmarkStart w:id="111" w:name="_Toc9622"/>
            <w:bookmarkStart w:id="112" w:name="_Toc14397_WPSOffice_Level3"/>
            <w:r>
              <w:rPr>
                <w:rFonts w:cs="Times New Roman"/>
                <w:sz w:val="21"/>
                <w:szCs w:val="21"/>
              </w:rPr>
              <w:t>声级校准器AWA6022A</w:t>
            </w:r>
          </w:p>
        </w:tc>
        <w:tc>
          <w:tcPr>
            <w:tcW w:w="663"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93.8</w:t>
            </w:r>
          </w:p>
        </w:tc>
        <w:tc>
          <w:tcPr>
            <w:tcW w:w="78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93.8</w:t>
            </w:r>
          </w:p>
        </w:tc>
        <w:tc>
          <w:tcPr>
            <w:tcW w:w="52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0</w:t>
            </w:r>
          </w:p>
        </w:tc>
        <w:tc>
          <w:tcPr>
            <w:tcW w:w="769"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≤0.5</w:t>
            </w:r>
          </w:p>
        </w:tc>
        <w:tc>
          <w:tcPr>
            <w:tcW w:w="950"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cs="Times New Roman"/>
                <w:kern w:val="0"/>
                <w:sz w:val="21"/>
                <w:szCs w:val="21"/>
              </w:rPr>
              <w:t>是</w:t>
            </w:r>
          </w:p>
        </w:tc>
      </w:tr>
    </w:tbl>
    <w:p>
      <w:pPr>
        <w:pStyle w:val="9"/>
        <w:numPr>
          <w:ilvl w:val="2"/>
          <w:numId w:val="0"/>
        </w:numPr>
        <w:rPr>
          <w:rFonts w:cs="Times New Roman" w:eastAsiaTheme="minorEastAsia"/>
        </w:rPr>
      </w:pPr>
      <w:r>
        <w:rPr>
          <w:rFonts w:hint="eastAsia" w:cs="Times New Roman" w:eastAsiaTheme="minorEastAsia"/>
        </w:rPr>
        <w:t>5.3.5</w:t>
      </w:r>
      <w:r>
        <w:rPr>
          <w:rFonts w:cs="Times New Roman" w:eastAsiaTheme="minorEastAsia"/>
        </w:rPr>
        <w:t>验收监测评价标准</w:t>
      </w:r>
      <w:bookmarkEnd w:id="111"/>
      <w:bookmarkEnd w:id="112"/>
    </w:p>
    <w:p>
      <w:pPr>
        <w:widowControl w:val="0"/>
        <w:spacing w:line="480" w:lineRule="exact"/>
        <w:ind w:firstLine="480"/>
        <w:rPr>
          <w:rFonts w:cs="Times New Roman" w:eastAsiaTheme="minorEastAsia"/>
        </w:rPr>
      </w:pPr>
      <w:r>
        <w:rPr>
          <w:rFonts w:cs="Times New Roman" w:eastAsiaTheme="minorEastAsia"/>
        </w:rPr>
        <w:t>厂界噪声执行《工业企业厂界环境噪声排放标准》（GB12348-2008）中2类标准，标准限值见下表：</w:t>
      </w:r>
      <w:bookmarkStart w:id="113" w:name="_Toc19383_WPSOffice_Level2"/>
    </w:p>
    <w:p>
      <w:pPr>
        <w:widowControl w:val="0"/>
        <w:spacing w:line="480" w:lineRule="exact"/>
        <w:ind w:firstLine="480"/>
        <w:jc w:val="center"/>
        <w:rPr>
          <w:rFonts w:cs="Times New Roman" w:eastAsiaTheme="minorEastAsia"/>
        </w:rPr>
      </w:pPr>
      <w:r>
        <w:rPr>
          <w:rFonts w:cs="Times New Roman" w:eastAsiaTheme="minorEastAsia"/>
        </w:rPr>
        <w:t>表</w:t>
      </w:r>
      <w:r>
        <w:rPr>
          <w:rFonts w:hint="eastAsia" w:cs="Times New Roman" w:eastAsiaTheme="minorEastAsia"/>
        </w:rPr>
        <w:t>5.3</w:t>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4</w:t>
      </w:r>
      <w:r>
        <w:rPr>
          <w:rFonts w:cs="Times New Roman" w:eastAsiaTheme="minorEastAsia"/>
        </w:rPr>
        <w:fldChar w:fldCharType="end"/>
      </w:r>
      <w:r>
        <w:rPr>
          <w:rFonts w:cs="Times New Roman" w:eastAsiaTheme="minorEastAsia"/>
        </w:rPr>
        <w:t xml:space="preserve">  噪声评价标准限值</w:t>
      </w:r>
      <w:bookmarkEnd w:id="113"/>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3"/>
        <w:gridCol w:w="2914"/>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0" w:type="pct"/>
            <w:tcBorders>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项 目</w:t>
            </w:r>
          </w:p>
        </w:tc>
        <w:tc>
          <w:tcPr>
            <w:tcW w:w="3419" w:type="pct"/>
            <w:gridSpan w:val="2"/>
            <w:tcBorders>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标准限值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580" w:type="pct"/>
            <w:vMerge w:val="restart"/>
            <w:tcBorders>
              <w:top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厂界噪声</w:t>
            </w:r>
          </w:p>
        </w:tc>
        <w:tc>
          <w:tcPr>
            <w:tcW w:w="1709" w:type="pct"/>
            <w:tcBorders>
              <w:top w:val="single" w:color="auto" w:sz="4" w:space="0"/>
              <w:lef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昼间</w:t>
            </w:r>
          </w:p>
        </w:tc>
        <w:tc>
          <w:tcPr>
            <w:tcW w:w="1710" w:type="pct"/>
            <w:tcBorders>
              <w:top w:val="single" w:color="auto" w:sz="4" w:space="0"/>
              <w:left w:val="single" w:color="auto" w:sz="4" w:space="0"/>
              <w:tl2br w:val="nil"/>
              <w:tr2bl w:val="nil"/>
            </w:tcBorders>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580" w:type="pct"/>
            <w:vMerge w:val="continue"/>
            <w:tcBorders>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c>
          <w:tcPr>
            <w:tcW w:w="1709" w:type="pct"/>
            <w:tcBorders>
              <w:top w:val="single" w:color="auto" w:sz="4" w:space="0"/>
              <w:lef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60</w:t>
            </w:r>
          </w:p>
        </w:tc>
        <w:tc>
          <w:tcPr>
            <w:tcW w:w="1710" w:type="pct"/>
            <w:tcBorders>
              <w:top w:val="single" w:color="auto" w:sz="4" w:space="0"/>
              <w:left w:val="single" w:color="auto" w:sz="4" w:space="0"/>
              <w:tl2br w:val="nil"/>
              <w:tr2bl w:val="nil"/>
            </w:tcBorders>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50</w:t>
            </w:r>
          </w:p>
        </w:tc>
      </w:tr>
    </w:tbl>
    <w:p>
      <w:pPr>
        <w:pStyle w:val="9"/>
        <w:numPr>
          <w:ilvl w:val="2"/>
          <w:numId w:val="0"/>
        </w:numPr>
        <w:rPr>
          <w:rFonts w:cs="Times New Roman" w:eastAsiaTheme="minorEastAsia"/>
        </w:rPr>
      </w:pPr>
      <w:bookmarkStart w:id="114" w:name="_Toc12501"/>
      <w:bookmarkStart w:id="115" w:name="_Toc5021_WPSOffice_Level3"/>
      <w:r>
        <w:rPr>
          <w:rFonts w:hint="eastAsia" w:cs="Times New Roman" w:eastAsiaTheme="minorEastAsia"/>
        </w:rPr>
        <w:t>5.3.6</w:t>
      </w:r>
      <w:r>
        <w:rPr>
          <w:rFonts w:cs="Times New Roman" w:eastAsiaTheme="minorEastAsia"/>
        </w:rPr>
        <w:t>监测结果及评价</w:t>
      </w:r>
      <w:bookmarkEnd w:id="114"/>
      <w:bookmarkEnd w:id="115"/>
    </w:p>
    <w:p>
      <w:pPr>
        <w:pStyle w:val="22"/>
        <w:spacing w:line="480" w:lineRule="exact"/>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噪声监测结果见下表：</w:t>
      </w:r>
    </w:p>
    <w:p>
      <w:pPr>
        <w:widowControl w:val="0"/>
        <w:autoSpaceDE w:val="0"/>
        <w:autoSpaceDN w:val="0"/>
        <w:adjustRightInd w:val="0"/>
        <w:spacing w:before="78" w:beforeLines="25" w:line="500" w:lineRule="exact"/>
        <w:ind w:firstLine="480"/>
        <w:jc w:val="center"/>
        <w:rPr>
          <w:rFonts w:cs="Times New Roman" w:eastAsiaTheme="minorEastAsia"/>
        </w:rPr>
      </w:pPr>
      <w:bookmarkStart w:id="116" w:name="_Toc12264_WPSOffice_Level2"/>
      <w:r>
        <w:rPr>
          <w:rFonts w:cs="Times New Roman" w:eastAsiaTheme="minorEastAsia"/>
        </w:rPr>
        <w:t>表</w:t>
      </w:r>
      <w:r>
        <w:rPr>
          <w:rFonts w:hint="eastAsia" w:cs="Times New Roman" w:eastAsiaTheme="minorEastAsia"/>
        </w:rPr>
        <w:t>5.3</w:t>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5</w:t>
      </w:r>
      <w:r>
        <w:rPr>
          <w:rFonts w:cs="Times New Roman" w:eastAsiaTheme="minorEastAsia"/>
        </w:rPr>
        <w:fldChar w:fldCharType="end"/>
      </w:r>
      <w:r>
        <w:rPr>
          <w:rFonts w:cs="Times New Roman" w:eastAsiaTheme="minorEastAsia"/>
        </w:rPr>
        <w:t xml:space="preserve">  厂界噪声监测结果  ［单位dB（A）］</w:t>
      </w:r>
      <w:bookmarkEnd w:id="116"/>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630"/>
        <w:gridCol w:w="1630"/>
        <w:gridCol w:w="1630"/>
        <w:gridCol w:w="16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检测依据</w:t>
            </w:r>
          </w:p>
        </w:tc>
        <w:tc>
          <w:tcPr>
            <w:tcW w:w="3831" w:type="pct"/>
            <w:gridSpan w:val="4"/>
            <w:tcBorders>
              <w:top w:val="single" w:color="auto" w:sz="4" w:space="0"/>
              <w:left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《工业企业厂界环境噪声排放标准》（GB 12348-2008）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right"/>
              <w:rPr>
                <w:rFonts w:cs="Times New Roman"/>
                <w:bCs/>
                <w:sz w:val="21"/>
                <w:szCs w:val="21"/>
              </w:rPr>
            </w:pPr>
            <w:r>
              <w:rPr>
                <w:rFonts w:cs="Times New Roman"/>
                <w:sz w:val="21"/>
                <w:szCs w:val="21"/>
              </w:rPr>
              <mc:AlternateContent>
                <mc:Choice Requires="wps">
                  <w:drawing>
                    <wp:anchor distT="0" distB="0" distL="114300" distR="114300" simplePos="0" relativeHeight="251659264" behindDoc="0" locked="0" layoutInCell="1" allowOverlap="1">
                      <wp:simplePos x="0" y="0"/>
                      <wp:positionH relativeFrom="column">
                        <wp:posOffset>-78105</wp:posOffset>
                      </wp:positionH>
                      <wp:positionV relativeFrom="paragraph">
                        <wp:posOffset>5080</wp:posOffset>
                      </wp:positionV>
                      <wp:extent cx="1291590" cy="522605"/>
                      <wp:effectExtent l="1905" t="4445" r="1905" b="6350"/>
                      <wp:wrapNone/>
                      <wp:docPr id="49" name="直接连接符 49"/>
                      <wp:cNvGraphicFramePr/>
                      <a:graphic xmlns:a="http://schemas.openxmlformats.org/drawingml/2006/main">
                        <a:graphicData uri="http://schemas.microsoft.com/office/word/2010/wordprocessingShape">
                          <wps:wsp>
                            <wps:cNvCnPr/>
                            <wps:spPr>
                              <a:xfrm>
                                <a:off x="0" y="0"/>
                                <a:ext cx="1291590" cy="522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15pt;margin-top:0.4pt;height:41.15pt;width:101.7pt;z-index:251659264;mso-width-relative:page;mso-height-relative:page;" filled="f" stroked="t" coordsize="21600,21600" o:gfxdata="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mCM1AAAAAcBAAAPAAAAAAAAAAEAIAAAACIAAABkcnMvZG93bnJldi54bWxQSwECFAAU&#10;AAAACACHTuJAmVd0svUBAADaAwAADgAAAAAAAAABACAAAAAjAQAAZHJzL2Uyb0RvYy54bWxQSwUG&#10;AAAAAAYABgBZAQAAigUAAAAA&#10;">
                      <v:fill on="f" focussize="0,0"/>
                      <v:stroke color="#000000 [3200]" joinstyle="round"/>
                      <v:imagedata o:title=""/>
                      <o:lock v:ext="edit" aspectratio="f"/>
                    </v:line>
                  </w:pict>
                </mc:Fallback>
              </mc:AlternateContent>
            </w:r>
            <w:r>
              <w:rPr>
                <w:rFonts w:cs="Times New Roman"/>
                <w:bCs/>
                <w:sz w:val="21"/>
                <w:szCs w:val="21"/>
              </w:rPr>
              <w:t>检测点位</w:t>
            </w:r>
          </w:p>
          <w:p>
            <w:pPr>
              <w:widowControl w:val="0"/>
              <w:adjustRightInd w:val="0"/>
              <w:snapToGrid w:val="0"/>
              <w:spacing w:line="240" w:lineRule="auto"/>
              <w:ind w:firstLine="0" w:firstLineChars="0"/>
              <w:rPr>
                <w:rFonts w:cs="Times New Roman"/>
                <w:bCs/>
                <w:sz w:val="21"/>
                <w:szCs w:val="21"/>
              </w:rPr>
            </w:pPr>
          </w:p>
          <w:p>
            <w:pPr>
              <w:widowControl w:val="0"/>
              <w:adjustRightInd w:val="0"/>
              <w:snapToGrid w:val="0"/>
              <w:spacing w:line="240" w:lineRule="auto"/>
              <w:ind w:firstLine="0" w:firstLineChars="0"/>
              <w:rPr>
                <w:rFonts w:cs="Times New Roman"/>
                <w:bCs/>
                <w:sz w:val="21"/>
                <w:szCs w:val="21"/>
              </w:rPr>
            </w:pPr>
            <w:r>
              <w:rPr>
                <w:rFonts w:cs="Times New Roman"/>
                <w:bCs/>
                <w:sz w:val="21"/>
                <w:szCs w:val="21"/>
              </w:rPr>
              <w:t>检测时间</w:t>
            </w:r>
          </w:p>
        </w:tc>
        <w:tc>
          <w:tcPr>
            <w:tcW w:w="3831" w:type="pct"/>
            <w:gridSpan w:val="4"/>
            <w:tcBorders>
              <w:top w:val="single" w:color="auto" w:sz="4" w:space="0"/>
              <w:left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检测结果Leq</w:t>
            </w:r>
            <w:r>
              <w:rPr>
                <w:rFonts w:cs="Times New Roman"/>
                <w:bCs/>
                <w:kern w:val="0"/>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vMerge w:val="continue"/>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p>
        </w:tc>
        <w:tc>
          <w:tcPr>
            <w:tcW w:w="956"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highlight w:val="yellow"/>
              </w:rPr>
            </w:pPr>
            <w:r>
              <w:rPr>
                <w:rFonts w:cs="Times New Roman"/>
                <w:bCs/>
                <w:sz w:val="21"/>
                <w:szCs w:val="21"/>
              </w:rPr>
              <w:t>1#</w:t>
            </w:r>
            <w:r>
              <w:rPr>
                <w:rFonts w:cs="Times New Roman"/>
                <w:bCs/>
                <w:color w:val="000000"/>
                <w:sz w:val="21"/>
                <w:szCs w:val="21"/>
              </w:rPr>
              <w:t>北厂界</w:t>
            </w:r>
          </w:p>
        </w:tc>
        <w:tc>
          <w:tcPr>
            <w:tcW w:w="956"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highlight w:val="yellow"/>
              </w:rPr>
            </w:pPr>
            <w:r>
              <w:rPr>
                <w:rFonts w:cs="Times New Roman"/>
                <w:bCs/>
                <w:sz w:val="21"/>
                <w:szCs w:val="21"/>
              </w:rPr>
              <w:t>2#</w:t>
            </w:r>
            <w:r>
              <w:rPr>
                <w:rFonts w:cs="Times New Roman"/>
                <w:bCs/>
                <w:color w:val="000000"/>
                <w:sz w:val="21"/>
                <w:szCs w:val="21"/>
              </w:rPr>
              <w:t>西厂界</w:t>
            </w:r>
          </w:p>
        </w:tc>
        <w:tc>
          <w:tcPr>
            <w:tcW w:w="956"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3#</w:t>
            </w:r>
            <w:r>
              <w:rPr>
                <w:rFonts w:cs="Times New Roman"/>
                <w:bCs/>
                <w:color w:val="000000"/>
                <w:sz w:val="21"/>
                <w:szCs w:val="21"/>
              </w:rPr>
              <w:t>南厂界</w:t>
            </w:r>
          </w:p>
        </w:tc>
        <w:tc>
          <w:tcPr>
            <w:tcW w:w="962"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4#</w:t>
            </w:r>
            <w:r>
              <w:rPr>
                <w:rFonts w:cs="Times New Roman"/>
                <w:bCs/>
                <w:color w:val="000000"/>
                <w:sz w:val="21"/>
                <w:szCs w:val="21"/>
              </w:rPr>
              <w:t>东厂界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tcBorders>
              <w:top w:val="single" w:color="auto" w:sz="4" w:space="0"/>
              <w:left w:val="single" w:color="auto" w:sz="4" w:space="0"/>
              <w:bottom w:val="single" w:color="auto" w:sz="4" w:space="0"/>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lang w:eastAsia="zh-CN"/>
              </w:rPr>
              <w:t>2022.12.06</w:t>
            </w:r>
            <w:r>
              <w:rPr>
                <w:rFonts w:cs="Times New Roman"/>
                <w:sz w:val="21"/>
                <w:szCs w:val="21"/>
              </w:rPr>
              <w:t>（昼间）</w:t>
            </w:r>
          </w:p>
        </w:tc>
        <w:tc>
          <w:tcPr>
            <w:tcW w:w="956" w:type="pct"/>
            <w:tcBorders>
              <w:top w:val="single" w:color="auto" w:sz="4" w:space="0"/>
              <w:bottom w:val="single" w:color="auto" w:sz="4" w:space="0"/>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57.4</w:t>
            </w:r>
          </w:p>
        </w:tc>
        <w:tc>
          <w:tcPr>
            <w:tcW w:w="956" w:type="pct"/>
            <w:tcBorders>
              <w:top w:val="single" w:color="auto" w:sz="4" w:space="0"/>
              <w:bottom w:val="single" w:color="auto" w:sz="4" w:space="0"/>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54.9</w:t>
            </w:r>
          </w:p>
        </w:tc>
        <w:tc>
          <w:tcPr>
            <w:tcW w:w="956" w:type="pct"/>
            <w:tcBorders>
              <w:top w:val="single" w:color="auto" w:sz="4" w:space="0"/>
              <w:bottom w:val="single" w:color="auto" w:sz="4" w:space="0"/>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52.2</w:t>
            </w:r>
          </w:p>
        </w:tc>
        <w:tc>
          <w:tcPr>
            <w:tcW w:w="962" w:type="pct"/>
            <w:tcBorders>
              <w:top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tcBorders>
              <w:top w:val="single" w:color="auto" w:sz="4" w:space="0"/>
              <w:left w:val="single" w:color="auto" w:sz="4" w:space="0"/>
              <w:bottom w:val="single" w:color="auto" w:sz="4" w:space="0"/>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lang w:eastAsia="zh-CN"/>
              </w:rPr>
              <w:t>2022.12.07</w:t>
            </w:r>
            <w:r>
              <w:rPr>
                <w:rFonts w:cs="Times New Roman"/>
                <w:sz w:val="21"/>
                <w:szCs w:val="21"/>
              </w:rPr>
              <w:t>（昼间）</w:t>
            </w:r>
          </w:p>
        </w:tc>
        <w:tc>
          <w:tcPr>
            <w:tcW w:w="956" w:type="pct"/>
            <w:tcBorders>
              <w:top w:val="single" w:color="auto" w:sz="4" w:space="0"/>
              <w:bottom w:val="single" w:color="auto" w:sz="4" w:space="0"/>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58.4</w:t>
            </w:r>
          </w:p>
        </w:tc>
        <w:tc>
          <w:tcPr>
            <w:tcW w:w="956" w:type="pct"/>
            <w:tcBorders>
              <w:top w:val="single" w:color="auto" w:sz="4" w:space="0"/>
              <w:bottom w:val="single" w:color="auto" w:sz="4" w:space="0"/>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55.6</w:t>
            </w:r>
          </w:p>
        </w:tc>
        <w:tc>
          <w:tcPr>
            <w:tcW w:w="956" w:type="pct"/>
            <w:tcBorders>
              <w:top w:val="single" w:color="auto" w:sz="4" w:space="0"/>
              <w:bottom w:val="single" w:color="auto" w:sz="4" w:space="0"/>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52.0</w:t>
            </w:r>
          </w:p>
        </w:tc>
        <w:tc>
          <w:tcPr>
            <w:tcW w:w="962" w:type="pct"/>
            <w:tcBorders>
              <w:top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备注</w:t>
            </w:r>
          </w:p>
        </w:tc>
        <w:tc>
          <w:tcPr>
            <w:tcW w:w="3831" w:type="pct"/>
            <w:gridSpan w:val="4"/>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both"/>
              <w:rPr>
                <w:rFonts w:cs="Times New Roman"/>
                <w:color w:val="000000"/>
                <w:sz w:val="21"/>
                <w:szCs w:val="21"/>
              </w:rPr>
            </w:pPr>
            <w:r>
              <w:rPr>
                <w:rFonts w:cs="Times New Roman"/>
                <w:sz w:val="21"/>
                <w:szCs w:val="21"/>
              </w:rPr>
              <w:t>检测点位见附图。</w:t>
            </w:r>
          </w:p>
        </w:tc>
      </w:tr>
    </w:tbl>
    <w:p>
      <w:pPr>
        <w:widowControl w:val="0"/>
        <w:autoSpaceDE w:val="0"/>
        <w:autoSpaceDN w:val="0"/>
        <w:adjustRightInd w:val="0"/>
        <w:spacing w:before="78" w:beforeLines="25" w:line="500" w:lineRule="exact"/>
        <w:ind w:firstLine="480"/>
        <w:jc w:val="both"/>
        <w:rPr>
          <w:rFonts w:cs="Times New Roman" w:eastAsiaTheme="minorEastAsia"/>
        </w:rPr>
      </w:pPr>
      <w:r>
        <w:rPr>
          <w:rFonts w:hint="default" w:ascii="Times New Roman" w:hAnsi="Times New Roman" w:cs="Times New Roman" w:eastAsiaTheme="minorEastAsia"/>
        </w:rPr>
        <w:t>验收监测期间，</w:t>
      </w:r>
      <w:r>
        <w:rPr>
          <w:rFonts w:hint="default" w:ascii="Times New Roman" w:hAnsi="Times New Roman" w:cs="Times New Roman" w:eastAsiaTheme="minorEastAsia"/>
          <w:lang w:eastAsia="zh-CN"/>
        </w:rPr>
        <w:t>两天测得的</w:t>
      </w:r>
      <w:r>
        <w:rPr>
          <w:rFonts w:hint="default" w:ascii="Times New Roman" w:hAnsi="Times New Roman" w:cs="Times New Roman" w:eastAsiaTheme="minorEastAsia"/>
        </w:rPr>
        <w:t>厂界昼</w:t>
      </w:r>
      <w:r>
        <w:rPr>
          <w:rFonts w:hint="default" w:ascii="Times New Roman" w:hAnsi="Times New Roman" w:cs="Times New Roman" w:eastAsiaTheme="minorEastAsia"/>
          <w:lang w:eastAsia="zh-CN"/>
        </w:rPr>
        <w:t>间最大值为</w:t>
      </w:r>
      <w:r>
        <w:rPr>
          <w:rFonts w:hint="eastAsia" w:cs="Times New Roman" w:eastAsiaTheme="minorEastAsia"/>
          <w:lang w:val="en-US" w:eastAsia="zh-CN"/>
        </w:rPr>
        <w:t>58.4</w:t>
      </w:r>
      <w:r>
        <w:rPr>
          <w:rFonts w:hint="default" w:ascii="Times New Roman" w:hAnsi="Times New Roman" w:cs="Times New Roman" w:eastAsiaTheme="minorEastAsia"/>
        </w:rPr>
        <w:t>dB（A</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rPr>
        <w:t>满足《工业企业厂界环境噪声排放标准》（GB12348-2008）中2类标准限值</w:t>
      </w:r>
      <w:r>
        <w:rPr>
          <w:rFonts w:hint="default" w:ascii="Times New Roman" w:hAnsi="Times New Roman" w:cs="Times New Roman" w:eastAsiaTheme="minorEastAsia"/>
          <w:lang w:eastAsia="zh-CN"/>
        </w:rPr>
        <w:t>：昼间</w:t>
      </w:r>
      <w:r>
        <w:rPr>
          <w:rFonts w:hint="default" w:ascii="Times New Roman" w:hAnsi="Times New Roman" w:cs="Times New Roman" w:eastAsiaTheme="minorEastAsia"/>
          <w:lang w:val="en-US" w:eastAsia="zh-CN"/>
        </w:rPr>
        <w:t>60</w:t>
      </w:r>
      <w:r>
        <w:rPr>
          <w:rFonts w:hint="default" w:ascii="Times New Roman" w:hAnsi="Times New Roman" w:cs="Times New Roman" w:eastAsiaTheme="minorEastAsia"/>
        </w:rPr>
        <w:t>dB（A</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rPr>
        <w:t>要求。</w:t>
      </w:r>
    </w:p>
    <w:p>
      <w:pPr>
        <w:pStyle w:val="8"/>
        <w:numPr>
          <w:ilvl w:val="1"/>
          <w:numId w:val="0"/>
        </w:numPr>
        <w:bidi w:val="0"/>
        <w:ind w:leftChars="0"/>
      </w:pPr>
      <w:r>
        <w:rPr>
          <w:rFonts w:hint="eastAsia"/>
          <w:lang w:val="en-US" w:eastAsia="zh-CN"/>
        </w:rPr>
        <w:t>5.4</w:t>
      </w:r>
      <w:r>
        <w:rPr>
          <w:rFonts w:hint="eastAsia"/>
        </w:rPr>
        <w:t>污染物排放总量核算</w:t>
      </w:r>
    </w:p>
    <w:p>
      <w:pPr>
        <w:widowControl w:val="0"/>
        <w:autoSpaceDE w:val="0"/>
        <w:autoSpaceDN w:val="0"/>
        <w:adjustRightInd w:val="0"/>
        <w:spacing w:before="78" w:beforeLines="25" w:line="500" w:lineRule="exact"/>
        <w:ind w:firstLine="480"/>
        <w:jc w:val="both"/>
        <w:rPr>
          <w:rFonts w:hint="default" w:ascii="Times New Roman" w:hAnsi="Times New Roman" w:cs="Times New Roman" w:eastAsiaTheme="minorEastAsia"/>
        </w:rPr>
      </w:pPr>
      <w:r>
        <w:rPr>
          <w:rFonts w:hint="eastAsia" w:ascii="Times New Roman" w:hAnsi="Times New Roman" w:cs="Times New Roman" w:eastAsiaTheme="minorEastAsia"/>
        </w:rPr>
        <w:t>本项目废气处置依托现有RTO装置</w:t>
      </w:r>
      <w:r>
        <w:rPr>
          <w:rFonts w:hint="eastAsia" w:ascii="Times New Roman" w:hAnsi="Times New Roman" w:cs="Times New Roman" w:eastAsiaTheme="minorEastAsia"/>
          <w:lang w:eastAsia="zh-CN"/>
        </w:rPr>
        <w:t>，</w:t>
      </w:r>
      <w:r>
        <w:rPr>
          <w:rFonts w:hint="eastAsia" w:ascii="Times New Roman" w:hAnsi="Times New Roman" w:cs="Times New Roman" w:eastAsiaTheme="minorEastAsia"/>
        </w:rPr>
        <w:t>RTO装置废气来源</w:t>
      </w:r>
      <w:r>
        <w:rPr>
          <w:rFonts w:hint="eastAsia" w:ascii="Times New Roman" w:hAnsi="Times New Roman" w:cs="Times New Roman" w:eastAsiaTheme="minorEastAsia"/>
          <w:lang w:eastAsia="zh-CN"/>
        </w:rPr>
        <w:t>不单一，主要来自于</w:t>
      </w:r>
      <w:r>
        <w:rPr>
          <w:rFonts w:hint="eastAsia" w:ascii="Times New Roman" w:hAnsi="Times New Roman" w:cs="Times New Roman" w:eastAsiaTheme="minorEastAsia"/>
        </w:rPr>
        <w:t>氯代车间特戊酸生产装置废气、特戊酰氯、氯代特戊酰氯生产装置及罐区废气和环氧车间工艺废气及罐区收集废气</w:t>
      </w:r>
      <w:r>
        <w:rPr>
          <w:rFonts w:hint="eastAsia" w:ascii="Times New Roman" w:hAnsi="Times New Roman" w:cs="Times New Roman" w:eastAsiaTheme="minorEastAsia"/>
          <w:lang w:eastAsia="zh-CN"/>
        </w:rPr>
        <w:t>，故本项目无法单独核算总量。</w:t>
      </w:r>
    </w:p>
    <w:p>
      <w:pPr>
        <w:pStyle w:val="37"/>
        <w:rPr>
          <w:b/>
          <w:bCs/>
        </w:rPr>
      </w:pPr>
    </w:p>
    <w:p>
      <w:pPr>
        <w:pStyle w:val="7"/>
        <w:widowControl w:val="0"/>
        <w:numPr>
          <w:ilvl w:val="0"/>
          <w:numId w:val="0"/>
        </w:numPr>
        <w:jc w:val="center"/>
        <w:rPr>
          <w:rFonts w:cs="Times New Roman" w:eastAsiaTheme="minorEastAsia"/>
          <w:szCs w:val="32"/>
        </w:rPr>
      </w:pPr>
      <w:r>
        <w:rPr>
          <w:rFonts w:cs="Times New Roman" w:eastAsiaTheme="minorEastAsia"/>
          <w:szCs w:val="32"/>
        </w:rPr>
        <w:br w:type="page"/>
      </w:r>
    </w:p>
    <w:p>
      <w:pPr>
        <w:pStyle w:val="7"/>
        <w:widowControl w:val="0"/>
        <w:jc w:val="center"/>
        <w:rPr>
          <w:rFonts w:cs="Times New Roman" w:eastAsiaTheme="minorEastAsia"/>
          <w:szCs w:val="32"/>
        </w:rPr>
      </w:pPr>
      <w:bookmarkStart w:id="117" w:name="_Toc32338_WPSOffice_Level1"/>
      <w:bookmarkStart w:id="118" w:name="_Toc25670"/>
      <w:bookmarkStart w:id="119" w:name="_Toc10578"/>
      <w:r>
        <w:rPr>
          <w:rFonts w:cs="Times New Roman" w:eastAsiaTheme="minorEastAsia"/>
          <w:szCs w:val="32"/>
        </w:rPr>
        <w:t xml:space="preserve"> </w:t>
      </w:r>
      <w:bookmarkStart w:id="120" w:name="_Toc80224143"/>
      <w:r>
        <w:rPr>
          <w:rFonts w:cs="Times New Roman" w:eastAsiaTheme="minorEastAsia"/>
          <w:szCs w:val="32"/>
        </w:rPr>
        <w:t>环境管理调查</w:t>
      </w:r>
      <w:bookmarkEnd w:id="117"/>
      <w:bookmarkEnd w:id="118"/>
      <w:bookmarkEnd w:id="119"/>
      <w:bookmarkEnd w:id="120"/>
    </w:p>
    <w:p>
      <w:pPr>
        <w:pStyle w:val="8"/>
        <w:widowControl w:val="0"/>
        <w:rPr>
          <w:rFonts w:cs="Times New Roman" w:eastAsiaTheme="minorEastAsia"/>
        </w:rPr>
      </w:pPr>
      <w:bookmarkStart w:id="121" w:name="_Toc5410"/>
      <w:bookmarkStart w:id="122" w:name="_Toc14954_WPSOffice_Level2"/>
      <w:r>
        <w:rPr>
          <w:rFonts w:cs="Times New Roman" w:eastAsiaTheme="minorEastAsia"/>
        </w:rPr>
        <w:t xml:space="preserve"> 环保设施的管理、运行及维护检查</w:t>
      </w:r>
      <w:bookmarkEnd w:id="121"/>
      <w:bookmarkEnd w:id="122"/>
    </w:p>
    <w:p>
      <w:pPr>
        <w:widowControl w:val="0"/>
        <w:ind w:firstLine="480"/>
        <w:rPr>
          <w:rFonts w:cs="Times New Roman" w:eastAsiaTheme="minorEastAsia"/>
        </w:rPr>
      </w:pPr>
      <w:r>
        <w:rPr>
          <w:rFonts w:cs="Times New Roman" w:eastAsiaTheme="minorEastAsia"/>
        </w:rPr>
        <w:t>公司设有环保设施管理、检查及维护人员，定期对各环保设施进行检查、维护，现场核查在用的各类环保设施均处于正常运行状态。</w:t>
      </w:r>
    </w:p>
    <w:p>
      <w:pPr>
        <w:pStyle w:val="8"/>
        <w:widowControl w:val="0"/>
        <w:rPr>
          <w:rFonts w:cs="Times New Roman" w:eastAsiaTheme="minorEastAsia"/>
        </w:rPr>
      </w:pPr>
      <w:bookmarkStart w:id="123" w:name="_Toc9741"/>
      <w:bookmarkStart w:id="124" w:name="_Toc9456_WPSOffice_Level2"/>
      <w:r>
        <w:rPr>
          <w:rFonts w:cs="Times New Roman" w:eastAsiaTheme="minorEastAsia"/>
        </w:rPr>
        <w:t xml:space="preserve"> 环保投资核查</w:t>
      </w:r>
      <w:bookmarkEnd w:id="123"/>
      <w:bookmarkEnd w:id="124"/>
    </w:p>
    <w:p>
      <w:pPr>
        <w:widowControl w:val="0"/>
        <w:spacing w:line="500" w:lineRule="exact"/>
        <w:ind w:firstLine="480"/>
        <w:rPr>
          <w:rFonts w:cs="Times New Roman" w:eastAsiaTheme="minorEastAsia"/>
        </w:rPr>
      </w:pPr>
      <w:r>
        <w:rPr>
          <w:rFonts w:cs="Times New Roman" w:eastAsiaTheme="minorEastAsia"/>
          <w:color w:val="auto"/>
        </w:rPr>
        <w:t>项目概算</w:t>
      </w:r>
      <w:r>
        <w:rPr>
          <w:rFonts w:hint="eastAsia" w:cs="Times New Roman" w:eastAsiaTheme="minorEastAsia"/>
          <w:color w:val="auto"/>
        </w:rPr>
        <w:t>环保投资</w:t>
      </w:r>
      <w:r>
        <w:rPr>
          <w:rFonts w:hint="eastAsia" w:cs="Times New Roman" w:eastAsiaTheme="minorEastAsia"/>
          <w:color w:val="auto"/>
          <w:lang w:val="en-US" w:eastAsia="zh-CN"/>
        </w:rPr>
        <w:t>5</w:t>
      </w:r>
      <w:r>
        <w:rPr>
          <w:rFonts w:hint="eastAsia" w:cs="Times New Roman" w:eastAsiaTheme="minorEastAsia"/>
          <w:color w:val="auto"/>
          <w:lang w:eastAsia="zh-CN"/>
        </w:rPr>
        <w:t>万元</w:t>
      </w:r>
      <w:r>
        <w:rPr>
          <w:rFonts w:cs="Times New Roman" w:eastAsiaTheme="minorEastAsia"/>
          <w:color w:val="auto"/>
        </w:rPr>
        <w:t>。项目实际环保投资</w:t>
      </w:r>
      <w:r>
        <w:rPr>
          <w:rFonts w:cs="Times New Roman" w:eastAsiaTheme="minorEastAsia"/>
          <w:color w:val="000000" w:themeColor="text1"/>
          <w14:textFill>
            <w14:solidFill>
              <w14:schemeClr w14:val="tx1"/>
            </w14:solidFill>
          </w14:textFill>
        </w:rPr>
        <w:t>情况见下</w:t>
      </w:r>
      <w:r>
        <w:rPr>
          <w:rFonts w:cs="Times New Roman" w:eastAsiaTheme="minorEastAsia"/>
        </w:rPr>
        <w:t>表：</w:t>
      </w:r>
    </w:p>
    <w:p>
      <w:pPr>
        <w:widowControl w:val="0"/>
        <w:spacing w:line="480" w:lineRule="exact"/>
        <w:ind w:firstLine="480"/>
        <w:jc w:val="center"/>
        <w:rPr>
          <w:rFonts w:cs="Times New Roman" w:eastAsiaTheme="minorEastAsia"/>
        </w:rPr>
      </w:pPr>
      <w:bookmarkStart w:id="125" w:name="_Toc2706_WPSOffice_Level2"/>
      <w:r>
        <w:rPr>
          <w:rFonts w:cs="Times New Roman" w:eastAsiaTheme="minorEastAsia"/>
        </w:rPr>
        <w:t xml:space="preserve">表 </w:t>
      </w:r>
      <w:r>
        <w:rPr>
          <w:rFonts w:cs="Times New Roman" w:eastAsiaTheme="minorEastAsia"/>
        </w:rPr>
        <w:fldChar w:fldCharType="begin"/>
      </w:r>
      <w:r>
        <w:rPr>
          <w:rFonts w:cs="Times New Roman" w:eastAsiaTheme="minorEastAsia"/>
        </w:rPr>
        <w:instrText xml:space="preserve"> STYLEREF 2 \s </w:instrText>
      </w:r>
      <w:r>
        <w:rPr>
          <w:rFonts w:cs="Times New Roman" w:eastAsiaTheme="minorEastAsia"/>
        </w:rPr>
        <w:fldChar w:fldCharType="separate"/>
      </w:r>
      <w:r>
        <w:rPr>
          <w:rFonts w:cs="Times New Roman" w:eastAsiaTheme="minorEastAsia"/>
        </w:rPr>
        <w:t>6.2</w:t>
      </w:r>
      <w:r>
        <w:rPr>
          <w:rFonts w:cs="Times New Roman" w:eastAsiaTheme="minorEastAsia"/>
        </w:rPr>
        <w:fldChar w:fldCharType="end"/>
      </w:r>
      <w:r>
        <w:rPr>
          <w:rFonts w:cs="Times New Roman" w:eastAsiaTheme="minorEastAsia"/>
        </w:rPr>
        <w:t>–</w:t>
      </w:r>
      <w:r>
        <w:rPr>
          <w:rFonts w:cs="Times New Roman" w:eastAsiaTheme="minorEastAsia"/>
        </w:rPr>
        <w:fldChar w:fldCharType="begin"/>
      </w:r>
      <w:r>
        <w:rPr>
          <w:rFonts w:cs="Times New Roman" w:eastAsiaTheme="minorEastAsia"/>
        </w:rPr>
        <w:instrText xml:space="preserve"> SEQ 表 \* ARABIC \s 2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t xml:space="preserve">  项目实际环保投资情况</w:t>
      </w:r>
      <w:bookmarkEnd w:id="125"/>
    </w:p>
    <w:tbl>
      <w:tblPr>
        <w:tblStyle w:val="38"/>
        <w:tblW w:w="5000"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630"/>
        <w:gridCol w:w="4381"/>
        <w:gridCol w:w="187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op w:val="single" w:color="auto" w:sz="4" w:space="0"/>
              <w:left w:val="single" w:color="auto" w:sz="4" w:space="0"/>
              <w:bottom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序号</w:t>
            </w:r>
          </w:p>
        </w:tc>
        <w:tc>
          <w:tcPr>
            <w:tcW w:w="956" w:type="pct"/>
            <w:tcBorders>
              <w:top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环保项目</w:t>
            </w:r>
          </w:p>
        </w:tc>
        <w:tc>
          <w:tcPr>
            <w:tcW w:w="2569" w:type="pct"/>
            <w:tcBorders>
              <w:top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环保设备</w:t>
            </w:r>
          </w:p>
        </w:tc>
        <w:tc>
          <w:tcPr>
            <w:tcW w:w="1101" w:type="pct"/>
            <w:tcBorders>
              <w:top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环保投资（万元）</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op w:val="single" w:color="auto" w:sz="4" w:space="0"/>
              <w:left w:val="single" w:color="auto" w:sz="4" w:space="0"/>
              <w:bottom w:val="single" w:color="auto" w:sz="4"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w:t>
            </w:r>
          </w:p>
        </w:tc>
        <w:tc>
          <w:tcPr>
            <w:tcW w:w="956" w:type="pct"/>
            <w:tcBorders>
              <w:top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废气处理控制</w:t>
            </w:r>
          </w:p>
        </w:tc>
        <w:tc>
          <w:tcPr>
            <w:tcW w:w="2569" w:type="pct"/>
            <w:tcBorders>
              <w:top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eastAsia="zh-CN"/>
              </w:rPr>
              <w:t>RTO装置、风机、管道等</w:t>
            </w:r>
          </w:p>
        </w:tc>
        <w:tc>
          <w:tcPr>
            <w:tcW w:w="1101" w:type="pct"/>
            <w:tcBorders>
              <w:top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 w:type="pct"/>
            <w:tcBorders>
              <w:top w:val="single" w:color="auto" w:sz="4" w:space="0"/>
              <w:left w:val="single" w:color="auto" w:sz="4" w:space="0"/>
              <w:bottom w:val="single" w:color="auto" w:sz="4" w:space="0"/>
            </w:tcBorders>
            <w:shd w:val="clear" w:color="auto" w:fill="auto"/>
            <w:vAlign w:val="center"/>
          </w:tcPr>
          <w:p>
            <w:pPr>
              <w:spacing w:line="240" w:lineRule="auto"/>
              <w:ind w:firstLine="0" w:firstLineChars="0"/>
              <w:jc w:val="center"/>
              <w:rPr>
                <w:rFonts w:hint="eastAsia" w:eastAsia="宋体" w:cs="Times New Roman"/>
                <w:sz w:val="21"/>
                <w:szCs w:val="21"/>
                <w:lang w:eastAsia="zh-CN"/>
              </w:rPr>
            </w:pPr>
            <w:r>
              <w:rPr>
                <w:rFonts w:hint="eastAsia" w:cs="Times New Roman"/>
                <w:sz w:val="21"/>
                <w:szCs w:val="21"/>
                <w:lang w:val="en-US" w:eastAsia="zh-CN"/>
              </w:rPr>
              <w:t>2</w:t>
            </w:r>
          </w:p>
        </w:tc>
        <w:tc>
          <w:tcPr>
            <w:tcW w:w="956" w:type="pct"/>
            <w:tcBorders>
              <w:top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噪声处理控制</w:t>
            </w:r>
          </w:p>
        </w:tc>
        <w:tc>
          <w:tcPr>
            <w:tcW w:w="2569" w:type="pct"/>
            <w:tcBorders>
              <w:top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center"/>
              <w:rPr>
                <w:rFonts w:cs="Times New Roman"/>
                <w:sz w:val="21"/>
                <w:szCs w:val="21"/>
              </w:rPr>
            </w:pPr>
            <w:r>
              <w:rPr>
                <w:rFonts w:hint="eastAsia" w:cs="Times New Roman"/>
                <w:sz w:val="21"/>
                <w:szCs w:val="21"/>
              </w:rPr>
              <w:t>采用低噪声设备，并安装减振和隔声措施</w:t>
            </w:r>
            <w:r>
              <w:rPr>
                <w:rFonts w:cs="Times New Roman"/>
                <w:sz w:val="21"/>
                <w:szCs w:val="21"/>
              </w:rPr>
              <w:t>。</w:t>
            </w:r>
          </w:p>
        </w:tc>
        <w:tc>
          <w:tcPr>
            <w:tcW w:w="1101" w:type="pct"/>
            <w:tcBorders>
              <w:top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合计</w:t>
            </w:r>
          </w:p>
        </w:tc>
        <w:tc>
          <w:tcPr>
            <w:tcW w:w="11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5</w:t>
            </w:r>
          </w:p>
        </w:tc>
      </w:tr>
    </w:tbl>
    <w:p>
      <w:pPr>
        <w:pStyle w:val="8"/>
        <w:widowControl w:val="0"/>
        <w:rPr>
          <w:rFonts w:cs="Times New Roman" w:eastAsiaTheme="minorEastAsia"/>
        </w:rPr>
      </w:pPr>
      <w:bookmarkStart w:id="126" w:name="_Toc14765"/>
      <w:bookmarkStart w:id="127" w:name="_Toc30912_WPSOffice_Level2"/>
      <w:r>
        <w:rPr>
          <w:rFonts w:cs="Times New Roman" w:eastAsiaTheme="minorEastAsia"/>
        </w:rPr>
        <w:t xml:space="preserve"> 固废核查</w:t>
      </w:r>
      <w:bookmarkEnd w:id="126"/>
      <w:bookmarkEnd w:id="127"/>
    </w:p>
    <w:p>
      <w:pPr>
        <w:ind w:firstLine="480"/>
        <w:rPr>
          <w:rFonts w:cs="Times New Roman"/>
          <w:szCs w:val="20"/>
        </w:rPr>
      </w:pPr>
      <w:r>
        <w:rPr>
          <w:rFonts w:cs="Times New Roman"/>
          <w:szCs w:val="20"/>
        </w:rPr>
        <w:t>本项目</w:t>
      </w:r>
      <w:r>
        <w:rPr>
          <w:rFonts w:hint="eastAsia" w:cs="Times New Roman"/>
          <w:szCs w:val="20"/>
        </w:rPr>
        <w:t>无</w:t>
      </w:r>
      <w:r>
        <w:rPr>
          <w:rFonts w:hint="eastAsia" w:cs="Times New Roman"/>
          <w:szCs w:val="20"/>
          <w:lang w:eastAsia="zh-CN"/>
        </w:rPr>
        <w:t>固废产生</w:t>
      </w:r>
      <w:r>
        <w:rPr>
          <w:rFonts w:cs="Times New Roman"/>
          <w:szCs w:val="20"/>
        </w:rPr>
        <w:t>。</w:t>
      </w:r>
    </w:p>
    <w:p>
      <w:pPr>
        <w:tabs>
          <w:tab w:val="center" w:pos="4153"/>
        </w:tabs>
        <w:ind w:firstLine="480"/>
        <w:sectPr>
          <w:pgSz w:w="11906" w:h="16838"/>
          <w:pgMar w:top="1440" w:right="1800" w:bottom="1440" w:left="1800" w:header="851" w:footer="992" w:gutter="0"/>
          <w:cols w:space="425" w:num="1"/>
          <w:docGrid w:type="lines" w:linePitch="312" w:charSpace="0"/>
        </w:sectPr>
      </w:pPr>
      <w:r>
        <w:rPr>
          <w:rFonts w:hint="eastAsia"/>
        </w:rPr>
        <w:tab/>
      </w:r>
    </w:p>
    <w:p>
      <w:pPr>
        <w:pStyle w:val="7"/>
        <w:widowControl w:val="0"/>
        <w:jc w:val="center"/>
        <w:rPr>
          <w:rFonts w:cs="Times New Roman" w:eastAsiaTheme="minorEastAsia"/>
          <w:szCs w:val="32"/>
        </w:rPr>
      </w:pPr>
      <w:r>
        <w:rPr>
          <w:rFonts w:cs="Times New Roman" w:eastAsiaTheme="minorEastAsia"/>
          <w:szCs w:val="32"/>
        </w:rPr>
        <w:t xml:space="preserve">  环评批复落实情况</w:t>
      </w:r>
    </w:p>
    <w:p>
      <w:pPr>
        <w:pStyle w:val="8"/>
        <w:rPr>
          <w:rFonts w:cs="Times New Roman" w:eastAsiaTheme="minorEastAsia"/>
        </w:rPr>
      </w:pPr>
      <w:r>
        <w:rPr>
          <w:rFonts w:cs="Times New Roman" w:eastAsiaTheme="minorEastAsia"/>
        </w:rPr>
        <w:t>环评批复落实情况</w:t>
      </w:r>
    </w:p>
    <w:p>
      <w:pPr>
        <w:widowControl w:val="0"/>
        <w:ind w:firstLine="480"/>
        <w:rPr>
          <w:rFonts w:cs="Times New Roman" w:eastAsiaTheme="minorEastAsia"/>
        </w:rPr>
      </w:pPr>
      <w:r>
        <w:rPr>
          <w:rFonts w:cs="Times New Roman" w:eastAsiaTheme="minorEastAsia"/>
        </w:rPr>
        <w:t>环评批复落实情况见下表：</w:t>
      </w:r>
    </w:p>
    <w:p>
      <w:pPr>
        <w:pStyle w:val="15"/>
        <w:widowControl w:val="0"/>
        <w:ind w:firstLine="482"/>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 xml:space="preserve">表 </w:t>
      </w:r>
      <w:r>
        <w:rPr>
          <w:rFonts w:ascii="Times New Roman" w:hAnsi="Times New Roman" w:cs="Times New Roman" w:eastAsiaTheme="minorEastAsia"/>
          <w:b/>
          <w:sz w:val="24"/>
          <w:szCs w:val="24"/>
        </w:rPr>
        <w:fldChar w:fldCharType="begin"/>
      </w:r>
      <w:r>
        <w:rPr>
          <w:rFonts w:ascii="Times New Roman" w:hAnsi="Times New Roman" w:cs="Times New Roman" w:eastAsiaTheme="minorEastAsia"/>
          <w:b/>
          <w:sz w:val="24"/>
          <w:szCs w:val="24"/>
        </w:rPr>
        <w:instrText xml:space="preserve"> STYLEREF 2 \s </w:instrText>
      </w:r>
      <w:r>
        <w:rPr>
          <w:rFonts w:ascii="Times New Roman" w:hAnsi="Times New Roman" w:cs="Times New Roman" w:eastAsiaTheme="minorEastAsia"/>
          <w:b/>
          <w:sz w:val="24"/>
          <w:szCs w:val="24"/>
        </w:rPr>
        <w:fldChar w:fldCharType="separate"/>
      </w:r>
      <w:r>
        <w:rPr>
          <w:rFonts w:ascii="Times New Roman" w:hAnsi="Times New Roman" w:cs="Times New Roman" w:eastAsiaTheme="minorEastAsia"/>
          <w:b/>
          <w:sz w:val="24"/>
          <w:szCs w:val="24"/>
        </w:rPr>
        <w:t>7.1</w:t>
      </w:r>
      <w:r>
        <w:rPr>
          <w:rFonts w:ascii="Times New Roman" w:hAnsi="Times New Roman" w:cs="Times New Roman" w:eastAsiaTheme="minorEastAsia"/>
          <w:b/>
          <w:sz w:val="24"/>
          <w:szCs w:val="24"/>
        </w:rPr>
        <w:fldChar w:fldCharType="end"/>
      </w:r>
      <w:r>
        <w:rPr>
          <w:rFonts w:ascii="Times New Roman" w:hAnsi="Times New Roman" w:cs="Times New Roman" w:eastAsiaTheme="minorEastAsia"/>
          <w:b/>
          <w:sz w:val="24"/>
          <w:szCs w:val="24"/>
        </w:rPr>
        <w:t>–</w:t>
      </w:r>
      <w:r>
        <w:rPr>
          <w:rFonts w:ascii="Times New Roman" w:hAnsi="Times New Roman" w:cs="Times New Roman" w:eastAsiaTheme="minorEastAsia"/>
          <w:b/>
          <w:sz w:val="24"/>
          <w:szCs w:val="24"/>
        </w:rPr>
        <w:fldChar w:fldCharType="begin"/>
      </w:r>
      <w:r>
        <w:rPr>
          <w:rFonts w:ascii="Times New Roman" w:hAnsi="Times New Roman" w:cs="Times New Roman" w:eastAsiaTheme="minorEastAsia"/>
          <w:b/>
          <w:sz w:val="24"/>
          <w:szCs w:val="24"/>
        </w:rPr>
        <w:instrText xml:space="preserve"> SEQ 表 \* ARABIC \s 2 </w:instrText>
      </w:r>
      <w:r>
        <w:rPr>
          <w:rFonts w:ascii="Times New Roman" w:hAnsi="Times New Roman" w:cs="Times New Roman" w:eastAsiaTheme="minorEastAsia"/>
          <w:b/>
          <w:sz w:val="24"/>
          <w:szCs w:val="24"/>
        </w:rPr>
        <w:fldChar w:fldCharType="separate"/>
      </w:r>
      <w:r>
        <w:rPr>
          <w:rFonts w:ascii="Times New Roman" w:hAnsi="Times New Roman" w:cs="Times New Roman" w:eastAsiaTheme="minorEastAsia"/>
          <w:b/>
          <w:sz w:val="24"/>
          <w:szCs w:val="24"/>
        </w:rPr>
        <w:t>1</w:t>
      </w:r>
      <w:r>
        <w:rPr>
          <w:rFonts w:ascii="Times New Roman" w:hAnsi="Times New Roman" w:cs="Times New Roman" w:eastAsiaTheme="minorEastAsia"/>
          <w:b/>
          <w:sz w:val="24"/>
          <w:szCs w:val="24"/>
        </w:rPr>
        <w:fldChar w:fldCharType="end"/>
      </w:r>
      <w:r>
        <w:rPr>
          <w:rFonts w:ascii="Times New Roman" w:hAnsi="Times New Roman" w:cs="Times New Roman" w:eastAsiaTheme="minorEastAsia"/>
          <w:b/>
          <w:sz w:val="24"/>
          <w:szCs w:val="24"/>
        </w:rPr>
        <w:t xml:space="preserve">  环评批复要求落实情况</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6165"/>
        <w:gridCol w:w="5970"/>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 w:type="pct"/>
            <w:tcBorders>
              <w:top w:val="single" w:color="auto" w:sz="4" w:space="0"/>
              <w:left w:val="single" w:color="auto" w:sz="4" w:space="0"/>
              <w:bottom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序号</w:t>
            </w:r>
          </w:p>
        </w:tc>
        <w:tc>
          <w:tcPr>
            <w:tcW w:w="2174"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420"/>
              <w:jc w:val="center"/>
              <w:rPr>
                <w:rFonts w:cs="Times New Roman"/>
                <w:bCs/>
                <w:sz w:val="21"/>
                <w:szCs w:val="21"/>
              </w:rPr>
            </w:pPr>
            <w:r>
              <w:rPr>
                <w:rFonts w:cs="Times New Roman"/>
                <w:bCs/>
                <w:sz w:val="21"/>
                <w:szCs w:val="21"/>
              </w:rPr>
              <w:t>环评批复要求（</w:t>
            </w:r>
            <w:r>
              <w:rPr>
                <w:rFonts w:hint="eastAsia" w:cs="Times New Roman"/>
                <w:bCs/>
                <w:sz w:val="21"/>
                <w:szCs w:val="21"/>
                <w:lang w:eastAsia="zh-CN"/>
              </w:rPr>
              <w:t>临环审字[2022]016号</w:t>
            </w:r>
            <w:r>
              <w:rPr>
                <w:rFonts w:cs="Times New Roman"/>
                <w:bCs/>
                <w:sz w:val="21"/>
                <w:szCs w:val="21"/>
              </w:rPr>
              <w:t>）</w:t>
            </w:r>
          </w:p>
        </w:tc>
        <w:tc>
          <w:tcPr>
            <w:tcW w:w="2105" w:type="pct"/>
            <w:tcBorders>
              <w:top w:val="single" w:color="auto" w:sz="4" w:space="0"/>
              <w:bottom w:val="single" w:color="auto" w:sz="4" w:space="0"/>
              <w:tl2br w:val="nil"/>
              <w:tr2bl w:val="nil"/>
            </w:tcBorders>
            <w:vAlign w:val="center"/>
          </w:tcPr>
          <w:p>
            <w:pPr>
              <w:widowControl w:val="0"/>
              <w:adjustRightInd w:val="0"/>
              <w:snapToGrid w:val="0"/>
              <w:spacing w:line="240" w:lineRule="auto"/>
              <w:ind w:firstLine="420"/>
              <w:jc w:val="center"/>
              <w:rPr>
                <w:rFonts w:cs="Times New Roman"/>
                <w:bCs/>
                <w:sz w:val="21"/>
                <w:szCs w:val="21"/>
              </w:rPr>
            </w:pPr>
            <w:r>
              <w:rPr>
                <w:rFonts w:cs="Times New Roman"/>
                <w:bCs/>
                <w:sz w:val="21"/>
                <w:szCs w:val="21"/>
              </w:rPr>
              <w:t>实际建设情况</w:t>
            </w:r>
          </w:p>
        </w:tc>
        <w:tc>
          <w:tcPr>
            <w:tcW w:w="492" w:type="pct"/>
            <w:tcBorders>
              <w:top w:val="single" w:color="auto" w:sz="4" w:space="0"/>
              <w:bottom w:val="single" w:color="auto" w:sz="4" w:space="0"/>
              <w:right w:val="single" w:color="auto" w:sz="4" w:space="0"/>
              <w:tl2br w:val="nil"/>
              <w:tr2bl w:val="nil"/>
            </w:tcBorders>
            <w:vAlign w:val="center"/>
          </w:tcPr>
          <w:p>
            <w:pPr>
              <w:widowControl w:val="0"/>
              <w:adjustRightInd w:val="0"/>
              <w:snapToGrid w:val="0"/>
              <w:spacing w:line="240" w:lineRule="auto"/>
              <w:ind w:firstLine="0" w:firstLineChars="0"/>
              <w:jc w:val="center"/>
              <w:rPr>
                <w:rFonts w:cs="Times New Roman"/>
                <w:bCs/>
                <w:sz w:val="21"/>
                <w:szCs w:val="21"/>
              </w:rPr>
            </w:pPr>
            <w:r>
              <w:rPr>
                <w:rFonts w:cs="Times New Roman"/>
                <w:bCs/>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 w:type="pct"/>
            <w:tcBorders>
              <w:top w:val="single" w:color="auto" w:sz="4" w:space="0"/>
              <w:left w:val="single" w:color="auto" w:sz="4" w:space="0"/>
              <w:bottom w:val="single" w:color="auto" w:sz="4" w:space="0"/>
              <w:tl2br w:val="nil"/>
              <w:tr2bl w:val="nil"/>
            </w:tcBorders>
            <w:vAlign w:val="center"/>
          </w:tcPr>
          <w:p>
            <w:pPr>
              <w:pStyle w:val="89"/>
              <w:widowControl w:val="0"/>
              <w:numPr>
                <w:ilvl w:val="0"/>
                <w:numId w:val="7"/>
              </w:numPr>
              <w:adjustRightInd w:val="0"/>
              <w:snapToGrid w:val="0"/>
              <w:spacing w:line="240" w:lineRule="auto"/>
              <w:ind w:firstLineChars="0"/>
              <w:jc w:val="center"/>
              <w:rPr>
                <w:rFonts w:cs="Times New Roman"/>
                <w:sz w:val="21"/>
                <w:szCs w:val="21"/>
              </w:rPr>
            </w:pPr>
          </w:p>
        </w:tc>
        <w:tc>
          <w:tcPr>
            <w:tcW w:w="2174" w:type="pct"/>
            <w:tcBorders>
              <w:top w:val="single" w:color="auto" w:sz="4" w:space="0"/>
              <w:bottom w:val="single" w:color="auto" w:sz="4" w:space="0"/>
              <w:tl2br w:val="nil"/>
              <w:tr2bl w:val="nil"/>
            </w:tcBorders>
            <w:vAlign w:val="center"/>
          </w:tcPr>
          <w:p>
            <w:pPr>
              <w:widowControl w:val="0"/>
              <w:adjustRightInd w:val="0"/>
              <w:snapToGrid w:val="0"/>
              <w:ind w:firstLine="42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加强原材物料管理，物料储存区、生产装置区、道路运输区地面水泥硬化；及时对地面进行清理，确保厂区地面干净、整洁</w:t>
            </w:r>
          </w:p>
        </w:tc>
        <w:tc>
          <w:tcPr>
            <w:tcW w:w="2105" w:type="pct"/>
            <w:tcBorders>
              <w:top w:val="single" w:color="auto" w:sz="4" w:space="0"/>
              <w:bottom w:val="single" w:color="auto" w:sz="4" w:space="0"/>
              <w:tl2br w:val="nil"/>
              <w:tr2bl w:val="nil"/>
            </w:tcBorders>
            <w:vAlign w:val="center"/>
          </w:tcPr>
          <w:p>
            <w:pPr>
              <w:widowControl w:val="0"/>
              <w:adjustRightInd w:val="0"/>
              <w:snapToGrid w:val="0"/>
              <w:ind w:firstLine="420"/>
              <w:rPr>
                <w:rFonts w:hint="eastAsia" w:ascii="Times New Roman" w:hAnsi="Times New Roman" w:eastAsia="宋体" w:cs="Times New Roman"/>
                <w:sz w:val="21"/>
                <w:szCs w:val="21"/>
                <w:lang w:val="en-US" w:eastAsia="zh-CN"/>
              </w:rPr>
            </w:pPr>
            <w:r>
              <w:rPr>
                <w:rFonts w:hint="eastAsia" w:cs="Times New Roman"/>
                <w:sz w:val="21"/>
                <w:szCs w:val="21"/>
                <w:lang w:val="en-US" w:eastAsia="zh-CN"/>
              </w:rPr>
              <w:t>经调查，</w:t>
            </w:r>
            <w:r>
              <w:rPr>
                <w:rFonts w:hint="eastAsia" w:ascii="Times New Roman" w:hAnsi="Times New Roman" w:eastAsia="宋体" w:cs="Times New Roman"/>
                <w:sz w:val="21"/>
                <w:szCs w:val="21"/>
                <w:lang w:val="en-US" w:eastAsia="zh-CN"/>
              </w:rPr>
              <w:t>已加强原材物料管理，物料储存区、生产装置区、道路运输区地面水泥硬化；及时对地面进行清理，确保厂区地面干净、整洁</w:t>
            </w:r>
          </w:p>
        </w:tc>
        <w:tc>
          <w:tcPr>
            <w:tcW w:w="492" w:type="pct"/>
            <w:tcBorders>
              <w:top w:val="single" w:color="auto" w:sz="4" w:space="0"/>
              <w:bottom w:val="single" w:color="auto" w:sz="4" w:space="0"/>
              <w:right w:val="single" w:color="auto" w:sz="4" w:space="0"/>
              <w:tl2br w:val="nil"/>
              <w:tr2bl w:val="nil"/>
            </w:tcBorders>
            <w:vAlign w:val="center"/>
          </w:tcPr>
          <w:p>
            <w:pPr>
              <w:pStyle w:val="2"/>
              <w:ind w:left="0" w:leftChars="0" w:firstLine="0" w:firstLineChars="0"/>
              <w:jc w:val="center"/>
              <w:rPr>
                <w:rFonts w:hint="eastAsia" w:ascii="Times New Roman" w:hAnsi="Times New Roman" w:eastAsia="宋体" w:cs="Times New Roman"/>
                <w:sz w:val="21"/>
                <w:szCs w:val="21"/>
                <w:lang w:val="en-US" w:eastAsia="zh-CN"/>
              </w:rPr>
            </w:pPr>
            <w:r>
              <w:rPr>
                <w:rFonts w:hint="eastAsia" w:cs="Times New Roman" w:eastAsiaTheme="majorEastAsia"/>
                <w:bCs/>
                <w:kern w:val="0"/>
                <w:sz w:val="21"/>
                <w:szCs w:val="21"/>
                <w:lang w:val="en-US" w:eastAsia="zh-CN" w:bidi="ar-SA"/>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 w:type="pct"/>
            <w:tcBorders>
              <w:top w:val="single" w:color="auto" w:sz="4" w:space="0"/>
              <w:left w:val="single" w:color="auto" w:sz="4" w:space="0"/>
              <w:bottom w:val="single" w:color="auto" w:sz="4" w:space="0"/>
              <w:tl2br w:val="nil"/>
              <w:tr2bl w:val="nil"/>
            </w:tcBorders>
            <w:vAlign w:val="center"/>
          </w:tcPr>
          <w:p>
            <w:pPr>
              <w:pStyle w:val="89"/>
              <w:widowControl w:val="0"/>
              <w:numPr>
                <w:ilvl w:val="0"/>
                <w:numId w:val="7"/>
              </w:numPr>
              <w:adjustRightInd w:val="0"/>
              <w:snapToGrid w:val="0"/>
              <w:spacing w:line="240" w:lineRule="auto"/>
              <w:ind w:firstLineChars="0"/>
              <w:jc w:val="center"/>
              <w:rPr>
                <w:rFonts w:cs="Times New Roman"/>
                <w:sz w:val="21"/>
                <w:szCs w:val="21"/>
              </w:rPr>
            </w:pPr>
          </w:p>
        </w:tc>
        <w:tc>
          <w:tcPr>
            <w:tcW w:w="2174" w:type="pct"/>
            <w:tcBorders>
              <w:top w:val="single" w:color="auto" w:sz="4" w:space="0"/>
              <w:bottom w:val="single" w:color="auto" w:sz="4" w:space="0"/>
              <w:tl2br w:val="nil"/>
              <w:tr2bl w:val="nil"/>
            </w:tcBorders>
            <w:vAlign w:val="center"/>
          </w:tcPr>
          <w:p>
            <w:pPr>
              <w:widowControl w:val="0"/>
              <w:adjustRightInd w:val="0"/>
              <w:snapToGrid w:val="0"/>
              <w:ind w:firstLine="42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加强生产管理，强化源头控制。项目建成后，灌装废气收集后依托现有RTO装置处理，处置尾气经“</w:t>
            </w:r>
            <w:r>
              <w:rPr>
                <w:rFonts w:hint="eastAsia" w:cs="Times New Roman"/>
                <w:sz w:val="21"/>
                <w:szCs w:val="21"/>
                <w:lang w:val="en-US" w:eastAsia="zh-CN"/>
              </w:rPr>
              <w:t>急冷-碱洗</w:t>
            </w:r>
            <w:r>
              <w:rPr>
                <w:rFonts w:hint="eastAsia" w:ascii="Times New Roman" w:hAnsi="Times New Roman" w:eastAsia="宋体" w:cs="Times New Roman"/>
                <w:sz w:val="21"/>
                <w:szCs w:val="21"/>
                <w:lang w:val="en-US" w:eastAsia="zh-CN"/>
              </w:rPr>
              <w:t>”净化后依托现有RTO排气简排放。外排VOCs废气执行《挥发性有机物排放标准 第6部分：有机化工行业》(DB37/2801.6--2018)表1 中其他行业</w:t>
            </w:r>
            <w:r>
              <w:rPr>
                <w:rFonts w:hint="default" w:ascii="Times New Roman" w:hAnsi="Times New Roman" w:eastAsia="宋体" w:cs="Times New Roman"/>
                <w:sz w:val="21"/>
                <w:szCs w:val="21"/>
                <w:lang w:val="en-US" w:eastAsia="zh-CN"/>
              </w:rPr>
              <w:t>Ⅱ</w:t>
            </w:r>
            <w:r>
              <w:rPr>
                <w:rFonts w:hint="eastAsia" w:ascii="Times New Roman" w:hAnsi="Times New Roman" w:eastAsia="宋体" w:cs="Times New Roman"/>
                <w:sz w:val="21"/>
                <w:szCs w:val="21"/>
                <w:lang w:val="en-US" w:eastAsia="zh-CN"/>
              </w:rPr>
              <w:t>时段排放限值；加强设备与场所密闭管理，采取有效的防范措施，有效控制无组织排放。严格按照《挥发性有机物无组织排放控制标准》(GB37822-2019)以及《重点行业挥发性有机物综合治理方案》中相关要求管理。确保废气无组织VOCs废气满足《挥发性有机物排放标准 第6部分：有机化工行业》(DB37/2801.6--2018)表3 厂界监控点浓度限值</w:t>
            </w:r>
          </w:p>
        </w:tc>
        <w:tc>
          <w:tcPr>
            <w:tcW w:w="2105" w:type="pct"/>
            <w:tcBorders>
              <w:top w:val="single" w:color="auto" w:sz="4" w:space="0"/>
              <w:bottom w:val="single" w:color="auto" w:sz="4" w:space="0"/>
              <w:tl2br w:val="nil"/>
              <w:tr2bl w:val="nil"/>
            </w:tcBorders>
            <w:vAlign w:val="center"/>
          </w:tcPr>
          <w:p>
            <w:pPr>
              <w:keepNext w:val="0"/>
              <w:keepLines w:val="0"/>
              <w:pageBreakBefore w:val="0"/>
              <w:kinsoku/>
              <w:wordWrap/>
              <w:overflowPunct/>
              <w:topLinePunct w:val="0"/>
              <w:bidi w:val="0"/>
              <w:spacing w:after="0" w:line="490" w:lineRule="exact"/>
              <w:ind w:firstLine="420" w:firstLineChars="200"/>
              <w:textAlignment w:val="auto"/>
              <w:outlineLvl w:val="1"/>
              <w:rPr>
                <w:rFonts w:hint="eastAsia" w:ascii="Times New Roman" w:hAnsi="Times New Roman" w:eastAsia="宋体" w:cs="Times New Roman"/>
                <w:sz w:val="21"/>
                <w:szCs w:val="21"/>
                <w:lang w:val="en-US" w:eastAsia="zh-CN"/>
              </w:rPr>
            </w:pPr>
            <w:r>
              <w:rPr>
                <w:rFonts w:hint="eastAsia" w:cs="Times New Roman"/>
                <w:sz w:val="21"/>
                <w:szCs w:val="21"/>
                <w:lang w:val="en-US" w:eastAsia="zh-CN"/>
              </w:rPr>
              <w:t>经调查，</w:t>
            </w:r>
            <w:r>
              <w:rPr>
                <w:rFonts w:hint="eastAsia" w:ascii="Times New Roman" w:hAnsi="Times New Roman" w:eastAsia="宋体" w:cs="Times New Roman"/>
                <w:sz w:val="21"/>
                <w:szCs w:val="21"/>
                <w:lang w:val="en-US" w:eastAsia="zh-CN"/>
              </w:rPr>
              <w:t>已加强</w:t>
            </w:r>
            <w:r>
              <w:rPr>
                <w:rFonts w:hint="eastAsia" w:cs="Times New Roman"/>
                <w:sz w:val="21"/>
                <w:szCs w:val="21"/>
                <w:lang w:val="en-US" w:eastAsia="zh-CN"/>
              </w:rPr>
              <w:t>生产管理，强化源头控制。项目建成后，灌装废气收集后进入公司原有RTO装置处理，处理后尾气经“急冷-碱洗”装置处理，通过1根25米排气简排放。</w:t>
            </w:r>
            <w:r>
              <w:rPr>
                <w:rFonts w:hint="eastAsia" w:cs="Times New Roman"/>
                <w:sz w:val="21"/>
                <w:szCs w:val="21"/>
                <w:lang w:val="en-US" w:eastAsia="zh-CN"/>
              </w:rPr>
              <w:t>经检测，外排VOCs废气满足《挥发性有机物排放标准 第6部分：有机化工行业》(DB37/2801.6-</w:t>
            </w:r>
            <w:r>
              <w:rPr>
                <w:rFonts w:hint="eastAsia" w:ascii="Times New Roman" w:hAnsi="Times New Roman" w:eastAsia="宋体" w:cs="Times New Roman"/>
                <w:sz w:val="21"/>
                <w:szCs w:val="21"/>
                <w:lang w:val="en-US" w:eastAsia="zh-CN"/>
              </w:rPr>
              <w:t>-2018)表1 中其他行业</w:t>
            </w:r>
            <w:r>
              <w:rPr>
                <w:rFonts w:hint="default" w:ascii="Times New Roman" w:hAnsi="Times New Roman" w:eastAsia="宋体" w:cs="Times New Roman"/>
                <w:sz w:val="21"/>
                <w:szCs w:val="21"/>
                <w:lang w:val="en-US" w:eastAsia="zh-CN"/>
              </w:rPr>
              <w:t>Ⅱ</w:t>
            </w:r>
            <w:r>
              <w:rPr>
                <w:rFonts w:hint="eastAsia" w:ascii="Times New Roman" w:hAnsi="Times New Roman" w:eastAsia="宋体" w:cs="Times New Roman"/>
                <w:sz w:val="21"/>
                <w:szCs w:val="21"/>
                <w:lang w:val="en-US" w:eastAsia="zh-CN"/>
              </w:rPr>
              <w:t>时段排放限值要求；</w:t>
            </w:r>
            <w:r>
              <w:rPr>
                <w:rFonts w:hint="eastAsia" w:cs="Times New Roman"/>
                <w:sz w:val="21"/>
                <w:szCs w:val="21"/>
                <w:lang w:val="en-US" w:eastAsia="zh-CN"/>
              </w:rPr>
              <w:t>经调查，</w:t>
            </w:r>
            <w:r>
              <w:rPr>
                <w:rFonts w:hint="eastAsia" w:ascii="Times New Roman" w:hAnsi="Times New Roman" w:eastAsia="宋体" w:cs="Times New Roman"/>
                <w:sz w:val="21"/>
                <w:szCs w:val="21"/>
                <w:lang w:val="en-US" w:eastAsia="zh-CN"/>
              </w:rPr>
              <w:t>已加强设备与场所密闭管理，采取有效的防范措施，有效控制无组织排放。</w:t>
            </w:r>
            <w:r>
              <w:rPr>
                <w:rFonts w:hint="eastAsia" w:cs="Times New Roman"/>
                <w:sz w:val="21"/>
                <w:szCs w:val="21"/>
                <w:lang w:val="en-US" w:eastAsia="zh-CN"/>
              </w:rPr>
              <w:t>经检测，已</w:t>
            </w:r>
            <w:r>
              <w:rPr>
                <w:rFonts w:hint="eastAsia" w:ascii="Times New Roman" w:hAnsi="Times New Roman" w:eastAsia="宋体" w:cs="Times New Roman"/>
                <w:sz w:val="21"/>
                <w:szCs w:val="21"/>
                <w:lang w:val="en-US" w:eastAsia="zh-CN"/>
              </w:rPr>
              <w:t>按照《挥发性有机物无组织排放控制标准》(GB37822-2019)以及《重点行业挥发性有机物综合治理方案》中相关要求管理。</w:t>
            </w:r>
            <w:r>
              <w:rPr>
                <w:rFonts w:hint="eastAsia" w:cs="Times New Roman"/>
                <w:sz w:val="21"/>
                <w:szCs w:val="21"/>
                <w:lang w:val="en-US" w:eastAsia="zh-CN"/>
              </w:rPr>
              <w:t>经检测，</w:t>
            </w:r>
            <w:r>
              <w:rPr>
                <w:rFonts w:hint="eastAsia" w:ascii="Times New Roman" w:hAnsi="Times New Roman" w:eastAsia="宋体" w:cs="Times New Roman"/>
                <w:sz w:val="21"/>
                <w:szCs w:val="21"/>
                <w:lang w:val="en-US" w:eastAsia="zh-CN"/>
              </w:rPr>
              <w:t>废气无组织VOCs废气满足《挥发性有机物排放标准 第6部分：有机化工行业》(DB37/2801.6--2018)表3 厂界监控点浓度限值</w:t>
            </w:r>
            <w:r>
              <w:rPr>
                <w:rFonts w:hint="eastAsia" w:cs="Times New Roman"/>
                <w:sz w:val="21"/>
                <w:szCs w:val="21"/>
                <w:lang w:val="en-US" w:eastAsia="zh-CN"/>
              </w:rPr>
              <w:t>要求</w:t>
            </w:r>
          </w:p>
        </w:tc>
        <w:tc>
          <w:tcPr>
            <w:tcW w:w="492" w:type="pct"/>
            <w:tcBorders>
              <w:top w:val="single" w:color="auto" w:sz="4" w:space="0"/>
              <w:bottom w:val="single" w:color="auto" w:sz="4" w:space="0"/>
              <w:right w:val="single" w:color="auto" w:sz="4" w:space="0"/>
              <w:tl2br w:val="nil"/>
              <w:tr2bl w:val="nil"/>
            </w:tcBorders>
            <w:vAlign w:val="center"/>
          </w:tcPr>
          <w:p>
            <w:pPr>
              <w:pStyle w:val="2"/>
              <w:ind w:left="0" w:leftChars="0" w:firstLine="0" w:firstLineChars="0"/>
              <w:jc w:val="center"/>
              <w:rPr>
                <w:rFonts w:cs="Times New Roman"/>
                <w:sz w:val="21"/>
                <w:szCs w:val="21"/>
              </w:rPr>
            </w:pPr>
            <w:r>
              <w:rPr>
                <w:rFonts w:hint="eastAsia" w:cs="Times New Roman" w:eastAsiaTheme="majorEastAsia"/>
                <w:bCs/>
                <w:kern w:val="0"/>
                <w:sz w:val="21"/>
                <w:szCs w:val="21"/>
                <w:lang w:val="en-US" w:eastAsia="zh-CN" w:bidi="ar-SA"/>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 w:type="pct"/>
            <w:tcBorders>
              <w:top w:val="single" w:color="auto" w:sz="4" w:space="0"/>
              <w:left w:val="single" w:color="auto" w:sz="4" w:space="0"/>
              <w:bottom w:val="single" w:color="auto" w:sz="4" w:space="0"/>
              <w:tl2br w:val="nil"/>
              <w:tr2bl w:val="nil"/>
            </w:tcBorders>
            <w:vAlign w:val="center"/>
          </w:tcPr>
          <w:p>
            <w:pPr>
              <w:pStyle w:val="89"/>
              <w:widowControl w:val="0"/>
              <w:numPr>
                <w:ilvl w:val="0"/>
                <w:numId w:val="7"/>
              </w:numPr>
              <w:adjustRightInd w:val="0"/>
              <w:snapToGrid w:val="0"/>
              <w:spacing w:line="240" w:lineRule="auto"/>
              <w:ind w:firstLineChars="0"/>
              <w:jc w:val="center"/>
              <w:rPr>
                <w:rFonts w:cs="Times New Roman"/>
                <w:sz w:val="21"/>
                <w:szCs w:val="21"/>
              </w:rPr>
            </w:pPr>
          </w:p>
        </w:tc>
        <w:tc>
          <w:tcPr>
            <w:tcW w:w="2174" w:type="pct"/>
            <w:tcBorders>
              <w:top w:val="single" w:color="auto" w:sz="4" w:space="0"/>
              <w:bottom w:val="single" w:color="auto" w:sz="4" w:space="0"/>
              <w:tl2br w:val="nil"/>
              <w:tr2bl w:val="nil"/>
            </w:tcBorders>
            <w:vAlign w:val="center"/>
          </w:tcPr>
          <w:p>
            <w:pPr>
              <w:widowControl w:val="0"/>
              <w:adjustRightInd w:val="0"/>
              <w:snapToGrid w:val="0"/>
              <w:ind w:firstLine="42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合理规范布局，优先选用低噪声设备，对高噪声设备采取有效减振、消音、隔声等措施，确保运营期噪声满足《工业企业厂界环境噪声排放标准》(GB12348-2008)中的2类功能区标准要求</w:t>
            </w:r>
          </w:p>
        </w:tc>
        <w:tc>
          <w:tcPr>
            <w:tcW w:w="2105" w:type="pct"/>
            <w:tcBorders>
              <w:top w:val="single" w:color="auto" w:sz="4" w:space="0"/>
              <w:bottom w:val="single" w:color="auto" w:sz="4" w:space="0"/>
              <w:tl2br w:val="nil"/>
              <w:tr2bl w:val="nil"/>
            </w:tcBorders>
            <w:vAlign w:val="center"/>
          </w:tcPr>
          <w:p>
            <w:pPr>
              <w:widowControl w:val="0"/>
              <w:adjustRightInd w:val="0"/>
              <w:snapToGrid w:val="0"/>
              <w:ind w:firstLine="420"/>
              <w:rPr>
                <w:rFonts w:hint="default" w:ascii="Times New Roman" w:hAnsi="Times New Roman" w:eastAsia="宋体" w:cs="Times New Roman"/>
                <w:sz w:val="21"/>
                <w:szCs w:val="21"/>
                <w:lang w:val="en-US" w:eastAsia="zh-CN"/>
              </w:rPr>
            </w:pPr>
            <w:r>
              <w:rPr>
                <w:rFonts w:hint="eastAsia" w:cs="Times New Roman"/>
                <w:sz w:val="21"/>
                <w:szCs w:val="21"/>
                <w:lang w:val="en-US" w:eastAsia="zh-CN"/>
              </w:rPr>
              <w:t>经调查，</w:t>
            </w:r>
            <w:r>
              <w:rPr>
                <w:rFonts w:hint="eastAsia" w:ascii="Times New Roman" w:hAnsi="Times New Roman" w:eastAsia="宋体" w:cs="Times New Roman"/>
                <w:sz w:val="21"/>
                <w:szCs w:val="21"/>
                <w:lang w:val="en-US" w:eastAsia="zh-CN"/>
              </w:rPr>
              <w:t>已合理规范布局，优先选用低噪声设备，对高噪声设备采取有效减振、消音、隔声等措施</w:t>
            </w:r>
            <w:r>
              <w:rPr>
                <w:rFonts w:hint="eastAsia" w:cs="Times New Roman"/>
                <w:sz w:val="21"/>
                <w:szCs w:val="21"/>
                <w:lang w:val="en-US" w:eastAsia="zh-CN"/>
              </w:rPr>
              <w:t>。经检测，</w:t>
            </w:r>
            <w:r>
              <w:rPr>
                <w:rFonts w:hint="eastAsia" w:ascii="Times New Roman" w:hAnsi="Times New Roman" w:eastAsia="宋体" w:cs="Times New Roman"/>
                <w:sz w:val="21"/>
                <w:szCs w:val="21"/>
                <w:lang w:val="en-US" w:eastAsia="zh-CN"/>
              </w:rPr>
              <w:t>运营期噪声满足《工业企业厂界环境噪声排放标准》(GB12348-2008)中的2类功能区标准要求</w:t>
            </w:r>
          </w:p>
        </w:tc>
        <w:tc>
          <w:tcPr>
            <w:tcW w:w="492" w:type="pct"/>
            <w:tcBorders>
              <w:top w:val="single" w:color="auto" w:sz="4" w:space="0"/>
              <w:bottom w:val="single" w:color="auto" w:sz="4" w:space="0"/>
              <w:right w:val="single" w:color="auto" w:sz="4" w:space="0"/>
              <w:tl2br w:val="nil"/>
              <w:tr2bl w:val="nil"/>
            </w:tcBorders>
            <w:vAlign w:val="center"/>
          </w:tcPr>
          <w:p>
            <w:pPr>
              <w:pStyle w:val="2"/>
              <w:ind w:left="0" w:leftChars="0" w:firstLine="0" w:firstLineChars="0"/>
              <w:jc w:val="center"/>
              <w:rPr>
                <w:rFonts w:hint="eastAsia" w:cs="Times New Roman" w:eastAsiaTheme="majorEastAsia"/>
                <w:bCs/>
                <w:kern w:val="0"/>
                <w:sz w:val="21"/>
                <w:szCs w:val="21"/>
                <w:lang w:val="en-US" w:eastAsia="zh-CN" w:bidi="ar-SA"/>
              </w:rPr>
            </w:pPr>
            <w:r>
              <w:rPr>
                <w:rFonts w:hint="eastAsia" w:cs="Times New Roman" w:eastAsiaTheme="majorEastAsia"/>
                <w:bCs/>
                <w:kern w:val="0"/>
                <w:sz w:val="21"/>
                <w:szCs w:val="21"/>
                <w:lang w:val="en-US" w:eastAsia="zh-CN" w:bidi="ar-SA"/>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 w:type="pct"/>
            <w:tcBorders>
              <w:top w:val="single" w:color="auto" w:sz="4" w:space="0"/>
              <w:left w:val="single" w:color="auto" w:sz="4" w:space="0"/>
              <w:bottom w:val="single" w:color="auto" w:sz="4" w:space="0"/>
              <w:tl2br w:val="nil"/>
              <w:tr2bl w:val="nil"/>
            </w:tcBorders>
            <w:vAlign w:val="center"/>
          </w:tcPr>
          <w:p>
            <w:pPr>
              <w:pStyle w:val="89"/>
              <w:widowControl w:val="0"/>
              <w:numPr>
                <w:ilvl w:val="0"/>
                <w:numId w:val="7"/>
              </w:numPr>
              <w:adjustRightInd w:val="0"/>
              <w:snapToGrid w:val="0"/>
              <w:spacing w:line="240" w:lineRule="auto"/>
              <w:ind w:firstLineChars="0"/>
              <w:jc w:val="center"/>
              <w:rPr>
                <w:rFonts w:cs="Times New Roman"/>
                <w:sz w:val="21"/>
                <w:szCs w:val="21"/>
              </w:rPr>
            </w:pPr>
          </w:p>
        </w:tc>
        <w:tc>
          <w:tcPr>
            <w:tcW w:w="2174" w:type="pct"/>
            <w:tcBorders>
              <w:top w:val="single" w:color="auto" w:sz="4" w:space="0"/>
              <w:bottom w:val="single" w:color="auto" w:sz="4" w:space="0"/>
              <w:tl2br w:val="nil"/>
              <w:tr2bl w:val="nil"/>
            </w:tcBorders>
            <w:vAlign w:val="center"/>
          </w:tcPr>
          <w:p>
            <w:pPr>
              <w:widowControl w:val="0"/>
              <w:adjustRightInd w:val="0"/>
              <w:snapToGrid w:val="0"/>
              <w:ind w:firstLine="42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该项目建成后，该项目主要污染物排放量应控制在该项目确认的总量控制指标之内，并严格按照《排污许可管理办法(试行)》及《固定污染源排污许可分类管理名录》等相关要求，做好排污许可证的申请、变更工作。各有组织排气简须按规范要求设置永久性监测采样孔和采样平台。严格按照《淄博市污染源自动监控条例》等相关要求，凡符合安装要求的必须安装自动监控系统：排污单位应按照相关法律、法规和技术规范要求，建立健全管理制度以及运行台账，负责污染源自动监测设施的运行、维护、管理及故障维修，并接受相关部门监督管理</w:t>
            </w:r>
          </w:p>
        </w:tc>
        <w:tc>
          <w:tcPr>
            <w:tcW w:w="2105" w:type="pct"/>
            <w:tcBorders>
              <w:top w:val="single" w:color="auto" w:sz="4" w:space="0"/>
              <w:bottom w:val="single" w:color="auto" w:sz="4" w:space="0"/>
              <w:tl2br w:val="nil"/>
              <w:tr2bl w:val="nil"/>
            </w:tcBorders>
            <w:vAlign w:val="center"/>
          </w:tcPr>
          <w:p>
            <w:pPr>
              <w:widowControl w:val="0"/>
              <w:adjustRightInd w:val="0"/>
              <w:snapToGrid w:val="0"/>
              <w:ind w:firstLine="420"/>
              <w:rPr>
                <w:rFonts w:hint="default" w:ascii="Times New Roman" w:hAnsi="Times New Roman" w:eastAsia="宋体" w:cs="Times New Roman"/>
                <w:sz w:val="21"/>
                <w:szCs w:val="21"/>
                <w:lang w:val="en-US" w:eastAsia="zh-CN"/>
              </w:rPr>
            </w:pPr>
            <w:r>
              <w:rPr>
                <w:rFonts w:hint="eastAsia" w:cs="Times New Roman"/>
                <w:sz w:val="21"/>
                <w:szCs w:val="21"/>
                <w:lang w:val="en-US" w:eastAsia="zh-CN"/>
              </w:rPr>
              <w:t>经检测，</w:t>
            </w:r>
            <w:r>
              <w:rPr>
                <w:rFonts w:hint="eastAsia" w:ascii="Times New Roman" w:hAnsi="Times New Roman" w:eastAsia="宋体" w:cs="Times New Roman"/>
                <w:sz w:val="21"/>
                <w:szCs w:val="21"/>
                <w:lang w:val="en-US" w:eastAsia="zh-CN"/>
              </w:rPr>
              <w:t>该项目建成后，该项目主要污染物排放量已控制在该项目确认的总量控制指标之内，并严格按照《排污许可管理办法(试行)》及《固定污染源排污许可分类管理名录》等相关要求，做好排污许可证的申请、变更工作。</w:t>
            </w:r>
            <w:r>
              <w:rPr>
                <w:rFonts w:hint="eastAsia" w:cs="Times New Roman"/>
                <w:sz w:val="21"/>
                <w:szCs w:val="21"/>
                <w:lang w:val="en-US" w:eastAsia="zh-CN"/>
              </w:rPr>
              <w:t>经调查，</w:t>
            </w:r>
            <w:r>
              <w:rPr>
                <w:rFonts w:hint="eastAsia" w:ascii="Times New Roman" w:hAnsi="Times New Roman" w:eastAsia="宋体" w:cs="Times New Roman"/>
                <w:sz w:val="21"/>
                <w:szCs w:val="21"/>
                <w:lang w:val="en-US" w:eastAsia="zh-CN"/>
              </w:rPr>
              <w:t>各有组织排气简按规范要求设置永久性监测采样孔和采样平台</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按照《淄博市污染源自动监控条例》等相关要求，凡符合安装要求的必须安装自动监控系统：</w:t>
            </w:r>
            <w:r>
              <w:rPr>
                <w:rFonts w:hint="eastAsia" w:cs="Times New Roman"/>
                <w:sz w:val="21"/>
                <w:szCs w:val="21"/>
                <w:lang w:val="en-US" w:eastAsia="zh-CN"/>
              </w:rPr>
              <w:t>并按</w:t>
            </w:r>
            <w:r>
              <w:rPr>
                <w:rFonts w:hint="eastAsia" w:ascii="Times New Roman" w:hAnsi="Times New Roman" w:eastAsia="宋体" w:cs="Times New Roman"/>
                <w:sz w:val="21"/>
                <w:szCs w:val="21"/>
                <w:lang w:val="en-US" w:eastAsia="zh-CN"/>
              </w:rPr>
              <w:t>照相关法律、法规和技术规范要求，建立健全管理制度以及运行台账，负责污染源自动监测设施的运行、维护、管理及故障维修，并接受相关部门监督管理</w:t>
            </w:r>
          </w:p>
        </w:tc>
        <w:tc>
          <w:tcPr>
            <w:tcW w:w="492" w:type="pct"/>
            <w:tcBorders>
              <w:top w:val="single" w:color="auto" w:sz="4" w:space="0"/>
              <w:bottom w:val="single" w:color="auto" w:sz="4" w:space="0"/>
              <w:right w:val="single" w:color="auto" w:sz="4" w:space="0"/>
              <w:tl2br w:val="nil"/>
              <w:tr2bl w:val="nil"/>
            </w:tcBorders>
            <w:vAlign w:val="center"/>
          </w:tcPr>
          <w:p>
            <w:pPr>
              <w:pStyle w:val="2"/>
              <w:ind w:left="0" w:leftChars="0" w:firstLine="0" w:firstLineChars="0"/>
              <w:jc w:val="center"/>
              <w:rPr>
                <w:rFonts w:hint="default" w:cs="Times New Roman" w:eastAsiaTheme="majorEastAsia"/>
                <w:bCs/>
                <w:kern w:val="0"/>
                <w:sz w:val="21"/>
                <w:szCs w:val="21"/>
                <w:lang w:val="en-US" w:eastAsia="zh-CN" w:bidi="ar-SA"/>
              </w:rPr>
            </w:pPr>
            <w:r>
              <w:rPr>
                <w:rFonts w:hint="eastAsia" w:cs="Times New Roman" w:eastAsiaTheme="majorEastAsia"/>
                <w:bCs/>
                <w:kern w:val="0"/>
                <w:sz w:val="21"/>
                <w:szCs w:val="21"/>
                <w:lang w:val="en-US" w:eastAsia="zh-CN" w:bidi="ar-SA"/>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 w:type="pct"/>
            <w:tcBorders>
              <w:top w:val="single" w:color="auto" w:sz="4" w:space="0"/>
              <w:left w:val="single" w:color="auto" w:sz="4" w:space="0"/>
              <w:bottom w:val="single" w:color="auto" w:sz="4" w:space="0"/>
              <w:tl2br w:val="nil"/>
              <w:tr2bl w:val="nil"/>
            </w:tcBorders>
            <w:vAlign w:val="center"/>
          </w:tcPr>
          <w:p>
            <w:pPr>
              <w:pStyle w:val="89"/>
              <w:widowControl w:val="0"/>
              <w:numPr>
                <w:ilvl w:val="0"/>
                <w:numId w:val="7"/>
              </w:numPr>
              <w:adjustRightInd w:val="0"/>
              <w:snapToGrid w:val="0"/>
              <w:spacing w:line="240" w:lineRule="auto"/>
              <w:ind w:firstLineChars="0"/>
              <w:jc w:val="center"/>
              <w:rPr>
                <w:rFonts w:cs="Times New Roman"/>
                <w:sz w:val="21"/>
                <w:szCs w:val="21"/>
              </w:rPr>
            </w:pPr>
          </w:p>
        </w:tc>
        <w:tc>
          <w:tcPr>
            <w:tcW w:w="2174" w:type="pct"/>
            <w:tcBorders>
              <w:top w:val="single" w:color="auto" w:sz="4" w:space="0"/>
              <w:bottom w:val="single" w:color="auto" w:sz="4" w:space="0"/>
              <w:tl2br w:val="nil"/>
              <w:tr2bl w:val="nil"/>
            </w:tcBorders>
            <w:vAlign w:val="center"/>
          </w:tcPr>
          <w:p>
            <w:pPr>
              <w:widowControl w:val="0"/>
              <w:adjustRightInd w:val="0"/>
              <w:snapToGrid w:val="0"/>
              <w:ind w:firstLine="42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强环境风险防范措施。企业应对各风险源设置完善的预防措施和应急预案，落实应急防范与减缓措施，防止事故发生。根据环境风险评价，环境应急预案和厂区实际现状，建设相配套应急装备和监测仪器，在非事故状态下不得占用，并定期进行维修保养；加强环境风险管理，对风险评价实行动态管理，保证事故发生时立即进入应急状态，确保环境安全。定期开展环境风险应急培训和演练，切实加强事故应急处理和防范能力</w:t>
            </w:r>
          </w:p>
        </w:tc>
        <w:tc>
          <w:tcPr>
            <w:tcW w:w="2105" w:type="pct"/>
            <w:tcBorders>
              <w:top w:val="single" w:color="auto" w:sz="4" w:space="0"/>
              <w:bottom w:val="single" w:color="auto" w:sz="4" w:space="0"/>
              <w:tl2br w:val="nil"/>
              <w:tr2bl w:val="nil"/>
            </w:tcBorders>
            <w:vAlign w:val="center"/>
          </w:tcPr>
          <w:p>
            <w:pPr>
              <w:widowControl w:val="0"/>
              <w:adjustRightInd w:val="0"/>
              <w:snapToGrid w:val="0"/>
              <w:ind w:firstLine="420"/>
              <w:rPr>
                <w:rFonts w:hint="eastAsia" w:ascii="Times New Roman" w:hAnsi="Times New Roman" w:eastAsia="宋体" w:cs="Times New Roman"/>
                <w:sz w:val="21"/>
                <w:szCs w:val="21"/>
                <w:lang w:val="en-US" w:eastAsia="zh-CN"/>
              </w:rPr>
            </w:pPr>
            <w:r>
              <w:rPr>
                <w:rFonts w:hint="eastAsia" w:cs="Times New Roman"/>
                <w:sz w:val="21"/>
                <w:szCs w:val="21"/>
                <w:lang w:val="en-US" w:eastAsia="zh-CN"/>
              </w:rPr>
              <w:t>经调查，</w:t>
            </w:r>
            <w:r>
              <w:rPr>
                <w:rFonts w:hint="eastAsia" w:ascii="Times New Roman" w:hAnsi="Times New Roman" w:eastAsia="宋体" w:cs="Times New Roman"/>
                <w:sz w:val="21"/>
                <w:szCs w:val="21"/>
                <w:lang w:val="en-US" w:eastAsia="zh-CN"/>
              </w:rPr>
              <w:t>已加强环境风险防范措施</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已对各风险源设置完善的预防措施和应急预案，落实应急防范与减缓措施，防止事故发生。根据环境风险评价，环境应急预案和厂区实际现状，建设相配套应急装备和监测仪器，在非事故状态下不得占用，并定期进行维修保养；</w:t>
            </w:r>
            <w:r>
              <w:rPr>
                <w:rFonts w:hint="eastAsia" w:cs="Times New Roman"/>
                <w:sz w:val="21"/>
                <w:szCs w:val="21"/>
                <w:lang w:val="en-US" w:eastAsia="zh-CN"/>
              </w:rPr>
              <w:t>已</w:t>
            </w:r>
            <w:r>
              <w:rPr>
                <w:rFonts w:hint="eastAsia" w:ascii="Times New Roman" w:hAnsi="Times New Roman" w:eastAsia="宋体" w:cs="Times New Roman"/>
                <w:sz w:val="21"/>
                <w:szCs w:val="21"/>
                <w:lang w:val="en-US" w:eastAsia="zh-CN"/>
              </w:rPr>
              <w:t>加强环境风险管理，对风险评价实行动态管理，保证事故发生时立即进入应急状态，确保环境安全。</w:t>
            </w:r>
            <w:r>
              <w:rPr>
                <w:rFonts w:hint="eastAsia" w:cs="Times New Roman"/>
                <w:sz w:val="21"/>
                <w:szCs w:val="21"/>
                <w:lang w:val="en-US" w:eastAsia="zh-CN"/>
              </w:rPr>
              <w:t>已</w:t>
            </w:r>
            <w:r>
              <w:rPr>
                <w:rFonts w:hint="eastAsia" w:ascii="Times New Roman" w:hAnsi="Times New Roman" w:eastAsia="宋体" w:cs="Times New Roman"/>
                <w:sz w:val="21"/>
                <w:szCs w:val="21"/>
                <w:lang w:val="en-US" w:eastAsia="zh-CN"/>
              </w:rPr>
              <w:t>定期开展环境风险应急培训和演练，切实加强事故应急处理和防范能力</w:t>
            </w:r>
          </w:p>
        </w:tc>
        <w:tc>
          <w:tcPr>
            <w:tcW w:w="492" w:type="pct"/>
            <w:tcBorders>
              <w:top w:val="single" w:color="auto" w:sz="4" w:space="0"/>
              <w:bottom w:val="single" w:color="auto" w:sz="4" w:space="0"/>
              <w:right w:val="single" w:color="auto" w:sz="4" w:space="0"/>
              <w:tl2br w:val="nil"/>
              <w:tr2bl w:val="nil"/>
            </w:tcBorders>
            <w:vAlign w:val="center"/>
          </w:tcPr>
          <w:p>
            <w:pPr>
              <w:pStyle w:val="2"/>
              <w:ind w:left="0" w:leftChars="0" w:firstLine="0" w:firstLineChars="0"/>
              <w:jc w:val="center"/>
              <w:rPr>
                <w:rFonts w:hint="eastAsia" w:cs="Times New Roman" w:eastAsiaTheme="majorEastAsia"/>
                <w:bCs/>
                <w:kern w:val="0"/>
                <w:sz w:val="21"/>
                <w:szCs w:val="21"/>
                <w:lang w:val="en-US" w:eastAsia="zh-CN" w:bidi="ar-SA"/>
              </w:rPr>
            </w:pPr>
            <w:r>
              <w:rPr>
                <w:rFonts w:hint="eastAsia" w:cs="Times New Roman" w:eastAsiaTheme="majorEastAsia"/>
                <w:bCs/>
                <w:kern w:val="0"/>
                <w:sz w:val="21"/>
                <w:szCs w:val="21"/>
                <w:lang w:val="en-US" w:eastAsia="zh-CN" w:bidi="ar-SA"/>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 w:type="pct"/>
            <w:tcBorders>
              <w:top w:val="single" w:color="auto" w:sz="4" w:space="0"/>
              <w:left w:val="single" w:color="auto" w:sz="4" w:space="0"/>
              <w:bottom w:val="single" w:color="auto" w:sz="4" w:space="0"/>
              <w:tl2br w:val="nil"/>
              <w:tr2bl w:val="nil"/>
            </w:tcBorders>
            <w:vAlign w:val="center"/>
          </w:tcPr>
          <w:p>
            <w:pPr>
              <w:pStyle w:val="89"/>
              <w:widowControl w:val="0"/>
              <w:numPr>
                <w:ilvl w:val="0"/>
                <w:numId w:val="7"/>
              </w:numPr>
              <w:adjustRightInd w:val="0"/>
              <w:snapToGrid w:val="0"/>
              <w:spacing w:line="240" w:lineRule="auto"/>
              <w:ind w:firstLineChars="0"/>
              <w:jc w:val="center"/>
              <w:rPr>
                <w:rFonts w:cs="Times New Roman"/>
                <w:sz w:val="21"/>
                <w:szCs w:val="21"/>
              </w:rPr>
            </w:pPr>
          </w:p>
        </w:tc>
        <w:tc>
          <w:tcPr>
            <w:tcW w:w="2174" w:type="pct"/>
            <w:tcBorders>
              <w:top w:val="single" w:color="auto" w:sz="4" w:space="0"/>
              <w:bottom w:val="single" w:color="auto" w:sz="4" w:space="0"/>
              <w:tl2br w:val="nil"/>
              <w:tr2bl w:val="nil"/>
            </w:tcBorders>
            <w:vAlign w:val="center"/>
          </w:tcPr>
          <w:p>
            <w:pPr>
              <w:widowControl w:val="0"/>
              <w:adjustRightInd w:val="0"/>
              <w:snapToGrid w:val="0"/>
              <w:ind w:firstLine="42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立健全环境管理制度，加强企业内部环保设施运行管理和操作人员的培训，不断提高其管理和实际运行操作能力，确保各类污染物处理设施安全稳定运行和各项污染物长期稳定达标排放。加强环保宣传教育，制定环保管理制度，设置环保宣传栏；按有关要求规范设置环保图形标志、环保治理设施标示牌。落实报告表提出的环境管理及监测计划</w:t>
            </w:r>
          </w:p>
        </w:tc>
        <w:tc>
          <w:tcPr>
            <w:tcW w:w="2105" w:type="pct"/>
            <w:tcBorders>
              <w:top w:val="single" w:color="auto" w:sz="4" w:space="0"/>
              <w:bottom w:val="single" w:color="auto" w:sz="4" w:space="0"/>
              <w:tl2br w:val="nil"/>
              <w:tr2bl w:val="nil"/>
            </w:tcBorders>
            <w:vAlign w:val="center"/>
          </w:tcPr>
          <w:p>
            <w:pPr>
              <w:widowControl w:val="0"/>
              <w:adjustRightInd w:val="0"/>
              <w:snapToGrid w:val="0"/>
              <w:ind w:firstLine="420"/>
              <w:rPr>
                <w:rFonts w:hint="eastAsia" w:ascii="Times New Roman" w:hAnsi="Times New Roman" w:eastAsia="宋体" w:cs="Times New Roman"/>
                <w:sz w:val="21"/>
                <w:szCs w:val="21"/>
                <w:lang w:val="en-US" w:eastAsia="zh-CN"/>
              </w:rPr>
            </w:pPr>
            <w:r>
              <w:rPr>
                <w:rFonts w:hint="eastAsia" w:cs="Times New Roman"/>
                <w:sz w:val="21"/>
                <w:szCs w:val="21"/>
                <w:lang w:val="en-US" w:eastAsia="zh-CN"/>
              </w:rPr>
              <w:t>经调查，</w:t>
            </w:r>
            <w:r>
              <w:rPr>
                <w:rFonts w:hint="eastAsia" w:ascii="Times New Roman" w:hAnsi="Times New Roman" w:eastAsia="宋体" w:cs="Times New Roman"/>
                <w:sz w:val="21"/>
                <w:szCs w:val="21"/>
                <w:lang w:val="en-US" w:eastAsia="zh-CN"/>
              </w:rPr>
              <w:t>已建立健全环境管理制度，加强企业内部环保设施运行管理和操作人员的培训，不断提高其管理和实际运行操作能力，确保各类污染物处理设施安全稳定运行和各项污染物长期稳定达标排放。</w:t>
            </w:r>
            <w:r>
              <w:rPr>
                <w:rFonts w:hint="eastAsia" w:cs="Times New Roman"/>
                <w:sz w:val="21"/>
                <w:szCs w:val="21"/>
                <w:lang w:val="en-US" w:eastAsia="zh-CN"/>
              </w:rPr>
              <w:t>已</w:t>
            </w:r>
            <w:r>
              <w:rPr>
                <w:rFonts w:hint="eastAsia" w:ascii="Times New Roman" w:hAnsi="Times New Roman" w:eastAsia="宋体" w:cs="Times New Roman"/>
                <w:sz w:val="21"/>
                <w:szCs w:val="21"/>
                <w:lang w:val="en-US" w:eastAsia="zh-CN"/>
              </w:rPr>
              <w:t>加强环保宣传教育，制定环保管理制度，设置环保宣传栏；</w:t>
            </w:r>
            <w:r>
              <w:rPr>
                <w:rFonts w:hint="eastAsia" w:cs="Times New Roman"/>
                <w:sz w:val="21"/>
                <w:szCs w:val="21"/>
                <w:lang w:val="en-US" w:eastAsia="zh-CN"/>
              </w:rPr>
              <w:t>并</w:t>
            </w:r>
            <w:r>
              <w:rPr>
                <w:rFonts w:hint="eastAsia" w:ascii="Times New Roman" w:hAnsi="Times New Roman" w:eastAsia="宋体" w:cs="Times New Roman"/>
                <w:sz w:val="21"/>
                <w:szCs w:val="21"/>
                <w:lang w:val="en-US" w:eastAsia="zh-CN"/>
              </w:rPr>
              <w:t>按有关要求规范设置环保图形标志、环保治理设施标示牌。</w:t>
            </w:r>
            <w:r>
              <w:rPr>
                <w:rFonts w:hint="eastAsia" w:cs="Times New Roman"/>
                <w:sz w:val="21"/>
                <w:szCs w:val="21"/>
                <w:lang w:val="en-US" w:eastAsia="zh-CN"/>
              </w:rPr>
              <w:t>已</w:t>
            </w:r>
            <w:r>
              <w:rPr>
                <w:rFonts w:hint="eastAsia" w:ascii="Times New Roman" w:hAnsi="Times New Roman" w:eastAsia="宋体" w:cs="Times New Roman"/>
                <w:sz w:val="21"/>
                <w:szCs w:val="21"/>
                <w:lang w:val="en-US" w:eastAsia="zh-CN"/>
              </w:rPr>
              <w:t>落实报告表提出的环境管理及监测计划</w:t>
            </w:r>
          </w:p>
        </w:tc>
        <w:tc>
          <w:tcPr>
            <w:tcW w:w="492" w:type="pct"/>
            <w:tcBorders>
              <w:top w:val="single" w:color="auto" w:sz="4" w:space="0"/>
              <w:bottom w:val="single" w:color="auto" w:sz="4" w:space="0"/>
              <w:right w:val="single" w:color="auto" w:sz="4" w:space="0"/>
              <w:tl2br w:val="nil"/>
              <w:tr2bl w:val="nil"/>
            </w:tcBorders>
            <w:vAlign w:val="center"/>
          </w:tcPr>
          <w:p>
            <w:pPr>
              <w:pStyle w:val="2"/>
              <w:ind w:left="0" w:leftChars="0" w:firstLine="0" w:firstLineChars="0"/>
              <w:jc w:val="center"/>
              <w:rPr>
                <w:rFonts w:hint="eastAsia" w:cs="Times New Roman" w:eastAsiaTheme="majorEastAsia"/>
                <w:bCs/>
                <w:kern w:val="0"/>
                <w:sz w:val="21"/>
                <w:szCs w:val="21"/>
                <w:lang w:val="en-US" w:eastAsia="zh-CN" w:bidi="ar-SA"/>
              </w:rPr>
            </w:pPr>
            <w:r>
              <w:rPr>
                <w:rFonts w:hint="eastAsia" w:cs="Times New Roman" w:eastAsiaTheme="majorEastAsia"/>
                <w:bCs/>
                <w:kern w:val="0"/>
                <w:sz w:val="21"/>
                <w:szCs w:val="21"/>
                <w:lang w:val="en-US" w:eastAsia="zh-CN" w:bidi="ar-SA"/>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 w:type="pct"/>
            <w:tcBorders>
              <w:top w:val="single" w:color="auto" w:sz="4" w:space="0"/>
              <w:left w:val="single" w:color="auto" w:sz="4" w:space="0"/>
              <w:bottom w:val="single" w:color="auto" w:sz="4" w:space="0"/>
              <w:tl2br w:val="nil"/>
              <w:tr2bl w:val="nil"/>
            </w:tcBorders>
            <w:vAlign w:val="center"/>
          </w:tcPr>
          <w:p>
            <w:pPr>
              <w:pStyle w:val="89"/>
              <w:widowControl w:val="0"/>
              <w:numPr>
                <w:ilvl w:val="0"/>
                <w:numId w:val="7"/>
              </w:numPr>
              <w:adjustRightInd w:val="0"/>
              <w:snapToGrid w:val="0"/>
              <w:spacing w:line="240" w:lineRule="auto"/>
              <w:ind w:firstLineChars="0"/>
              <w:jc w:val="center"/>
              <w:rPr>
                <w:rFonts w:cs="Times New Roman"/>
                <w:sz w:val="21"/>
                <w:szCs w:val="21"/>
              </w:rPr>
            </w:pPr>
          </w:p>
        </w:tc>
        <w:tc>
          <w:tcPr>
            <w:tcW w:w="2174" w:type="pct"/>
            <w:tcBorders>
              <w:top w:val="single" w:color="auto" w:sz="4" w:space="0"/>
              <w:bottom w:val="single" w:color="auto" w:sz="4" w:space="0"/>
              <w:tl2br w:val="nil"/>
              <w:tr2bl w:val="nil"/>
            </w:tcBorders>
            <w:vAlign w:val="center"/>
          </w:tcPr>
          <w:p>
            <w:pPr>
              <w:widowControl w:val="0"/>
              <w:adjustRightInd w:val="0"/>
              <w:snapToGrid w:val="0"/>
              <w:ind w:firstLine="42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该项目若遇规划布局调整，须无条件停产并按规划要求进行搬迁。若遇环境信访或污染事件，经查实须立即停产整治。若该项目的性质、规模、地点、采用的生产工艺或者防治污染、防止生态破坏的措施发生重大变动的，须重新向生态环境部门报批环境影响评价文件。环保设施的安装及改造，须符合安全方面的有关要求。</w:t>
            </w:r>
          </w:p>
        </w:tc>
        <w:tc>
          <w:tcPr>
            <w:tcW w:w="2105" w:type="pct"/>
            <w:tcBorders>
              <w:top w:val="single" w:color="auto" w:sz="4" w:space="0"/>
              <w:bottom w:val="single" w:color="auto" w:sz="4" w:space="0"/>
              <w:tl2br w:val="nil"/>
              <w:tr2bl w:val="nil"/>
            </w:tcBorders>
            <w:vAlign w:val="center"/>
          </w:tcPr>
          <w:p>
            <w:pPr>
              <w:widowControl w:val="0"/>
              <w:adjustRightInd w:val="0"/>
              <w:snapToGrid w:val="0"/>
              <w:ind w:firstLine="420"/>
              <w:rPr>
                <w:rFonts w:hint="eastAsia" w:ascii="Times New Roman" w:hAnsi="Times New Roman" w:eastAsia="宋体" w:cs="Times New Roman"/>
                <w:sz w:val="21"/>
                <w:szCs w:val="21"/>
                <w:lang w:val="en-US" w:eastAsia="zh-CN"/>
              </w:rPr>
            </w:pPr>
            <w:r>
              <w:rPr>
                <w:rFonts w:hint="eastAsia" w:cs="Times New Roman"/>
                <w:sz w:val="21"/>
                <w:szCs w:val="21"/>
                <w:lang w:val="en-US" w:eastAsia="zh-CN"/>
              </w:rPr>
              <w:t>经调查，</w:t>
            </w:r>
            <w:r>
              <w:rPr>
                <w:rFonts w:hint="eastAsia" w:ascii="Times New Roman" w:hAnsi="Times New Roman" w:eastAsia="宋体" w:cs="Times New Roman"/>
                <w:sz w:val="21"/>
                <w:szCs w:val="21"/>
                <w:lang w:val="en-US" w:eastAsia="zh-CN"/>
              </w:rPr>
              <w:t>企业若遇规划布局调整，</w:t>
            </w:r>
            <w:r>
              <w:rPr>
                <w:rFonts w:hint="eastAsia" w:cs="Times New Roman"/>
                <w:sz w:val="21"/>
                <w:szCs w:val="21"/>
                <w:lang w:val="en-US" w:eastAsia="zh-CN"/>
              </w:rPr>
              <w:t>能</w:t>
            </w:r>
            <w:r>
              <w:rPr>
                <w:rFonts w:hint="eastAsia" w:ascii="Times New Roman" w:hAnsi="Times New Roman" w:eastAsia="宋体" w:cs="Times New Roman"/>
                <w:sz w:val="21"/>
                <w:szCs w:val="21"/>
                <w:lang w:val="en-US" w:eastAsia="zh-CN"/>
              </w:rPr>
              <w:t>做到无条件停产并按规划要求进行搬迁。若遇环境信访或污染事件，经查实立即停产整治。若该项目的性质、规模、地点、采用的生产工艺或者防治污染、防止生态破坏的措施发生重大变动的，须重新向生态环境部门报批环境影响评价文件。环保设施的安装及改造，须符合安全方面的有关要求。</w:t>
            </w:r>
          </w:p>
        </w:tc>
        <w:tc>
          <w:tcPr>
            <w:tcW w:w="492" w:type="pct"/>
            <w:tcBorders>
              <w:top w:val="single" w:color="auto" w:sz="4" w:space="0"/>
              <w:bottom w:val="single" w:color="auto" w:sz="4" w:space="0"/>
              <w:right w:val="single" w:color="auto" w:sz="4" w:space="0"/>
              <w:tl2br w:val="nil"/>
              <w:tr2bl w:val="nil"/>
            </w:tcBorders>
            <w:vAlign w:val="center"/>
          </w:tcPr>
          <w:p>
            <w:pPr>
              <w:pStyle w:val="2"/>
              <w:ind w:left="0" w:leftChars="0" w:firstLine="0" w:firstLineChars="0"/>
              <w:jc w:val="center"/>
              <w:rPr>
                <w:rFonts w:hint="eastAsia" w:cs="Times New Roman" w:eastAsiaTheme="majorEastAsia"/>
                <w:bCs/>
                <w:kern w:val="0"/>
                <w:sz w:val="21"/>
                <w:szCs w:val="21"/>
                <w:lang w:val="en-US" w:eastAsia="zh-CN" w:bidi="ar-SA"/>
              </w:rPr>
            </w:pPr>
            <w:r>
              <w:rPr>
                <w:rFonts w:hint="eastAsia" w:cs="Times New Roman" w:eastAsiaTheme="majorEastAsia"/>
                <w:bCs/>
                <w:kern w:val="0"/>
                <w:sz w:val="21"/>
                <w:szCs w:val="21"/>
                <w:lang w:val="en-US" w:eastAsia="zh-CN" w:bidi="ar-SA"/>
              </w:rPr>
              <w:t>已落实</w:t>
            </w:r>
          </w:p>
        </w:tc>
      </w:tr>
    </w:tbl>
    <w:p>
      <w:pPr>
        <w:widowControl w:val="0"/>
        <w:ind w:firstLine="480"/>
        <w:rPr>
          <w:rFonts w:cs="Times New Roman" w:eastAsiaTheme="minorEastAsia"/>
        </w:rPr>
        <w:sectPr>
          <w:pgSz w:w="16838" w:h="11906" w:orient="landscape"/>
          <w:pgMar w:top="1800" w:right="1440" w:bottom="1800" w:left="1440" w:header="851" w:footer="992" w:gutter="0"/>
          <w:cols w:space="425" w:num="1"/>
          <w:docGrid w:type="lines" w:linePitch="326" w:charSpace="0"/>
        </w:sectPr>
      </w:pPr>
    </w:p>
    <w:p>
      <w:pPr>
        <w:pStyle w:val="7"/>
        <w:widowControl w:val="0"/>
        <w:jc w:val="center"/>
        <w:rPr>
          <w:rFonts w:cs="Times New Roman" w:eastAsiaTheme="minorEastAsia"/>
          <w:szCs w:val="32"/>
        </w:rPr>
      </w:pPr>
      <w:bookmarkStart w:id="128" w:name="_Toc31760"/>
      <w:bookmarkStart w:id="129" w:name="_Toc23952_WPSOffice_Level1"/>
      <w:bookmarkStart w:id="130" w:name="_Toc24046"/>
      <w:r>
        <w:rPr>
          <w:rFonts w:cs="Times New Roman" w:eastAsiaTheme="minorEastAsia"/>
          <w:szCs w:val="32"/>
        </w:rPr>
        <w:t xml:space="preserve">  </w:t>
      </w:r>
      <w:bookmarkStart w:id="131" w:name="_Toc80224144"/>
      <w:r>
        <w:rPr>
          <w:rFonts w:cs="Times New Roman" w:eastAsiaTheme="minorEastAsia"/>
          <w:szCs w:val="32"/>
        </w:rPr>
        <w:t>结论与建议</w:t>
      </w:r>
      <w:bookmarkEnd w:id="128"/>
      <w:bookmarkEnd w:id="129"/>
      <w:bookmarkEnd w:id="130"/>
      <w:bookmarkEnd w:id="131"/>
    </w:p>
    <w:p>
      <w:pPr>
        <w:pStyle w:val="8"/>
        <w:widowControl w:val="0"/>
        <w:rPr>
          <w:rFonts w:cs="Times New Roman" w:eastAsiaTheme="minorEastAsia"/>
        </w:rPr>
      </w:pPr>
      <w:bookmarkStart w:id="132" w:name="_Toc1997"/>
      <w:bookmarkStart w:id="133" w:name="_Toc135_WPSOffice_Level2"/>
      <w:r>
        <w:rPr>
          <w:rFonts w:cs="Times New Roman" w:eastAsiaTheme="minorEastAsia"/>
        </w:rPr>
        <w:t>工程基本情况</w:t>
      </w:r>
      <w:bookmarkEnd w:id="132"/>
      <w:bookmarkEnd w:id="133"/>
    </w:p>
    <w:p>
      <w:pPr>
        <w:widowControl w:val="0"/>
        <w:ind w:firstLine="560"/>
        <w:rPr>
          <w:rFonts w:cs="Times New Roman" w:eastAsiaTheme="minorEastAsia"/>
          <w:color w:val="FF0000"/>
          <w:sz w:val="28"/>
        </w:rPr>
      </w:pPr>
      <w:r>
        <w:rPr>
          <w:rFonts w:hint="eastAsia" w:cs="Times New Roman" w:eastAsiaTheme="minorEastAsia"/>
          <w:spacing w:val="-2"/>
          <w:lang w:eastAsia="zh-CN"/>
        </w:rPr>
        <w:t>山东民基新材料科技有限公司</w:t>
      </w:r>
      <w:r>
        <w:rPr>
          <w:rFonts w:hint="eastAsia" w:cs="Times New Roman" w:eastAsiaTheme="minorEastAsia"/>
          <w:spacing w:val="-2"/>
        </w:rPr>
        <w:t>，</w:t>
      </w:r>
      <w:r>
        <w:rPr>
          <w:rFonts w:hint="eastAsia" w:cs="Times New Roman" w:eastAsiaTheme="minorEastAsia"/>
          <w:spacing w:val="-2"/>
          <w:lang w:eastAsia="zh-CN"/>
        </w:rPr>
        <w:t>位于山东省淄博市张店东部化工区昌国东路227号</w:t>
      </w:r>
      <w:r>
        <w:rPr>
          <w:rFonts w:hint="eastAsia" w:cs="Times New Roman" w:eastAsiaTheme="minorEastAsia"/>
          <w:spacing w:val="-2"/>
        </w:rPr>
        <w:t>，</w:t>
      </w:r>
      <w:r>
        <w:rPr>
          <w:rFonts w:hint="eastAsia" w:cs="Times New Roman" w:eastAsiaTheme="minorEastAsia"/>
          <w:color w:val="auto"/>
          <w:spacing w:val="-2"/>
        </w:rPr>
        <w:t>建</w:t>
      </w:r>
      <w:r>
        <w:rPr>
          <w:rFonts w:hint="eastAsia" w:ascii="Times New Roman" w:hAnsi="Times New Roman" w:cs="Times New Roman" w:eastAsiaTheme="minorEastAsia"/>
          <w:color w:val="auto"/>
          <w:spacing w:val="-2"/>
          <w:lang w:eastAsia="zh-CN"/>
        </w:rPr>
        <w:t>设完成后年灌</w:t>
      </w:r>
      <w:r>
        <w:rPr>
          <w:rFonts w:hint="eastAsia" w:ascii="Times New Roman" w:hAnsi="Times New Roman" w:cs="Times New Roman" w:eastAsiaTheme="minorEastAsia"/>
          <w:spacing w:val="-2"/>
          <w:lang w:eastAsia="zh-CN"/>
        </w:rPr>
        <w:t>装氯代特戊酰氯10000吨、特戊酰氯1000吨。</w:t>
      </w:r>
    </w:p>
    <w:p>
      <w:pPr>
        <w:pStyle w:val="8"/>
        <w:widowControl w:val="0"/>
        <w:rPr>
          <w:rFonts w:cs="Times New Roman" w:eastAsiaTheme="minorEastAsia"/>
        </w:rPr>
      </w:pPr>
      <w:bookmarkStart w:id="134" w:name="_Toc27370"/>
      <w:bookmarkStart w:id="135" w:name="_Toc16598_WPSOffice_Level2"/>
      <w:r>
        <w:rPr>
          <w:rFonts w:cs="Times New Roman" w:eastAsiaTheme="minorEastAsia"/>
        </w:rPr>
        <w:t>环保执行情况</w:t>
      </w:r>
      <w:bookmarkEnd w:id="134"/>
      <w:bookmarkEnd w:id="135"/>
    </w:p>
    <w:p>
      <w:pPr>
        <w:widowControl w:val="0"/>
        <w:ind w:firstLine="472"/>
        <w:rPr>
          <w:rFonts w:cs="Times New Roman" w:eastAsiaTheme="minorEastAsia"/>
          <w:sz w:val="22"/>
        </w:rPr>
      </w:pPr>
      <w:bookmarkStart w:id="136" w:name="_Toc10583"/>
      <w:r>
        <w:rPr>
          <w:rFonts w:hint="eastAsia" w:cs="Times New Roman" w:eastAsiaTheme="minorEastAsia"/>
          <w:spacing w:val="-2"/>
          <w:lang w:eastAsia="zh-CN"/>
        </w:rPr>
        <w:t>2022年03月</w:t>
      </w:r>
      <w:r>
        <w:rPr>
          <w:rFonts w:cs="Times New Roman" w:eastAsiaTheme="minorEastAsia"/>
          <w:spacing w:val="-2"/>
        </w:rPr>
        <w:t>，</w:t>
      </w:r>
      <w:r>
        <w:rPr>
          <w:rFonts w:hint="eastAsia" w:cs="Times New Roman" w:eastAsiaTheme="minorEastAsia"/>
          <w:spacing w:val="-2"/>
          <w:lang w:eastAsia="zh-CN"/>
        </w:rPr>
        <w:t>山东民基新材料科技有限公司</w:t>
      </w:r>
      <w:r>
        <w:rPr>
          <w:rFonts w:cs="Times New Roman" w:eastAsiaTheme="minorEastAsia"/>
          <w:spacing w:val="-2"/>
        </w:rPr>
        <w:t>委托</w:t>
      </w:r>
      <w:r>
        <w:rPr>
          <w:rFonts w:hint="eastAsia" w:cs="Times New Roman" w:eastAsiaTheme="minorEastAsia"/>
          <w:spacing w:val="-2"/>
          <w:lang w:eastAsia="zh-CN"/>
        </w:rPr>
        <w:t>山东同济环境工程设计院有限公司</w:t>
      </w:r>
      <w:r>
        <w:rPr>
          <w:rFonts w:cs="Times New Roman" w:eastAsiaTheme="minorEastAsia"/>
          <w:spacing w:val="-2"/>
        </w:rPr>
        <w:t>编制了《</w:t>
      </w:r>
      <w:r>
        <w:rPr>
          <w:rFonts w:hint="eastAsia" w:cs="Times New Roman" w:eastAsiaTheme="minorEastAsia"/>
          <w:spacing w:val="-2"/>
          <w:lang w:eastAsia="zh-CN"/>
        </w:rPr>
        <w:t>山东民基新材料科技有限公司</w:t>
      </w:r>
      <w:r>
        <w:rPr>
          <w:rFonts w:hint="eastAsia" w:cs="Times New Roman" w:eastAsiaTheme="minorEastAsia"/>
          <w:lang w:eastAsia="zh-CN"/>
        </w:rPr>
        <w:t>灌装间提升技改项目</w:t>
      </w:r>
      <w:r>
        <w:rPr>
          <w:rFonts w:cs="Times New Roman" w:eastAsiaTheme="minorEastAsia"/>
        </w:rPr>
        <w:t>环境影响报告表</w:t>
      </w:r>
      <w:r>
        <w:rPr>
          <w:rFonts w:cs="Times New Roman" w:eastAsiaTheme="minorEastAsia"/>
          <w:spacing w:val="-2"/>
        </w:rPr>
        <w:t>》，并于</w:t>
      </w:r>
      <w:r>
        <w:rPr>
          <w:rFonts w:hint="eastAsia" w:cs="Times New Roman" w:eastAsiaTheme="minorEastAsia"/>
          <w:spacing w:val="-2"/>
          <w:lang w:eastAsia="zh-CN"/>
        </w:rPr>
        <w:t>2022年04月15日</w:t>
      </w:r>
      <w:r>
        <w:rPr>
          <w:rFonts w:cs="Times New Roman" w:eastAsiaTheme="minorEastAsia"/>
          <w:spacing w:val="-2"/>
        </w:rPr>
        <w:t>通过了</w:t>
      </w:r>
      <w:r>
        <w:rPr>
          <w:rFonts w:hint="eastAsia" w:cs="Times New Roman" w:eastAsiaTheme="minorEastAsia"/>
          <w:spacing w:val="-2"/>
          <w:lang w:eastAsia="zh-CN"/>
        </w:rPr>
        <w:t>淄博市生态环境局临淄分局</w:t>
      </w:r>
      <w:r>
        <w:rPr>
          <w:rFonts w:cs="Times New Roman" w:eastAsiaTheme="minorEastAsia"/>
          <w:spacing w:val="-2"/>
        </w:rPr>
        <w:t>审批，审批文号：</w:t>
      </w:r>
      <w:r>
        <w:rPr>
          <w:rFonts w:hint="eastAsia" w:cs="Times New Roman" w:eastAsiaTheme="minorEastAsia"/>
          <w:spacing w:val="-2"/>
          <w:lang w:eastAsia="zh-CN"/>
        </w:rPr>
        <w:t>临环审字[2022]016号</w:t>
      </w:r>
      <w:r>
        <w:rPr>
          <w:rFonts w:cs="Times New Roman" w:eastAsiaTheme="minorEastAsia"/>
          <w:spacing w:val="-2"/>
        </w:rPr>
        <w:t>。</w:t>
      </w:r>
    </w:p>
    <w:p>
      <w:pPr>
        <w:pStyle w:val="8"/>
        <w:widowControl w:val="0"/>
        <w:rPr>
          <w:rFonts w:cs="Times New Roman" w:eastAsiaTheme="minorEastAsia"/>
        </w:rPr>
      </w:pPr>
      <w:bookmarkStart w:id="137" w:name="_Toc27665_WPSOffice_Level2"/>
      <w:r>
        <w:rPr>
          <w:rFonts w:cs="Times New Roman" w:eastAsiaTheme="minorEastAsia"/>
        </w:rPr>
        <w:t>验收监测结论</w:t>
      </w:r>
      <w:bookmarkEnd w:id="136"/>
      <w:bookmarkEnd w:id="137"/>
    </w:p>
    <w:p>
      <w:pPr>
        <w:pStyle w:val="9"/>
        <w:rPr>
          <w:rFonts w:cs="Times New Roman" w:eastAsiaTheme="minorEastAsia"/>
        </w:rPr>
      </w:pPr>
      <w:bookmarkStart w:id="138" w:name="_Toc6402_WPSOffice_Level3"/>
      <w:bookmarkStart w:id="139" w:name="_Toc22775"/>
      <w:r>
        <w:rPr>
          <w:rFonts w:cs="Times New Roman" w:eastAsiaTheme="minorEastAsia"/>
        </w:rPr>
        <w:t>监测期间工况调查</w:t>
      </w:r>
      <w:bookmarkEnd w:id="138"/>
      <w:bookmarkEnd w:id="139"/>
    </w:p>
    <w:p>
      <w:pPr>
        <w:widowControl w:val="0"/>
        <w:ind w:firstLine="480"/>
        <w:rPr>
          <w:rFonts w:cs="Times New Roman" w:eastAsiaTheme="minorEastAsia"/>
        </w:rPr>
      </w:pPr>
      <w:r>
        <w:rPr>
          <w:rFonts w:cs="Times New Roman" w:eastAsiaTheme="minorEastAsia"/>
        </w:rPr>
        <w:t>验收监测期间项目生产装置运行负荷大于75%，满足竣工验收监测工况的要求。</w:t>
      </w:r>
    </w:p>
    <w:p>
      <w:pPr>
        <w:pStyle w:val="9"/>
        <w:rPr>
          <w:rFonts w:cs="Times New Roman" w:eastAsiaTheme="minorEastAsia"/>
        </w:rPr>
      </w:pPr>
      <w:bookmarkStart w:id="140" w:name="_Toc17719_WPSOffice_Level3"/>
      <w:bookmarkStart w:id="141" w:name="_Toc25295"/>
      <w:r>
        <w:rPr>
          <w:rFonts w:cs="Times New Roman" w:eastAsiaTheme="minorEastAsia"/>
        </w:rPr>
        <w:t>验收监测结论</w:t>
      </w:r>
      <w:bookmarkEnd w:id="140"/>
      <w:bookmarkEnd w:id="141"/>
    </w:p>
    <w:p>
      <w:pPr>
        <w:pStyle w:val="10"/>
        <w:rPr>
          <w:rFonts w:cs="Times New Roman" w:eastAsiaTheme="minorEastAsia"/>
        </w:rPr>
      </w:pPr>
      <w:r>
        <w:rPr>
          <w:rFonts w:cs="Times New Roman" w:eastAsiaTheme="minorEastAsia"/>
        </w:rPr>
        <w:t xml:space="preserve"> 废气</w:t>
      </w:r>
    </w:p>
    <w:p>
      <w:pPr>
        <w:widowControl w:val="0"/>
        <w:ind w:firstLine="480"/>
        <w:rPr>
          <w:rFonts w:cs="Times New Roman" w:eastAsiaTheme="minorEastAsia"/>
        </w:rPr>
      </w:pPr>
      <w:r>
        <w:rPr>
          <w:rFonts w:cs="Times New Roman" w:eastAsiaTheme="minorEastAsia"/>
        </w:rPr>
        <w:t>1.有组织废气</w:t>
      </w:r>
    </w:p>
    <w:p>
      <w:pPr>
        <w:keepNext w:val="0"/>
        <w:keepLines w:val="0"/>
        <w:pageBreakBefore w:val="0"/>
        <w:kinsoku/>
        <w:wordWrap/>
        <w:overflowPunct/>
        <w:topLinePunct w:val="0"/>
        <w:bidi w:val="0"/>
        <w:spacing w:after="0" w:line="490" w:lineRule="exact"/>
        <w:ind w:firstLine="480" w:firstLineChars="200"/>
        <w:textAlignment w:val="auto"/>
        <w:outlineLvl w:val="1"/>
        <w:rPr>
          <w:rFonts w:hint="eastAsia" w:ascii="Times New Roman" w:hAnsi="Times New Roman" w:eastAsia="宋体" w:cs="Times New Roman"/>
          <w:color w:val="auto"/>
        </w:rPr>
      </w:pPr>
      <w:r>
        <w:rPr>
          <w:rFonts w:hint="eastAsia" w:ascii="Times New Roman" w:hAnsi="Times New Roman" w:eastAsia="宋体" w:cs="Times New Roman"/>
          <w:color w:val="auto"/>
        </w:rPr>
        <w:t>灌装废气</w:t>
      </w:r>
      <w:r>
        <w:rPr>
          <w:rFonts w:hint="eastAsia" w:asciiTheme="minorEastAsia" w:hAnsiTheme="minorEastAsia" w:eastAsiaTheme="minorEastAsia" w:cstheme="minorEastAsia"/>
          <w:sz w:val="24"/>
          <w:szCs w:val="24"/>
          <w:lang w:val="en-US" w:eastAsia="zh-CN"/>
        </w:rPr>
        <w:t>经收集后进入公司</w:t>
      </w:r>
      <w:r>
        <w:rPr>
          <w:rFonts w:hint="eastAsia" w:ascii="Times New Roman" w:hAnsi="Times New Roman" w:eastAsia="宋体" w:cs="Times New Roman"/>
          <w:color w:val="auto"/>
          <w:lang w:val="en-US" w:eastAsia="zh-CN"/>
        </w:rPr>
        <w:t>原有RTO装置处理，处理后尾气经“急冷-碱洗”装置处理，通过1根25米排气简排放。</w:t>
      </w:r>
      <w:r>
        <w:rPr>
          <w:rFonts w:hint="eastAsia" w:ascii="Times New Roman" w:hAnsi="Times New Roman" w:eastAsia="宋体" w:cs="Times New Roman"/>
          <w:color w:val="auto"/>
        </w:rPr>
        <w:t>本项目VOCS</w:t>
      </w:r>
      <w:r>
        <w:rPr>
          <w:rFonts w:hint="eastAsia" w:ascii="Times New Roman" w:hAnsi="Times New Roman" w:eastAsia="宋体" w:cs="Times New Roman"/>
          <w:color w:val="auto"/>
        </w:rPr>
        <w:t>执行《挥发性有机物排放标准 第6部分：有机化工行业》(DB37/2801.6--2018)表1 中其他行业Ⅱ时段排放限值（VOCs：60mg/m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、3.0kg/h）；</w:t>
      </w:r>
      <w:r>
        <w:rPr>
          <w:rFonts w:hint="eastAsia" w:cs="Times New Roman"/>
          <w:color w:val="auto"/>
          <w:lang w:eastAsia="zh-CN"/>
        </w:rPr>
        <w:t>二噁英排放能够满足《挥发性有机物排放标准第 6 部分：有机化工行业》（DB37/2801.6-2019）表2废气中有机特征污染物及排放限值的要求</w:t>
      </w:r>
      <w:r>
        <w:rPr>
          <w:rFonts w:hint="eastAsia" w:ascii="Times New Roman" w:hAnsi="Times New Roman" w:eastAsia="宋体" w:cs="Times New Roman"/>
          <w:color w:val="auto"/>
        </w:rPr>
        <w:t>（</w:t>
      </w:r>
      <w:r>
        <w:rPr>
          <w:rFonts w:hint="eastAsia" w:cs="Times New Roman"/>
          <w:color w:val="auto"/>
          <w:lang w:eastAsia="zh-CN"/>
        </w:rPr>
        <w:t>二噁英</w:t>
      </w:r>
      <w:r>
        <w:rPr>
          <w:rFonts w:hint="eastAsia" w:ascii="Times New Roman" w:hAnsi="Times New Roman" w:eastAsia="宋体" w:cs="Times New Roman"/>
          <w:color w:val="auto"/>
        </w:rPr>
        <w:t>：0.1ng-TEQ/m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w:t>
      </w:r>
    </w:p>
    <w:p>
      <w:pPr>
        <w:widowControl w:val="0"/>
        <w:wordWrap w:val="0"/>
        <w:topLinePunct/>
        <w:ind w:firstLine="480"/>
        <w:rPr>
          <w:rFonts w:hint="eastAsia" w:ascii="Times New Roman" w:hAnsi="Times New Roman" w:cs="Times New Roman" w:eastAsiaTheme="minorEastAsia"/>
          <w:lang w:eastAsia="zh-CN"/>
        </w:rPr>
      </w:pPr>
      <w:r>
        <w:rPr>
          <w:rFonts w:hint="default" w:ascii="Times New Roman" w:hAnsi="Times New Roman" w:cs="Times New Roman" w:eastAsiaTheme="minorEastAsia"/>
        </w:rPr>
        <w:t>验收监测期间，</w:t>
      </w:r>
      <w:r>
        <w:rPr>
          <w:rFonts w:hint="default" w:ascii="Times New Roman" w:hAnsi="Times New Roman" w:cs="Times New Roman" w:eastAsiaTheme="minorEastAsia"/>
          <w:lang w:val="en-US" w:eastAsia="zh-CN"/>
        </w:rPr>
        <w:t>RTO尾气</w:t>
      </w:r>
      <w:r>
        <w:rPr>
          <w:rFonts w:hint="default" w:ascii="Times New Roman" w:hAnsi="Times New Roman" w:cs="Times New Roman" w:eastAsiaTheme="minorEastAsia"/>
        </w:rPr>
        <w:t>排气筒</w:t>
      </w:r>
      <w:r>
        <w:rPr>
          <w:rFonts w:hint="default" w:ascii="Times New Roman" w:hAnsi="Times New Roman" w:cs="Times New Roman" w:eastAsiaTheme="minorEastAsia"/>
          <w:lang w:eastAsia="zh-CN"/>
        </w:rPr>
        <w:t>出</w:t>
      </w:r>
      <w:r>
        <w:rPr>
          <w:rFonts w:hint="default" w:ascii="Times New Roman" w:hAnsi="Times New Roman" w:cs="Times New Roman" w:eastAsiaTheme="minorEastAsia"/>
        </w:rPr>
        <w:t>口有组织</w:t>
      </w:r>
      <w:r>
        <w:rPr>
          <w:rFonts w:hint="eastAsia" w:ascii="Times New Roman" w:hAnsi="Times New Roman" w:cs="Times New Roman" w:eastAsiaTheme="minorEastAsia"/>
          <w:lang w:val="en-US" w:eastAsia="zh-CN"/>
        </w:rPr>
        <w:t>VOC</w:t>
      </w:r>
      <w:r>
        <w:rPr>
          <w:rFonts w:hint="eastAsia" w:ascii="Times New Roman" w:hAnsi="Times New Roman" w:cs="Times New Roman" w:eastAsiaTheme="minorEastAsia"/>
          <w:vertAlign w:val="subscript"/>
          <w:lang w:val="en-US" w:eastAsia="zh-CN"/>
        </w:rPr>
        <w:t>S</w:t>
      </w:r>
      <w:r>
        <w:rPr>
          <w:rFonts w:hint="eastAsia" w:ascii="Times New Roman" w:hAnsi="Times New Roman" w:cs="Times New Roman" w:eastAsiaTheme="minorEastAsia"/>
          <w:lang w:val="en-US" w:eastAsia="zh-CN"/>
        </w:rPr>
        <w:t>两</w:t>
      </w:r>
      <w:r>
        <w:rPr>
          <w:rFonts w:cs="Times New Roman" w:eastAsiaTheme="minorEastAsia"/>
        </w:rPr>
        <w:t>天测得</w:t>
      </w:r>
      <w:r>
        <w:rPr>
          <w:rFonts w:hint="eastAsia" w:cs="Times New Roman" w:eastAsiaTheme="minorEastAsia"/>
          <w:lang w:eastAsia="zh-CN"/>
        </w:rPr>
        <w:t>最大排放浓度为9.52mg/m³，最大排放速率为5.4×10</w:t>
      </w:r>
      <w:r>
        <w:rPr>
          <w:rFonts w:hint="eastAsia" w:cs="Times New Roman" w:eastAsiaTheme="minorEastAsia"/>
          <w:vertAlign w:val="superscript"/>
          <w:lang w:eastAsia="zh-CN"/>
        </w:rPr>
        <w:t>-2</w:t>
      </w:r>
      <w:r>
        <w:rPr>
          <w:rFonts w:hint="eastAsia" w:cs="Times New Roman" w:eastAsiaTheme="minorEastAsia"/>
          <w:lang w:eastAsia="zh-CN"/>
        </w:rPr>
        <w:t>kg/h</w:t>
      </w:r>
      <w:r>
        <w:rPr>
          <w:rFonts w:hint="eastAsia" w:cs="Times New Roman" w:eastAsiaTheme="minorEastAsia"/>
          <w:lang w:val="en-US" w:eastAsia="zh-CN"/>
        </w:rPr>
        <w:t>,</w:t>
      </w:r>
      <w:r>
        <w:rPr>
          <w:rFonts w:hint="default" w:ascii="Times New Roman" w:hAnsi="Times New Roman" w:cs="Times New Roman" w:eastAsiaTheme="minorEastAsia"/>
          <w:lang w:val="en-US" w:eastAsia="zh-CN"/>
        </w:rPr>
        <w:t>RTO尾气</w:t>
      </w:r>
      <w:r>
        <w:rPr>
          <w:rFonts w:hint="default" w:ascii="Times New Roman" w:hAnsi="Times New Roman" w:cs="Times New Roman" w:eastAsiaTheme="minorEastAsia"/>
        </w:rPr>
        <w:t>排气筒</w:t>
      </w:r>
      <w:r>
        <w:rPr>
          <w:rFonts w:hint="default" w:ascii="Times New Roman" w:hAnsi="Times New Roman" w:cs="Times New Roman" w:eastAsiaTheme="minorEastAsia"/>
          <w:lang w:eastAsia="zh-CN"/>
        </w:rPr>
        <w:t>出</w:t>
      </w:r>
      <w:r>
        <w:rPr>
          <w:rFonts w:hint="default" w:ascii="Times New Roman" w:hAnsi="Times New Roman" w:cs="Times New Roman" w:eastAsiaTheme="minorEastAsia"/>
        </w:rPr>
        <w:t>口有组织</w:t>
      </w:r>
      <w:r>
        <w:rPr>
          <w:rFonts w:hint="eastAsia" w:cs="Times New Roman" w:eastAsiaTheme="minorEastAsia"/>
          <w:lang w:eastAsia="zh-CN"/>
        </w:rPr>
        <w:t>二噁英</w:t>
      </w:r>
      <w:r>
        <w:rPr>
          <w:rFonts w:hint="default" w:ascii="Times New Roman" w:hAnsi="Times New Roman" w:cs="Times New Roman" w:eastAsiaTheme="minorEastAsia"/>
        </w:rPr>
        <w:t>两天测得最大排放浓度</w:t>
      </w:r>
      <w:r>
        <w:rPr>
          <w:rFonts w:hint="eastAsia" w:cs="Times New Roman" w:eastAsiaTheme="minorEastAsia"/>
          <w:lang w:eastAsia="zh-CN"/>
        </w:rPr>
        <w:t>为</w:t>
      </w:r>
      <w:r>
        <w:rPr>
          <w:rFonts w:hint="eastAsia" w:cs="Times New Roman" w:eastAsiaTheme="minorEastAsia"/>
          <w:lang w:val="en-US" w:eastAsia="zh-CN"/>
        </w:rPr>
        <w:t>0.00</w:t>
      </w:r>
      <w:r>
        <w:rPr>
          <w:rFonts w:hint="eastAsia" w:ascii="Times New Roman" w:hAnsi="Times New Roman" w:cs="Times New Roman" w:eastAsiaTheme="minorEastAsia"/>
          <w:lang w:val="en-US" w:eastAsia="zh-CN"/>
        </w:rPr>
        <w:t>57</w:t>
      </w:r>
      <w:r>
        <w:rPr>
          <w:rFonts w:hint="eastAsia" w:ascii="Times New Roman" w:hAnsi="Times New Roman" w:eastAsia="宋体" w:cs="Times New Roman"/>
          <w:sz w:val="24"/>
          <w:szCs w:val="24"/>
          <w:lang w:val="en-US" w:eastAsia="zh-CN"/>
        </w:rPr>
        <w:t>n</w:t>
      </w:r>
      <w:r>
        <w:rPr>
          <w:rFonts w:hint="default" w:ascii="Times New Roman" w:hAnsi="Times New Roman" w:eastAsia="宋体" w:cs="Times New Roman"/>
          <w:sz w:val="24"/>
          <w:szCs w:val="24"/>
        </w:rPr>
        <w:t>g</w:t>
      </w:r>
      <w:r>
        <w:rPr>
          <w:rFonts w:hint="eastAsia" w:ascii="Times New Roman" w:hAnsi="Times New Roman" w:eastAsia="宋体" w:cs="Times New Roman"/>
          <w:sz w:val="24"/>
          <w:szCs w:val="24"/>
          <w:lang w:val="en-US" w:eastAsia="zh-CN"/>
        </w:rPr>
        <w:t>-TEQ</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满足《挥发性有机物排放标准 第6部分：有机化工行业》(DB37/2801.6--2018)表1 中其他行业Ⅱ时段排放限值</w:t>
      </w:r>
      <w:r>
        <w:rPr>
          <w:rFonts w:hint="eastAsia" w:cs="Times New Roman" w:eastAsiaTheme="minorEastAsia"/>
          <w:lang w:eastAsia="zh-CN"/>
        </w:rPr>
        <w:t>的要求</w:t>
      </w:r>
      <w:r>
        <w:rPr>
          <w:rFonts w:hint="default" w:ascii="Times New Roman" w:hAnsi="Times New Roman" w:cs="Times New Roman" w:eastAsiaTheme="minorEastAsia"/>
        </w:rPr>
        <w:t>（VOCs：60mg/m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、3.0kg/h）</w:t>
      </w:r>
      <w:r>
        <w:rPr>
          <w:rFonts w:hint="eastAsia" w:cs="Times New Roman" w:eastAsiaTheme="minorEastAsia"/>
          <w:lang w:eastAsia="zh-CN"/>
        </w:rPr>
        <w:t>及《挥发性有机物排放标准第 6 部分：有机化工行业》（DB37/2801.6-2019）表2废气中有机特征污染物及排放限值的要求（二噁英：0.1ng-TEQ/m</w:t>
      </w:r>
      <w:r>
        <w:rPr>
          <w:rFonts w:hint="eastAsia" w:cs="Times New Roman" w:eastAsiaTheme="minorEastAsia"/>
          <w:vertAlign w:val="superscript"/>
          <w:lang w:eastAsia="zh-CN"/>
        </w:rPr>
        <w:t>3</w:t>
      </w:r>
      <w:r>
        <w:rPr>
          <w:rFonts w:hint="eastAsia" w:cs="Times New Roman" w:eastAsiaTheme="minorEastAsia"/>
          <w:lang w:eastAsia="zh-CN"/>
        </w:rPr>
        <w:t>）。</w:t>
      </w:r>
    </w:p>
    <w:p>
      <w:pPr>
        <w:widowControl w:val="0"/>
        <w:ind w:firstLine="480"/>
        <w:rPr>
          <w:rFonts w:cs="Times New Roman" w:eastAsiaTheme="minorEastAsia"/>
        </w:rPr>
      </w:pPr>
      <w:r>
        <w:rPr>
          <w:rFonts w:hint="eastAsia" w:cs="Times New Roman" w:eastAsiaTheme="minorEastAsia"/>
        </w:rPr>
        <w:t>2.</w:t>
      </w:r>
      <w:r>
        <w:rPr>
          <w:rFonts w:cs="Times New Roman" w:eastAsiaTheme="minorEastAsia"/>
        </w:rPr>
        <w:t>无组织废气</w:t>
      </w:r>
    </w:p>
    <w:p>
      <w:pPr>
        <w:ind w:firstLine="480"/>
        <w:rPr>
          <w:rFonts w:hint="eastAsia" w:ascii="Times New Roman" w:hAnsi="Times New Roman" w:cs="Times New Roman" w:eastAsiaTheme="minorEastAsia"/>
        </w:rPr>
      </w:pPr>
      <w:r>
        <w:rPr>
          <w:rFonts w:hint="eastAsia" w:ascii="Times New Roman" w:hAnsi="Times New Roman" w:cs="Times New Roman" w:eastAsiaTheme="minorEastAsia"/>
        </w:rPr>
        <w:t>少量未被收集的废气在密闭车间内无组织扩散。项目无组织废气执行《挥发性有机物排放标准 第6部分：有机化工行业》(DB37/2801.6--2018)表3厂界监控点浓度限值(2.0mg/m</w:t>
      </w:r>
      <w:r>
        <w:rPr>
          <w:rFonts w:hint="eastAsia" w:ascii="Times New Roman" w:hAnsi="Times New Roman" w:cs="Times New Roman" w:eastAsiaTheme="minorEastAsia"/>
          <w:vertAlign w:val="superscript"/>
        </w:rPr>
        <w:t>3)</w:t>
      </w:r>
      <w:r>
        <w:rPr>
          <w:rFonts w:hint="eastAsia" w:ascii="Times New Roman" w:hAnsi="Times New Roman" w:cs="Times New Roman" w:eastAsiaTheme="minorEastAsia"/>
        </w:rPr>
        <w:t>。</w:t>
      </w:r>
    </w:p>
    <w:p>
      <w:pPr>
        <w:ind w:firstLine="480"/>
        <w:rPr>
          <w:rFonts w:ascii="Times New Roman" w:hAnsi="Times New Roman" w:cs="Times New Roman" w:eastAsiaTheme="minorEastAsia"/>
        </w:rPr>
      </w:pPr>
      <w:r>
        <w:rPr>
          <w:rFonts w:hint="eastAsia" w:ascii="Times New Roman" w:hAnsi="Times New Roman" w:cs="Times New Roman" w:eastAsiaTheme="minorEastAsia"/>
        </w:rPr>
        <w:t>验收监测期间，厂界无组织VOC</w:t>
      </w:r>
      <w:r>
        <w:rPr>
          <w:rFonts w:hint="eastAsia" w:ascii="Times New Roman" w:hAnsi="Times New Roman" w:cs="Times New Roman" w:eastAsiaTheme="minorEastAsia"/>
          <w:vertAlign w:val="subscript"/>
        </w:rPr>
        <w:t>S</w:t>
      </w:r>
      <w:r>
        <w:rPr>
          <w:rFonts w:hint="eastAsia" w:ascii="Times New Roman" w:hAnsi="Times New Roman" w:cs="Times New Roman" w:eastAsiaTheme="minorEastAsia"/>
        </w:rPr>
        <w:t>两天测得最大排放浓度为1.74mg/m</w:t>
      </w:r>
      <w:r>
        <w:rPr>
          <w:rFonts w:hint="default" w:ascii="Times New Roman" w:hAnsi="Times New Roman" w:cs="Times New Roman" w:eastAsiaTheme="minorEastAsia"/>
        </w:rPr>
        <w:t>³</w:t>
      </w:r>
      <w:r>
        <w:rPr>
          <w:rFonts w:hint="eastAsia" w:ascii="Times New Roman" w:hAnsi="Times New Roman" w:cs="Times New Roman" w:eastAsiaTheme="minorEastAsia"/>
        </w:rPr>
        <w:t>，满足《挥发性有机物排放标准 第6部分：有机化工行业》(DB37/2801.6--2018)表3厂界监控点浓度限值(2.0mg/m</w:t>
      </w:r>
      <w:r>
        <w:rPr>
          <w:rFonts w:hint="eastAsia" w:ascii="Times New Roman" w:hAnsi="Times New Roman" w:cs="Times New Roman" w:eastAsiaTheme="minorEastAsia"/>
          <w:vertAlign w:val="superscript"/>
        </w:rPr>
        <w:t>3</w:t>
      </w:r>
      <w:r>
        <w:rPr>
          <w:rFonts w:hint="eastAsia" w:ascii="Times New Roman" w:hAnsi="Times New Roman" w:cs="Times New Roman" w:eastAsiaTheme="minorEastAsia"/>
        </w:rPr>
        <w:t>)。</w:t>
      </w:r>
    </w:p>
    <w:p>
      <w:pPr>
        <w:pStyle w:val="10"/>
        <w:rPr>
          <w:rFonts w:cs="Times New Roman" w:eastAsiaTheme="minorEastAsia"/>
        </w:rPr>
      </w:pPr>
      <w:r>
        <w:rPr>
          <w:rFonts w:cs="Times New Roman" w:eastAsiaTheme="minorEastAsia"/>
        </w:rPr>
        <w:t>噪声</w:t>
      </w:r>
    </w:p>
    <w:p>
      <w:pPr>
        <w:pStyle w:val="2"/>
        <w:ind w:left="0" w:leftChars="0" w:firstLine="480"/>
        <w:rPr>
          <w:rFonts w:ascii="Times New Roman" w:hAnsi="Times New Roman" w:cs="Times New Roman" w:eastAsiaTheme="minorEastAsia"/>
          <w:color w:val="auto"/>
        </w:rPr>
      </w:pPr>
      <w:r>
        <w:rPr>
          <w:rFonts w:hint="eastAsia" w:ascii="Times New Roman" w:hAnsi="Times New Roman" w:cs="Times New Roman" w:eastAsiaTheme="minorEastAsia"/>
          <w:color w:val="auto"/>
        </w:rPr>
        <w:t>验收监测期间，两天测得的厂界昼间最大值为58.4dB（A），满足《工业企业厂界环境噪声排放标准》（GB12348-2008）中2类标准限值：昼间60dB（A）</w:t>
      </w:r>
      <w:r>
        <w:rPr>
          <w:rFonts w:hint="eastAsia" w:cs="Times New Roman" w:eastAsiaTheme="minorEastAsia"/>
          <w:color w:val="auto"/>
          <w:lang w:eastAsia="zh-CN"/>
        </w:rPr>
        <w:t>的</w:t>
      </w:r>
      <w:r>
        <w:rPr>
          <w:rFonts w:hint="eastAsia" w:ascii="Times New Roman" w:hAnsi="Times New Roman" w:cs="Times New Roman" w:eastAsiaTheme="minorEastAsia"/>
          <w:color w:val="auto"/>
        </w:rPr>
        <w:t>要求。</w:t>
      </w:r>
    </w:p>
    <w:p>
      <w:pPr>
        <w:pStyle w:val="10"/>
        <w:rPr>
          <w:rFonts w:cs="Times New Roman" w:eastAsiaTheme="minorEastAsia"/>
        </w:rPr>
      </w:pPr>
      <w:r>
        <w:rPr>
          <w:rFonts w:cs="Times New Roman" w:eastAsiaTheme="minorEastAsia"/>
        </w:rPr>
        <w:t xml:space="preserve"> 固体废物</w:t>
      </w:r>
    </w:p>
    <w:p>
      <w:pPr>
        <w:ind w:firstLine="480"/>
        <w:rPr>
          <w:rFonts w:cs="Times New Roman" w:eastAsiaTheme="minorEastAsia"/>
        </w:rPr>
      </w:pPr>
      <w:bookmarkStart w:id="142" w:name="_Toc17050_WPSOffice_Level3"/>
      <w:bookmarkStart w:id="143" w:name="_Toc11981"/>
      <w:r>
        <w:rPr>
          <w:rFonts w:cs="Times New Roman" w:eastAsiaTheme="minorEastAsia"/>
        </w:rPr>
        <w:t>本项目</w:t>
      </w:r>
      <w:r>
        <w:rPr>
          <w:rFonts w:hint="eastAsia" w:cs="Times New Roman" w:eastAsiaTheme="minorEastAsia"/>
          <w:lang w:eastAsia="zh-CN"/>
        </w:rPr>
        <w:t>不产生固废</w:t>
      </w:r>
      <w:r>
        <w:rPr>
          <w:rFonts w:cs="Times New Roman" w:eastAsiaTheme="minorEastAsia"/>
        </w:rPr>
        <w:t>。</w:t>
      </w:r>
    </w:p>
    <w:p>
      <w:pPr>
        <w:pStyle w:val="9"/>
        <w:rPr>
          <w:rFonts w:cs="Times New Roman" w:eastAsiaTheme="minorEastAsia"/>
          <w:sz w:val="24"/>
          <w:szCs w:val="24"/>
        </w:rPr>
      </w:pPr>
      <w:r>
        <w:rPr>
          <w:rFonts w:cs="Times New Roman" w:eastAsiaTheme="minorEastAsia"/>
          <w:sz w:val="24"/>
          <w:szCs w:val="24"/>
        </w:rPr>
        <w:t>环境风险落实情况</w:t>
      </w:r>
      <w:bookmarkEnd w:id="142"/>
      <w:bookmarkEnd w:id="143"/>
    </w:p>
    <w:p>
      <w:pPr>
        <w:widowControl w:val="0"/>
        <w:spacing w:line="480" w:lineRule="exact"/>
        <w:ind w:firstLine="480"/>
        <w:rPr>
          <w:rFonts w:cs="Times New Roman" w:eastAsiaTheme="minorEastAsia"/>
        </w:rPr>
      </w:pPr>
      <w:r>
        <w:rPr>
          <w:rFonts w:cs="Times New Roman" w:eastAsiaTheme="minorEastAsia"/>
        </w:rPr>
        <w:t>公司基本上落实了环评报告提出的环境风险防范措施，在发生污染事故时能及时、准确予以处置，可有效降低污染事故对周围环境的影响。</w:t>
      </w:r>
      <w:bookmarkStart w:id="144" w:name="_Toc13108"/>
      <w:bookmarkStart w:id="145" w:name="_Toc24278_WPSOffice_Level3"/>
    </w:p>
    <w:p>
      <w:pPr>
        <w:pStyle w:val="9"/>
        <w:rPr>
          <w:rFonts w:cs="Times New Roman" w:eastAsiaTheme="minorEastAsia"/>
          <w:sz w:val="24"/>
          <w:szCs w:val="24"/>
        </w:rPr>
      </w:pPr>
      <w:r>
        <w:rPr>
          <w:rFonts w:cs="Times New Roman" w:eastAsiaTheme="minorEastAsia"/>
          <w:sz w:val="24"/>
          <w:szCs w:val="24"/>
        </w:rPr>
        <w:t>总体结论</w:t>
      </w:r>
      <w:bookmarkEnd w:id="144"/>
      <w:bookmarkEnd w:id="145"/>
    </w:p>
    <w:p>
      <w:pPr>
        <w:widowControl w:val="0"/>
        <w:spacing w:line="480" w:lineRule="exact"/>
        <w:ind w:firstLine="480"/>
        <w:rPr>
          <w:rFonts w:ascii="Times New Roman" w:hAnsi="Times New Roman" w:cs="Times New Roman" w:eastAsiaTheme="minorEastAsia"/>
        </w:rPr>
      </w:pPr>
      <w:r>
        <w:rPr>
          <w:rFonts w:hint="eastAsia" w:ascii="Times New Roman" w:hAnsi="Times New Roman" w:cs="Times New Roman" w:eastAsiaTheme="minorEastAsia"/>
        </w:rPr>
        <w:t>项目建设地点位于张店东部化工区内，符合园区规划及规划环评的要求，符合国家及淄博市产业政策，选址基本合理，项目建设满足当地“三线一单”控制要求，采取的污染物治理设施可行有效，项目建设对周围环境的影响可以接受。项目运营后会对周围环境带来一定影响，通过采取相应有效、切实可行的污染防治措施，其影响完全可以得到有效的预防控制和减缓。因此，在建设单位认真落实报告表中所提出的各项污染防治措施，实现污染物达标排放的前提下，从环境保护角度分析，本项目的建设是可行的。</w:t>
      </w:r>
    </w:p>
    <w:p>
      <w:pPr>
        <w:pStyle w:val="8"/>
        <w:widowControl w:val="0"/>
        <w:rPr>
          <w:rFonts w:cs="Times New Roman" w:eastAsiaTheme="minorEastAsia"/>
        </w:rPr>
      </w:pPr>
      <w:bookmarkStart w:id="146" w:name="_Toc15881"/>
      <w:bookmarkStart w:id="147" w:name="_Toc29914_WPSOffice_Level2"/>
      <w:r>
        <w:rPr>
          <w:rFonts w:cs="Times New Roman" w:eastAsiaTheme="minorEastAsia"/>
        </w:rPr>
        <w:t>验收建议</w:t>
      </w:r>
      <w:bookmarkEnd w:id="146"/>
      <w:bookmarkEnd w:id="147"/>
    </w:p>
    <w:p>
      <w:pPr>
        <w:widowControl w:val="0"/>
        <w:ind w:firstLine="480"/>
        <w:rPr>
          <w:rFonts w:cs="Times New Roman" w:eastAsiaTheme="minorEastAsia"/>
        </w:rPr>
      </w:pPr>
      <w:r>
        <w:rPr>
          <w:rFonts w:cs="Times New Roman" w:eastAsiaTheme="minorEastAsia"/>
        </w:rPr>
        <w:t>1.配备相应管理人员和检验人员，按照国家标准和要求，对消防设施、安全通道定期进行检查，确保各设施能正常使用。</w:t>
      </w:r>
    </w:p>
    <w:p>
      <w:pPr>
        <w:widowControl w:val="0"/>
        <w:ind w:firstLine="480"/>
        <w:rPr>
          <w:rFonts w:cs="Times New Roman" w:eastAsiaTheme="minorEastAsia"/>
        </w:rPr>
      </w:pPr>
      <w:r>
        <w:rPr>
          <w:rFonts w:cs="Times New Roman" w:eastAsiaTheme="minorEastAsia"/>
        </w:rPr>
        <w:t>2.加强内部环境管理，充分利用自然条件，多种花草树木，以起到绿化、防尘、降噪功能。</w:t>
      </w:r>
    </w:p>
    <w:p>
      <w:pPr>
        <w:widowControl w:val="0"/>
        <w:ind w:firstLine="480"/>
        <w:rPr>
          <w:rFonts w:cs="Times New Roman" w:eastAsiaTheme="minorEastAsia"/>
        </w:rPr>
      </w:pPr>
      <w:r>
        <w:rPr>
          <w:rFonts w:cs="Times New Roman" w:eastAsiaTheme="minorEastAsia"/>
        </w:rPr>
        <w:t>3.车间、厂区应保持整齐、清洁、卫生、废料、各种生活垃圾应分别集中、定点堆放，专人负责。</w:t>
      </w:r>
    </w:p>
    <w:p>
      <w:pPr>
        <w:widowControl w:val="0"/>
        <w:ind w:firstLine="480"/>
        <w:rPr>
          <w:rFonts w:cs="Times New Roman" w:eastAsiaTheme="minorEastAsia"/>
        </w:rPr>
      </w:pPr>
      <w:r>
        <w:rPr>
          <w:rFonts w:cs="Times New Roman" w:eastAsiaTheme="minorEastAsia"/>
        </w:rPr>
        <w:t>4.积极配合环保部门的监督、监测等环保管理。建立健全环保机构，分工负责，落实环保投资，加强监督，完善环境管理。</w:t>
      </w:r>
      <w:r>
        <w:rPr>
          <w:rFonts w:cs="Times New Roman" w:eastAsiaTheme="minorEastAsia"/>
        </w:rPr>
        <w:br w:type="page"/>
      </w:r>
    </w:p>
    <w:p>
      <w:pPr>
        <w:pStyle w:val="89"/>
        <w:widowControl w:val="0"/>
        <w:numPr>
          <w:ilvl w:val="0"/>
          <w:numId w:val="8"/>
        </w:numPr>
        <w:ind w:left="900" w:leftChars="0" w:firstLineChars="0"/>
        <w:outlineLvl w:val="0"/>
        <w:rPr>
          <w:rFonts w:cs="Times New Roman" w:eastAsiaTheme="minorEastAsia"/>
        </w:rPr>
      </w:pPr>
      <w:bookmarkStart w:id="148" w:name="_Toc80224145"/>
      <w:r>
        <w:rPr>
          <w:rFonts w:cs="Times New Roman" w:eastAsiaTheme="minorEastAsia"/>
        </w:rPr>
        <w:t>环评批复</w:t>
      </w:r>
      <w:bookmarkEnd w:id="148"/>
    </w:p>
    <w:p>
      <w:pPr>
        <w:widowControl w:val="0"/>
        <w:ind w:firstLine="0" w:firstLineChars="0"/>
        <w:jc w:val="center"/>
      </w:pPr>
      <w:r>
        <w:drawing>
          <wp:inline distT="0" distB="0" distL="114300" distR="114300">
            <wp:extent cx="4524375" cy="5695950"/>
            <wp:effectExtent l="0" t="0" r="952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2"/>
                    <a:stretch>
                      <a:fillRect/>
                    </a:stretch>
                  </pic:blipFill>
                  <pic:spPr>
                    <a:xfrm>
                      <a:off x="0" y="0"/>
                      <a:ext cx="4524375" cy="5695950"/>
                    </a:xfrm>
                    <a:prstGeom prst="rect">
                      <a:avLst/>
                    </a:prstGeom>
                    <a:noFill/>
                    <a:ln>
                      <a:noFill/>
                    </a:ln>
                  </pic:spPr>
                </pic:pic>
              </a:graphicData>
            </a:graphic>
          </wp:inline>
        </w:drawing>
      </w:r>
      <w:r>
        <w:drawing>
          <wp:inline distT="0" distB="0" distL="114300" distR="114300">
            <wp:extent cx="4500245" cy="6651625"/>
            <wp:effectExtent l="0" t="0" r="14605" b="158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3"/>
                    <a:stretch>
                      <a:fillRect/>
                    </a:stretch>
                  </pic:blipFill>
                  <pic:spPr>
                    <a:xfrm>
                      <a:off x="0" y="0"/>
                      <a:ext cx="4500245" cy="6651625"/>
                    </a:xfrm>
                    <a:prstGeom prst="rect">
                      <a:avLst/>
                    </a:prstGeom>
                    <a:noFill/>
                    <a:ln>
                      <a:noFill/>
                    </a:ln>
                  </pic:spPr>
                </pic:pic>
              </a:graphicData>
            </a:graphic>
          </wp:inline>
        </w:drawing>
      </w:r>
      <w:r>
        <w:drawing>
          <wp:inline distT="0" distB="0" distL="114300" distR="114300">
            <wp:extent cx="4500245" cy="6243955"/>
            <wp:effectExtent l="0" t="0" r="14605" b="444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4"/>
                    <a:stretch>
                      <a:fillRect/>
                    </a:stretch>
                  </pic:blipFill>
                  <pic:spPr>
                    <a:xfrm>
                      <a:off x="0" y="0"/>
                      <a:ext cx="4500245" cy="6243955"/>
                    </a:xfrm>
                    <a:prstGeom prst="rect">
                      <a:avLst/>
                    </a:prstGeom>
                    <a:noFill/>
                    <a:ln>
                      <a:noFill/>
                    </a:ln>
                  </pic:spPr>
                </pic:pic>
              </a:graphicData>
            </a:graphic>
          </wp:inline>
        </w:drawing>
      </w:r>
      <w:r>
        <w:drawing>
          <wp:inline distT="0" distB="0" distL="114300" distR="114300">
            <wp:extent cx="4500245" cy="6420485"/>
            <wp:effectExtent l="0" t="0" r="14605"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5"/>
                    <a:stretch>
                      <a:fillRect/>
                    </a:stretch>
                  </pic:blipFill>
                  <pic:spPr>
                    <a:xfrm>
                      <a:off x="0" y="0"/>
                      <a:ext cx="4500245" cy="6420485"/>
                    </a:xfrm>
                    <a:prstGeom prst="rect">
                      <a:avLst/>
                    </a:prstGeom>
                    <a:noFill/>
                    <a:ln>
                      <a:noFill/>
                    </a:ln>
                  </pic:spPr>
                </pic:pic>
              </a:graphicData>
            </a:graphic>
          </wp:inline>
        </w:drawing>
      </w:r>
    </w:p>
    <w:p>
      <w:r>
        <w:br w:type="page"/>
      </w:r>
    </w:p>
    <w:p>
      <w:pPr>
        <w:pStyle w:val="89"/>
        <w:widowControl w:val="0"/>
        <w:numPr>
          <w:ilvl w:val="0"/>
          <w:numId w:val="8"/>
        </w:numPr>
        <w:ind w:left="900" w:leftChars="0" w:firstLineChars="0"/>
        <w:outlineLvl w:val="0"/>
        <w:rPr>
          <w:rFonts w:cs="Times New Roman" w:eastAsiaTheme="minorEastAsia"/>
        </w:rPr>
      </w:pPr>
      <w:bookmarkStart w:id="149" w:name="_Toc80224146"/>
      <w:r>
        <w:rPr>
          <w:rFonts w:cs="Times New Roman" w:eastAsiaTheme="minorEastAsia"/>
        </w:rPr>
        <w:t>生产负荷证明</w:t>
      </w:r>
      <w:bookmarkEnd w:id="149"/>
    </w:p>
    <w:p>
      <w:pPr>
        <w:widowControl w:val="0"/>
        <w:ind w:firstLine="0" w:firstLineChars="0"/>
        <w:jc w:val="center"/>
        <w:rPr>
          <w:rFonts w:cs="Times New Roman" w:eastAsiaTheme="minorEastAsia"/>
        </w:rPr>
      </w:pPr>
    </w:p>
    <w:p>
      <w:pPr>
        <w:ind w:firstLine="720"/>
        <w:jc w:val="center"/>
        <w:rPr>
          <w:sz w:val="36"/>
          <w:szCs w:val="36"/>
        </w:rPr>
      </w:pPr>
      <w:r>
        <w:rPr>
          <w:rFonts w:hint="eastAsia"/>
          <w:sz w:val="36"/>
          <w:szCs w:val="36"/>
        </w:rPr>
        <w:t>生产负荷证明</w:t>
      </w:r>
    </w:p>
    <w:p>
      <w:pPr>
        <w:pStyle w:val="2"/>
        <w:ind w:left="480" w:firstLine="480"/>
      </w:pPr>
    </w:p>
    <w:p>
      <w:pPr>
        <w:pStyle w:val="2"/>
        <w:ind w:left="480" w:firstLine="480"/>
      </w:pPr>
    </w:p>
    <w:p>
      <w:pPr>
        <w:pStyle w:val="2"/>
        <w:ind w:left="480" w:firstLine="560"/>
        <w:rPr>
          <w:sz w:val="28"/>
          <w:szCs w:val="28"/>
        </w:rPr>
      </w:pPr>
      <w:r>
        <w:rPr>
          <w:rFonts w:hint="eastAsia"/>
          <w:sz w:val="28"/>
          <w:szCs w:val="28"/>
        </w:rPr>
        <w:t>兹证明本公司在环境验收检测期间生产负荷到达设计产能的75%以上。</w:t>
      </w:r>
    </w:p>
    <w:p>
      <w:pPr>
        <w:ind w:firstLine="480"/>
        <w:rPr>
          <w:rFonts w:cs="Times New Roman"/>
        </w:rPr>
      </w:pPr>
    </w:p>
    <w:p>
      <w:pPr>
        <w:pStyle w:val="2"/>
        <w:ind w:left="480" w:firstLine="480"/>
        <w:rPr>
          <w:rFonts w:cs="Times New Roman"/>
        </w:rPr>
      </w:pPr>
    </w:p>
    <w:p>
      <w:pPr>
        <w:ind w:firstLine="480"/>
        <w:rPr>
          <w:rFonts w:cs="Times New Roman"/>
        </w:rPr>
      </w:pPr>
    </w:p>
    <w:p>
      <w:pPr>
        <w:pStyle w:val="2"/>
        <w:ind w:left="480" w:firstLine="480"/>
        <w:rPr>
          <w:rFonts w:cs="Times New Roman"/>
        </w:rPr>
      </w:pPr>
    </w:p>
    <w:p>
      <w:pPr>
        <w:ind w:firstLine="480"/>
        <w:rPr>
          <w:rFonts w:cs="Times New Roman"/>
        </w:rPr>
      </w:pPr>
    </w:p>
    <w:p>
      <w:pPr>
        <w:pStyle w:val="2"/>
        <w:ind w:left="480" w:firstLine="480"/>
        <w:rPr>
          <w:rFonts w:cs="Times New Roman"/>
        </w:rPr>
      </w:pPr>
    </w:p>
    <w:p>
      <w:pPr>
        <w:ind w:firstLine="480"/>
        <w:rPr>
          <w:rFonts w:cs="Times New Roman"/>
        </w:rPr>
      </w:pPr>
    </w:p>
    <w:p>
      <w:pPr>
        <w:pStyle w:val="2"/>
        <w:ind w:left="0" w:leftChars="0" w:firstLine="0" w:firstLineChars="0"/>
        <w:rPr>
          <w:rFonts w:cs="Times New Roman"/>
        </w:rPr>
      </w:pPr>
    </w:p>
    <w:p>
      <w:pPr>
        <w:ind w:firstLine="480"/>
        <w:rPr>
          <w:rFonts w:cs="Times New Roman"/>
        </w:rPr>
      </w:pPr>
    </w:p>
    <w:p>
      <w:pPr>
        <w:pStyle w:val="2"/>
        <w:ind w:left="480" w:firstLine="480"/>
        <w:jc w:val="center"/>
        <w:rPr>
          <w:rFonts w:cs="Times New Roman"/>
        </w:rPr>
      </w:pPr>
      <w:r>
        <w:rPr>
          <w:rFonts w:cs="Times New Roman"/>
        </w:rPr>
        <w:t xml:space="preserve">                  </w:t>
      </w:r>
      <w:r>
        <w:rPr>
          <w:rFonts w:hint="eastAsia" w:cs="Times New Roman"/>
        </w:rPr>
        <w:t xml:space="preserve">   </w:t>
      </w:r>
      <w:r>
        <w:rPr>
          <w:rFonts w:cs="Times New Roman"/>
        </w:rPr>
        <w:t xml:space="preserve">        </w:t>
      </w:r>
      <w:r>
        <w:rPr>
          <w:rFonts w:hint="eastAsia"/>
          <w:sz w:val="28"/>
          <w:szCs w:val="28"/>
        </w:rPr>
        <w:t>建设单位</w:t>
      </w:r>
      <w:r>
        <w:rPr>
          <w:sz w:val="28"/>
          <w:szCs w:val="28"/>
        </w:rPr>
        <w:t>(章)</w:t>
      </w:r>
      <w:r>
        <w:rPr>
          <w:rFonts w:hint="eastAsia"/>
          <w:sz w:val="28"/>
          <w:szCs w:val="28"/>
        </w:rPr>
        <w:t>：</w:t>
      </w:r>
    </w:p>
    <w:p>
      <w:pPr>
        <w:ind w:firstLine="480"/>
        <w:rPr>
          <w:rFonts w:cs="Times New Roman"/>
        </w:rPr>
      </w:pPr>
    </w:p>
    <w:p>
      <w:pPr>
        <w:pStyle w:val="2"/>
        <w:ind w:left="480" w:firstLine="480"/>
        <w:rPr>
          <w:rFonts w:cs="Times New Roman"/>
        </w:rPr>
      </w:pPr>
      <w:r>
        <w:rPr>
          <w:rFonts w:cs="Times New Roman"/>
        </w:rPr>
        <w:t xml:space="preserve">                                 </w:t>
      </w:r>
      <w:r>
        <w:rPr>
          <w:rFonts w:hint="eastAsia" w:cs="Times New Roman"/>
        </w:rPr>
        <w:t xml:space="preserve">       </w:t>
      </w:r>
      <w:r>
        <w:rPr>
          <w:rFonts w:cs="Times New Roman"/>
        </w:rPr>
        <w:t>年</w:t>
      </w:r>
      <w:r>
        <w:rPr>
          <w:rFonts w:hint="eastAsia" w:cs="Times New Roman"/>
        </w:rPr>
        <w:t xml:space="preserve">  </w:t>
      </w:r>
      <w:r>
        <w:rPr>
          <w:rFonts w:cs="Times New Roman"/>
        </w:rPr>
        <w:t xml:space="preserve"> 月 </w:t>
      </w:r>
      <w:r>
        <w:rPr>
          <w:rFonts w:hint="eastAsia" w:cs="Times New Roman"/>
        </w:rPr>
        <w:t xml:space="preserve">  </w:t>
      </w:r>
      <w:r>
        <w:rPr>
          <w:rFonts w:cs="Times New Roman"/>
        </w:rPr>
        <w:t>日</w:t>
      </w:r>
    </w:p>
    <w:p>
      <w:pPr>
        <w:pStyle w:val="2"/>
        <w:ind w:left="480" w:firstLine="480"/>
        <w:rPr>
          <w:rFonts w:cs="Times New Roman" w:eastAsiaTheme="minorEastAsia"/>
        </w:rPr>
      </w:pPr>
    </w:p>
    <w:p>
      <w:pPr>
        <w:ind w:firstLine="480"/>
        <w:rPr>
          <w:rFonts w:cs="Times New Roman" w:eastAsiaTheme="minorEastAsia"/>
        </w:rPr>
      </w:pPr>
    </w:p>
    <w:p>
      <w:pPr>
        <w:ind w:firstLine="480"/>
        <w:rPr>
          <w:rFonts w:cs="Times New Roman" w:eastAsiaTheme="minorEastAsia"/>
        </w:rPr>
      </w:pPr>
      <w:r>
        <w:rPr>
          <w:rFonts w:hint="eastAsia" w:cs="Times New Roman" w:eastAsiaTheme="minorEastAsia"/>
        </w:rPr>
        <w:br w:type="page"/>
      </w:r>
    </w:p>
    <w:p>
      <w:pPr>
        <w:widowControl w:val="0"/>
        <w:ind w:firstLine="0" w:firstLineChars="0"/>
        <w:rPr>
          <w:rFonts w:hint="eastAsia" w:cs="Times New Roman" w:eastAsiaTheme="minorEastAsia"/>
          <w:lang w:eastAsia="zh-CN"/>
        </w:rPr>
      </w:pPr>
      <w:r>
        <w:rPr>
          <w:rFonts w:hint="eastAsia" w:cs="Times New Roman" w:eastAsiaTheme="minorEastAsia"/>
          <w:lang w:eastAsia="zh-CN"/>
        </w:rPr>
        <w:t>附件</w:t>
      </w:r>
      <w:r>
        <w:rPr>
          <w:rFonts w:hint="eastAsia" w:cs="Times New Roman" w:eastAsiaTheme="minorEastAsia"/>
          <w:lang w:val="en-US" w:eastAsia="zh-CN"/>
        </w:rPr>
        <w:t>3：</w:t>
      </w:r>
      <w:r>
        <w:rPr>
          <w:rFonts w:cs="Times New Roman" w:eastAsiaTheme="minorEastAsia"/>
        </w:rPr>
        <w:t>验收检测报告</w:t>
      </w:r>
      <w:r>
        <w:rPr>
          <w:rFonts w:hint="eastAsia" w:cs="Times New Roman" w:eastAsiaTheme="minorEastAsia"/>
          <w:lang w:eastAsia="zh-CN"/>
        </w:rPr>
        <w:drawing>
          <wp:inline distT="0" distB="0" distL="114300" distR="114300">
            <wp:extent cx="5253990" cy="7487920"/>
            <wp:effectExtent l="0" t="0" r="3810" b="17780"/>
            <wp:docPr id="2" name="图片 2" descr="0b648e3041f463973885f9217878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b648e3041f463973885f9217878e41"/>
                    <pic:cNvPicPr>
                      <a:picLocks noChangeAspect="1"/>
                    </pic:cNvPicPr>
                  </pic:nvPicPr>
                  <pic:blipFill>
                    <a:blip r:embed="rId26"/>
                    <a:stretch>
                      <a:fillRect/>
                    </a:stretch>
                  </pic:blipFill>
                  <pic:spPr>
                    <a:xfrm>
                      <a:off x="0" y="0"/>
                      <a:ext cx="5253990" cy="7487920"/>
                    </a:xfrm>
                    <a:prstGeom prst="rect">
                      <a:avLst/>
                    </a:prstGeom>
                  </pic:spPr>
                </pic:pic>
              </a:graphicData>
            </a:graphic>
          </wp:inline>
        </w:drawing>
      </w:r>
      <w:r>
        <w:rPr>
          <w:rFonts w:hint="eastAsia" w:cs="Times New Roman" w:eastAsiaTheme="minorEastAsia"/>
          <w:lang w:eastAsia="zh-CN"/>
        </w:rPr>
        <w:drawing>
          <wp:inline distT="0" distB="0" distL="114300" distR="114300">
            <wp:extent cx="5274310" cy="7489190"/>
            <wp:effectExtent l="0" t="0" r="2540" b="16510"/>
            <wp:docPr id="4" name="图片 4" descr="172a015c206535b04374eb1b31b0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a015c206535b04374eb1b31b04b1"/>
                    <pic:cNvPicPr>
                      <a:picLocks noChangeAspect="1"/>
                    </pic:cNvPicPr>
                  </pic:nvPicPr>
                  <pic:blipFill>
                    <a:blip r:embed="rId27"/>
                    <a:stretch>
                      <a:fillRect/>
                    </a:stretch>
                  </pic:blipFill>
                  <pic:spPr>
                    <a:xfrm>
                      <a:off x="0" y="0"/>
                      <a:ext cx="5274310" cy="7489190"/>
                    </a:xfrm>
                    <a:prstGeom prst="rect">
                      <a:avLst/>
                    </a:prstGeom>
                  </pic:spPr>
                </pic:pic>
              </a:graphicData>
            </a:graphic>
          </wp:inline>
        </w:drawing>
      </w:r>
      <w:r>
        <w:rPr>
          <w:rFonts w:hint="eastAsia" w:cs="Times New Roman" w:eastAsiaTheme="minorEastAsia"/>
          <w:lang w:eastAsia="zh-CN"/>
        </w:rPr>
        <w:drawing>
          <wp:inline distT="0" distB="0" distL="114300" distR="114300">
            <wp:extent cx="5259070" cy="7448550"/>
            <wp:effectExtent l="0" t="0" r="17780" b="0"/>
            <wp:docPr id="5" name="图片 5" descr="b9e4777464bbf1ae1d36395daa2a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9e4777464bbf1ae1d36395daa2a155"/>
                    <pic:cNvPicPr>
                      <a:picLocks noChangeAspect="1"/>
                    </pic:cNvPicPr>
                  </pic:nvPicPr>
                  <pic:blipFill>
                    <a:blip r:embed="rId28"/>
                    <a:stretch>
                      <a:fillRect/>
                    </a:stretch>
                  </pic:blipFill>
                  <pic:spPr>
                    <a:xfrm>
                      <a:off x="0" y="0"/>
                      <a:ext cx="5259070" cy="7448550"/>
                    </a:xfrm>
                    <a:prstGeom prst="rect">
                      <a:avLst/>
                    </a:prstGeom>
                  </pic:spPr>
                </pic:pic>
              </a:graphicData>
            </a:graphic>
          </wp:inline>
        </w:drawing>
      </w:r>
      <w:r>
        <w:rPr>
          <w:rFonts w:hint="eastAsia" w:cs="Times New Roman" w:eastAsiaTheme="minorEastAsia"/>
          <w:lang w:eastAsia="zh-CN"/>
        </w:rPr>
        <w:drawing>
          <wp:inline distT="0" distB="0" distL="114300" distR="114300">
            <wp:extent cx="5261610" cy="7469505"/>
            <wp:effectExtent l="0" t="0" r="15240" b="17145"/>
            <wp:docPr id="6" name="图片 6" descr="0cbbe78fbe5d97c1f1529eeeb21c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cbbe78fbe5d97c1f1529eeeb21c3c3"/>
                    <pic:cNvPicPr>
                      <a:picLocks noChangeAspect="1"/>
                    </pic:cNvPicPr>
                  </pic:nvPicPr>
                  <pic:blipFill>
                    <a:blip r:embed="rId29"/>
                    <a:stretch>
                      <a:fillRect/>
                    </a:stretch>
                  </pic:blipFill>
                  <pic:spPr>
                    <a:xfrm>
                      <a:off x="0" y="0"/>
                      <a:ext cx="5261610" cy="7469505"/>
                    </a:xfrm>
                    <a:prstGeom prst="rect">
                      <a:avLst/>
                    </a:prstGeom>
                  </pic:spPr>
                </pic:pic>
              </a:graphicData>
            </a:graphic>
          </wp:inline>
        </w:drawing>
      </w:r>
      <w:r>
        <w:rPr>
          <w:rFonts w:hint="eastAsia" w:cs="Times New Roman" w:eastAsiaTheme="minorEastAsia"/>
          <w:lang w:eastAsia="zh-CN"/>
        </w:rPr>
        <w:drawing>
          <wp:inline distT="0" distB="0" distL="114300" distR="114300">
            <wp:extent cx="5273675" cy="7444740"/>
            <wp:effectExtent l="0" t="0" r="3175" b="3810"/>
            <wp:docPr id="7" name="图片 7" descr="0a5084fcc5a45963842f8f4f194c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a5084fcc5a45963842f8f4f194cf85"/>
                    <pic:cNvPicPr>
                      <a:picLocks noChangeAspect="1"/>
                    </pic:cNvPicPr>
                  </pic:nvPicPr>
                  <pic:blipFill>
                    <a:blip r:embed="rId30"/>
                    <a:stretch>
                      <a:fillRect/>
                    </a:stretch>
                  </pic:blipFill>
                  <pic:spPr>
                    <a:xfrm>
                      <a:off x="0" y="0"/>
                      <a:ext cx="5273675" cy="7444740"/>
                    </a:xfrm>
                    <a:prstGeom prst="rect">
                      <a:avLst/>
                    </a:prstGeom>
                  </pic:spPr>
                </pic:pic>
              </a:graphicData>
            </a:graphic>
          </wp:inline>
        </w:drawing>
      </w:r>
      <w:r>
        <w:rPr>
          <w:rFonts w:hint="eastAsia" w:cs="Times New Roman" w:eastAsiaTheme="minorEastAsia"/>
          <w:lang w:eastAsia="zh-CN"/>
        </w:rPr>
        <w:drawing>
          <wp:inline distT="0" distB="0" distL="114300" distR="114300">
            <wp:extent cx="5271770" cy="7439025"/>
            <wp:effectExtent l="0" t="0" r="5080" b="9525"/>
            <wp:docPr id="8" name="图片 8" descr="aa3a1df7900a937f65322d0d4232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a3a1df7900a937f65322d0d4232ef2"/>
                    <pic:cNvPicPr>
                      <a:picLocks noChangeAspect="1"/>
                    </pic:cNvPicPr>
                  </pic:nvPicPr>
                  <pic:blipFill>
                    <a:blip r:embed="rId31"/>
                    <a:stretch>
                      <a:fillRect/>
                    </a:stretch>
                  </pic:blipFill>
                  <pic:spPr>
                    <a:xfrm>
                      <a:off x="0" y="0"/>
                      <a:ext cx="5271770" cy="7439025"/>
                    </a:xfrm>
                    <a:prstGeom prst="rect">
                      <a:avLst/>
                    </a:prstGeom>
                  </pic:spPr>
                </pic:pic>
              </a:graphicData>
            </a:graphic>
          </wp:inline>
        </w:drawing>
      </w:r>
      <w:r>
        <w:rPr>
          <w:rFonts w:hint="eastAsia" w:cs="Times New Roman" w:eastAsiaTheme="minorEastAsia"/>
          <w:lang w:eastAsia="zh-CN"/>
        </w:rPr>
        <w:drawing>
          <wp:inline distT="0" distB="0" distL="114300" distR="114300">
            <wp:extent cx="5262245" cy="7526020"/>
            <wp:effectExtent l="0" t="0" r="14605" b="17780"/>
            <wp:docPr id="9" name="图片 9" descr="fc094d2bb8569e8c061d4db5699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c094d2bb8569e8c061d4db56990348"/>
                    <pic:cNvPicPr>
                      <a:picLocks noChangeAspect="1"/>
                    </pic:cNvPicPr>
                  </pic:nvPicPr>
                  <pic:blipFill>
                    <a:blip r:embed="rId32"/>
                    <a:stretch>
                      <a:fillRect/>
                    </a:stretch>
                  </pic:blipFill>
                  <pic:spPr>
                    <a:xfrm>
                      <a:off x="0" y="0"/>
                      <a:ext cx="5262245" cy="7526020"/>
                    </a:xfrm>
                    <a:prstGeom prst="rect">
                      <a:avLst/>
                    </a:prstGeom>
                  </pic:spPr>
                </pic:pic>
              </a:graphicData>
            </a:graphic>
          </wp:inline>
        </w:drawing>
      </w:r>
    </w:p>
    <w:p>
      <w:pPr>
        <w:pStyle w:val="17"/>
        <w:bidi w:val="0"/>
        <w:jc w:val="center"/>
      </w:pPr>
    </w:p>
    <w:p>
      <w:pPr>
        <w:rPr>
          <w:rFonts w:cs="Times New Roman" w:eastAsiaTheme="minorEastAsia"/>
        </w:rPr>
      </w:pPr>
    </w:p>
    <w:p>
      <w:pPr>
        <w:pStyle w:val="2"/>
        <w:rPr>
          <w:rFonts w:cs="Times New Roman" w:eastAsiaTheme="minorEastAsia"/>
        </w:rPr>
      </w:pPr>
    </w:p>
    <w:p>
      <w:pPr>
        <w:sectPr>
          <w:pgSz w:w="11906" w:h="16838"/>
          <w:pgMar w:top="1440" w:right="1800" w:bottom="1440" w:left="1800" w:header="851" w:footer="992" w:gutter="0"/>
          <w:cols w:space="425" w:num="1"/>
          <w:docGrid w:type="lines" w:linePitch="312" w:charSpace="0"/>
        </w:sectPr>
      </w:pPr>
    </w:p>
    <w:p>
      <w:pPr>
        <w:widowControl w:val="0"/>
        <w:adjustRightInd w:val="0"/>
        <w:snapToGrid w:val="0"/>
        <w:spacing w:before="177" w:beforeLines="50"/>
        <w:ind w:firstLine="0" w:firstLineChars="0"/>
        <w:outlineLvl w:val="0"/>
        <w:rPr>
          <w:rFonts w:cs="Times New Roman" w:eastAsiaTheme="minorEastAsia"/>
          <w:bCs/>
          <w:kern w:val="44"/>
          <w:sz w:val="30"/>
          <w:szCs w:val="30"/>
        </w:rPr>
      </w:pPr>
      <w:bookmarkStart w:id="150" w:name="_Toc499060238"/>
      <w:bookmarkStart w:id="151" w:name="_Toc80224149"/>
      <w:bookmarkStart w:id="152" w:name="_Toc499059501"/>
      <w:bookmarkStart w:id="153" w:name="_Toc527483760"/>
      <w:r>
        <w:rPr>
          <w:rFonts w:cs="Times New Roman" w:eastAsiaTheme="minorEastAsia"/>
          <w:bCs/>
          <w:kern w:val="44"/>
          <w:sz w:val="30"/>
          <w:szCs w:val="30"/>
        </w:rPr>
        <w:t>建设项目环境保护</w:t>
      </w:r>
      <w:r>
        <w:rPr>
          <w:rFonts w:hint="eastAsia" w:cs="Times New Roman" w:eastAsiaTheme="minorEastAsia"/>
          <w:bCs/>
          <w:kern w:val="44"/>
          <w:sz w:val="30"/>
          <w:szCs w:val="30"/>
        </w:rPr>
        <w:t>“</w:t>
      </w:r>
      <w:r>
        <w:rPr>
          <w:rFonts w:cs="Times New Roman" w:eastAsiaTheme="minorEastAsia"/>
          <w:bCs/>
          <w:kern w:val="44"/>
          <w:sz w:val="30"/>
          <w:szCs w:val="30"/>
        </w:rPr>
        <w:t>三同时</w:t>
      </w:r>
      <w:r>
        <w:rPr>
          <w:rFonts w:hint="eastAsia" w:cs="Times New Roman" w:eastAsiaTheme="minorEastAsia"/>
          <w:bCs/>
          <w:kern w:val="44"/>
          <w:sz w:val="30"/>
          <w:szCs w:val="30"/>
        </w:rPr>
        <w:t>”</w:t>
      </w:r>
      <w:r>
        <w:rPr>
          <w:rFonts w:cs="Times New Roman" w:eastAsiaTheme="minorEastAsia"/>
          <w:bCs/>
          <w:kern w:val="44"/>
          <w:sz w:val="30"/>
          <w:szCs w:val="30"/>
        </w:rPr>
        <w:t>竣工验收登记表</w:t>
      </w:r>
      <w:bookmarkEnd w:id="150"/>
      <w:bookmarkEnd w:id="151"/>
      <w:bookmarkEnd w:id="152"/>
      <w:bookmarkEnd w:id="153"/>
    </w:p>
    <w:p>
      <w:pPr>
        <w:widowControl w:val="0"/>
        <w:adjustRightInd w:val="0"/>
        <w:snapToGrid w:val="0"/>
        <w:ind w:firstLine="720" w:firstLineChars="0"/>
        <w:jc w:val="center"/>
        <w:rPr>
          <w:rFonts w:cs="Times New Roman" w:eastAsiaTheme="minorEastAsia"/>
          <w:b/>
          <w:color w:val="000000"/>
          <w:sz w:val="30"/>
          <w:szCs w:val="30"/>
        </w:rPr>
      </w:pPr>
      <w:r>
        <w:rPr>
          <w:rFonts w:cs="Times New Roman" w:eastAsiaTheme="minorEastAsia"/>
          <w:b/>
          <w:color w:val="000000"/>
          <w:sz w:val="30"/>
          <w:szCs w:val="30"/>
        </w:rPr>
        <w:t>建设项目工程竣工环境保护</w:t>
      </w:r>
      <w:r>
        <w:rPr>
          <w:rFonts w:hint="eastAsia" w:cs="Times New Roman" w:eastAsiaTheme="minorEastAsia"/>
          <w:b/>
          <w:color w:val="000000"/>
          <w:sz w:val="30"/>
          <w:szCs w:val="30"/>
        </w:rPr>
        <w:t>“</w:t>
      </w:r>
      <w:r>
        <w:rPr>
          <w:rFonts w:cs="Times New Roman" w:eastAsiaTheme="minorEastAsia"/>
          <w:b/>
          <w:color w:val="000000"/>
          <w:sz w:val="30"/>
          <w:szCs w:val="30"/>
        </w:rPr>
        <w:t>三同时</w:t>
      </w:r>
      <w:r>
        <w:rPr>
          <w:rFonts w:hint="eastAsia" w:cs="Times New Roman" w:eastAsiaTheme="minorEastAsia"/>
          <w:b/>
          <w:color w:val="000000"/>
          <w:sz w:val="30"/>
          <w:szCs w:val="30"/>
        </w:rPr>
        <w:t>”</w:t>
      </w:r>
      <w:r>
        <w:rPr>
          <w:rFonts w:cs="Times New Roman" w:eastAsiaTheme="minorEastAsia"/>
          <w:b/>
          <w:color w:val="000000"/>
          <w:sz w:val="30"/>
          <w:szCs w:val="30"/>
        </w:rPr>
        <w:t>验收登记表</w:t>
      </w:r>
    </w:p>
    <w:p>
      <w:pPr>
        <w:widowControl w:val="0"/>
        <w:adjustRightInd w:val="0"/>
        <w:snapToGrid w:val="0"/>
        <w:spacing w:line="300" w:lineRule="exact"/>
        <w:ind w:firstLine="240" w:firstLineChars="100"/>
        <w:jc w:val="both"/>
        <w:rPr>
          <w:rFonts w:cs="Times New Roman" w:eastAsiaTheme="minorEastAsia"/>
          <w:color w:val="000000"/>
        </w:rPr>
      </w:pPr>
      <w:r>
        <w:rPr>
          <w:rFonts w:cs="Times New Roman" w:eastAsiaTheme="minorEastAsia"/>
          <w:color w:val="000000"/>
        </w:rPr>
        <w:t>填表单位（盖章）：</w:t>
      </w:r>
      <w:r>
        <w:rPr>
          <w:rFonts w:hint="eastAsia" w:cs="Times New Roman" w:eastAsiaTheme="minorEastAsia"/>
          <w:color w:val="000000"/>
          <w:szCs w:val="21"/>
          <w:lang w:eastAsia="zh-CN"/>
        </w:rPr>
        <w:t>山东民基新材料科技有限公司</w:t>
      </w:r>
      <w:r>
        <w:rPr>
          <w:rFonts w:cs="Times New Roman" w:eastAsiaTheme="minorEastAsia"/>
          <w:color w:val="000000"/>
          <w:sz w:val="32"/>
        </w:rPr>
        <w:t xml:space="preserve">   </w:t>
      </w:r>
      <w:r>
        <w:rPr>
          <w:rFonts w:cs="Times New Roman" w:eastAsiaTheme="minorEastAsia"/>
          <w:color w:val="000000"/>
        </w:rPr>
        <w:t xml:space="preserve">         填表人（签字）：                                                  </w:t>
      </w:r>
      <w:r>
        <w:rPr>
          <w:rFonts w:cs="Times New Roman" w:eastAsiaTheme="minorEastAsia"/>
          <w:color w:val="000000"/>
          <w:spacing w:val="40"/>
        </w:rPr>
        <w:t>项目经办人</w:t>
      </w:r>
      <w:r>
        <w:rPr>
          <w:rFonts w:cs="Times New Roman" w:eastAsiaTheme="minorEastAsia"/>
          <w:color w:val="000000"/>
        </w:rPr>
        <w:t>（签字）：</w:t>
      </w:r>
    </w:p>
    <w:tbl>
      <w:tblPr>
        <w:tblStyle w:val="38"/>
        <w:tblW w:w="21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09"/>
        <w:gridCol w:w="1585"/>
        <w:gridCol w:w="1134"/>
        <w:gridCol w:w="1358"/>
        <w:gridCol w:w="1276"/>
        <w:gridCol w:w="1418"/>
        <w:gridCol w:w="1417"/>
        <w:gridCol w:w="1276"/>
        <w:gridCol w:w="1276"/>
        <w:gridCol w:w="1744"/>
        <w:gridCol w:w="1091"/>
        <w:gridCol w:w="653"/>
        <w:gridCol w:w="1756"/>
        <w:gridCol w:w="993"/>
        <w:gridCol w:w="739"/>
        <w:gridCol w:w="619"/>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restart"/>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建设项目</w:t>
            </w: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项目名称</w:t>
            </w:r>
          </w:p>
        </w:tc>
        <w:tc>
          <w:tcPr>
            <w:tcW w:w="6603" w:type="dxa"/>
            <w:gridSpan w:val="5"/>
            <w:vAlign w:val="center"/>
          </w:tcPr>
          <w:p>
            <w:pPr>
              <w:widowControl w:val="0"/>
              <w:adjustRightInd w:val="0"/>
              <w:snapToGrid w:val="0"/>
              <w:spacing w:line="240" w:lineRule="auto"/>
              <w:ind w:firstLine="0" w:firstLineChars="0"/>
              <w:jc w:val="center"/>
              <w:rPr>
                <w:rFonts w:hint="eastAsia" w:eastAsia="宋体" w:cs="Times New Roman"/>
                <w:color w:val="000000"/>
                <w:sz w:val="21"/>
                <w:szCs w:val="21"/>
                <w:lang w:eastAsia="zh-CN"/>
              </w:rPr>
            </w:pPr>
            <w:r>
              <w:rPr>
                <w:rFonts w:hint="eastAsia" w:cs="Times New Roman"/>
                <w:bCs/>
                <w:color w:val="000000"/>
                <w:sz w:val="21"/>
                <w:szCs w:val="21"/>
                <w:lang w:eastAsia="zh-CN"/>
              </w:rPr>
              <w:t>灌装间提升技改项目</w:t>
            </w:r>
          </w:p>
        </w:tc>
        <w:tc>
          <w:tcPr>
            <w:tcW w:w="2552" w:type="dxa"/>
            <w:gridSpan w:val="2"/>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color w:val="000000"/>
                <w:sz w:val="21"/>
                <w:szCs w:val="21"/>
              </w:rPr>
              <w:t>项目代码</w:t>
            </w:r>
          </w:p>
        </w:tc>
        <w:tc>
          <w:tcPr>
            <w:tcW w:w="2835" w:type="dxa"/>
            <w:gridSpan w:val="2"/>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sz w:val="21"/>
                <w:szCs w:val="21"/>
              </w:rPr>
              <w:t>-</w:t>
            </w:r>
          </w:p>
        </w:tc>
        <w:tc>
          <w:tcPr>
            <w:tcW w:w="2409" w:type="dxa"/>
            <w:gridSpan w:val="2"/>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color w:val="000000"/>
                <w:sz w:val="21"/>
                <w:szCs w:val="21"/>
              </w:rPr>
              <w:t>建设地点</w:t>
            </w:r>
          </w:p>
        </w:tc>
        <w:tc>
          <w:tcPr>
            <w:tcW w:w="3477" w:type="dxa"/>
            <w:gridSpan w:val="4"/>
            <w:vAlign w:val="center"/>
          </w:tcPr>
          <w:p>
            <w:pPr>
              <w:widowControl w:val="0"/>
              <w:adjustRightInd w:val="0"/>
              <w:snapToGrid w:val="0"/>
              <w:spacing w:line="240" w:lineRule="auto"/>
              <w:ind w:firstLine="0" w:firstLineChars="0"/>
              <w:jc w:val="center"/>
              <w:rPr>
                <w:rFonts w:hint="eastAsia" w:eastAsia="宋体" w:cs="Times New Roman"/>
                <w:color w:val="000000"/>
                <w:sz w:val="21"/>
                <w:szCs w:val="21"/>
                <w:lang w:eastAsia="zh-CN"/>
              </w:rPr>
            </w:pPr>
            <w:r>
              <w:rPr>
                <w:rFonts w:hint="eastAsia" w:cs="Times New Roman"/>
                <w:color w:val="000000" w:themeColor="text1"/>
                <w:kern w:val="0"/>
                <w:sz w:val="21"/>
                <w:szCs w:val="21"/>
                <w:lang w:eastAsia="zh-CN"/>
                <w14:textFill>
                  <w14:solidFill>
                    <w14:schemeClr w14:val="tx1"/>
                  </w14:solidFill>
                </w14:textFill>
              </w:rPr>
              <w:t>山东省淄博市张店东部化工区昌国东路 227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行业类别（分类管理名录）</w:t>
            </w:r>
          </w:p>
        </w:tc>
        <w:tc>
          <w:tcPr>
            <w:tcW w:w="6603" w:type="dxa"/>
            <w:gridSpan w:val="5"/>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color w:val="000000" w:themeColor="text1"/>
                <w:kern w:val="0"/>
                <w:sz w:val="21"/>
                <w:szCs w:val="21"/>
                <w:lang w:eastAsia="zh-CN"/>
                <w14:textFill>
                  <w14:solidFill>
                    <w14:schemeClr w14:val="tx1"/>
                  </w14:solidFill>
                </w14:textFill>
              </w:rPr>
              <w:t>C2614 有机化学原料制造</w:t>
            </w:r>
          </w:p>
        </w:tc>
        <w:tc>
          <w:tcPr>
            <w:tcW w:w="255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建设性质</w:t>
            </w:r>
          </w:p>
        </w:tc>
        <w:tc>
          <w:tcPr>
            <w:tcW w:w="8721" w:type="dxa"/>
            <w:gridSpan w:val="8"/>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新建    改建√    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设计生产能力</w:t>
            </w:r>
          </w:p>
        </w:tc>
        <w:tc>
          <w:tcPr>
            <w:tcW w:w="6603" w:type="dxa"/>
            <w:gridSpan w:val="5"/>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color w:val="000000" w:themeColor="text1"/>
                <w:kern w:val="0"/>
                <w:sz w:val="21"/>
                <w:szCs w:val="21"/>
                <w:lang w:eastAsia="zh-CN"/>
                <w14:textFill>
                  <w14:solidFill>
                    <w14:schemeClr w14:val="tx1"/>
                  </w14:solidFill>
                </w14:textFill>
              </w:rPr>
              <w:t>年灌装氯代特戊酰氯10000吨、特戊酰氯1000吨</w:t>
            </w:r>
          </w:p>
        </w:tc>
        <w:tc>
          <w:tcPr>
            <w:tcW w:w="255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实际生产能力</w:t>
            </w:r>
          </w:p>
        </w:tc>
        <w:tc>
          <w:tcPr>
            <w:tcW w:w="283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hint="eastAsia" w:cs="Times New Roman"/>
                <w:color w:val="000000" w:themeColor="text1"/>
                <w:kern w:val="0"/>
                <w:sz w:val="21"/>
                <w:szCs w:val="21"/>
                <w:lang w:eastAsia="zh-CN"/>
                <w14:textFill>
                  <w14:solidFill>
                    <w14:schemeClr w14:val="tx1"/>
                  </w14:solidFill>
                </w14:textFill>
              </w:rPr>
              <w:t>年灌装氯代特戊酰氯10000吨、特戊酰氯1000吨</w:t>
            </w:r>
          </w:p>
        </w:tc>
        <w:tc>
          <w:tcPr>
            <w:tcW w:w="2409"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环评单位</w:t>
            </w:r>
          </w:p>
        </w:tc>
        <w:tc>
          <w:tcPr>
            <w:tcW w:w="3477" w:type="dxa"/>
            <w:gridSpan w:val="4"/>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eastAsia="zh-CN"/>
              </w:rPr>
              <w:t>山东同济环境工程设计院有限公司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环评文件审批机关</w:t>
            </w:r>
          </w:p>
        </w:tc>
        <w:tc>
          <w:tcPr>
            <w:tcW w:w="6603" w:type="dxa"/>
            <w:gridSpan w:val="5"/>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color w:val="000000"/>
                <w:sz w:val="21"/>
                <w:szCs w:val="21"/>
                <w:lang w:eastAsia="zh-CN"/>
              </w:rPr>
              <w:t>淄博市生态环境局临淄分局</w:t>
            </w:r>
          </w:p>
        </w:tc>
        <w:tc>
          <w:tcPr>
            <w:tcW w:w="255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审批文号</w:t>
            </w:r>
          </w:p>
        </w:tc>
        <w:tc>
          <w:tcPr>
            <w:tcW w:w="2835" w:type="dxa"/>
            <w:gridSpan w:val="2"/>
            <w:vAlign w:val="center"/>
          </w:tcPr>
          <w:p>
            <w:pPr>
              <w:widowControl w:val="0"/>
              <w:adjustRightInd w:val="0"/>
              <w:snapToGrid w:val="0"/>
              <w:spacing w:line="240" w:lineRule="auto"/>
              <w:ind w:firstLine="0" w:firstLineChars="0"/>
              <w:jc w:val="center"/>
              <w:rPr>
                <w:rFonts w:hint="eastAsia" w:eastAsia="宋体" w:cs="Times New Roman"/>
                <w:color w:val="000000"/>
                <w:sz w:val="21"/>
                <w:szCs w:val="21"/>
                <w:lang w:eastAsia="zh-CN"/>
              </w:rPr>
            </w:pPr>
            <w:r>
              <w:rPr>
                <w:rFonts w:hint="eastAsia" w:cs="Times New Roman"/>
                <w:sz w:val="21"/>
                <w:szCs w:val="21"/>
                <w:lang w:eastAsia="zh-CN"/>
              </w:rPr>
              <w:t>临环审字[2022]016号</w:t>
            </w:r>
          </w:p>
        </w:tc>
        <w:tc>
          <w:tcPr>
            <w:tcW w:w="2409" w:type="dxa"/>
            <w:gridSpan w:val="2"/>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color w:val="000000"/>
                <w:sz w:val="21"/>
                <w:szCs w:val="21"/>
              </w:rPr>
              <w:t>环评文件类型</w:t>
            </w:r>
          </w:p>
        </w:tc>
        <w:tc>
          <w:tcPr>
            <w:tcW w:w="3477" w:type="dxa"/>
            <w:gridSpan w:val="4"/>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开工日期</w:t>
            </w:r>
          </w:p>
        </w:tc>
        <w:tc>
          <w:tcPr>
            <w:tcW w:w="6603" w:type="dxa"/>
            <w:gridSpan w:val="5"/>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color w:val="auto"/>
                <w:sz w:val="21"/>
                <w:szCs w:val="21"/>
                <w:lang w:val="en-US" w:eastAsia="zh-CN"/>
              </w:rPr>
              <w:t>2022.04</w:t>
            </w:r>
          </w:p>
        </w:tc>
        <w:tc>
          <w:tcPr>
            <w:tcW w:w="255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竣工日期</w:t>
            </w:r>
          </w:p>
        </w:tc>
        <w:tc>
          <w:tcPr>
            <w:tcW w:w="2835" w:type="dxa"/>
            <w:gridSpan w:val="2"/>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2022.10</w:t>
            </w:r>
          </w:p>
        </w:tc>
        <w:tc>
          <w:tcPr>
            <w:tcW w:w="2409"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排污许可证申领时间</w:t>
            </w:r>
          </w:p>
        </w:tc>
        <w:tc>
          <w:tcPr>
            <w:tcW w:w="3477" w:type="dxa"/>
            <w:gridSpan w:val="4"/>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环保设施设计单位</w:t>
            </w:r>
          </w:p>
        </w:tc>
        <w:tc>
          <w:tcPr>
            <w:tcW w:w="6603" w:type="dxa"/>
            <w:gridSpan w:val="5"/>
            <w:vAlign w:val="center"/>
          </w:tcPr>
          <w:p>
            <w:pPr>
              <w:widowControl w:val="0"/>
              <w:adjustRightInd w:val="0"/>
              <w:snapToGrid w:val="0"/>
              <w:spacing w:line="240" w:lineRule="auto"/>
              <w:ind w:firstLine="0" w:firstLineChars="0"/>
              <w:jc w:val="center"/>
              <w:rPr>
                <w:rFonts w:hint="eastAsia" w:eastAsia="宋体" w:cs="Times New Roman"/>
                <w:color w:val="000000"/>
                <w:sz w:val="21"/>
                <w:szCs w:val="21"/>
                <w:lang w:eastAsia="zh-CN"/>
              </w:rPr>
            </w:pPr>
            <w:r>
              <w:rPr>
                <w:rFonts w:hint="eastAsia" w:cs="Times New Roman"/>
                <w:bCs/>
                <w:color w:val="000000"/>
                <w:sz w:val="21"/>
                <w:szCs w:val="21"/>
                <w:lang w:eastAsia="zh-CN"/>
              </w:rPr>
              <w:t>山东民基新材料科技有限公司</w:t>
            </w:r>
          </w:p>
        </w:tc>
        <w:tc>
          <w:tcPr>
            <w:tcW w:w="2552" w:type="dxa"/>
            <w:gridSpan w:val="2"/>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color w:val="000000"/>
                <w:sz w:val="21"/>
                <w:szCs w:val="21"/>
              </w:rPr>
              <w:t>环保设施施工单位</w:t>
            </w:r>
          </w:p>
        </w:tc>
        <w:tc>
          <w:tcPr>
            <w:tcW w:w="2835" w:type="dxa"/>
            <w:gridSpan w:val="2"/>
            <w:vAlign w:val="center"/>
          </w:tcPr>
          <w:p>
            <w:pPr>
              <w:widowControl w:val="0"/>
              <w:adjustRightInd w:val="0"/>
              <w:snapToGrid w:val="0"/>
              <w:spacing w:line="240" w:lineRule="auto"/>
              <w:ind w:firstLine="0" w:firstLineChars="0"/>
              <w:jc w:val="center"/>
              <w:rPr>
                <w:rFonts w:hint="eastAsia" w:eastAsia="宋体" w:cs="Times New Roman"/>
                <w:color w:val="000000"/>
                <w:sz w:val="21"/>
                <w:szCs w:val="21"/>
                <w:lang w:eastAsia="zh-CN"/>
              </w:rPr>
            </w:pPr>
            <w:r>
              <w:rPr>
                <w:rFonts w:hint="eastAsia" w:cs="Times New Roman"/>
                <w:bCs/>
                <w:color w:val="000000"/>
                <w:sz w:val="21"/>
                <w:szCs w:val="21"/>
                <w:lang w:eastAsia="zh-CN"/>
              </w:rPr>
              <w:t>山东民基新材料科技有限公司</w:t>
            </w:r>
          </w:p>
        </w:tc>
        <w:tc>
          <w:tcPr>
            <w:tcW w:w="2409" w:type="dxa"/>
            <w:gridSpan w:val="2"/>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color w:val="000000"/>
                <w:sz w:val="21"/>
                <w:szCs w:val="21"/>
              </w:rPr>
              <w:t>本工程排污许可证编号</w:t>
            </w:r>
          </w:p>
        </w:tc>
        <w:tc>
          <w:tcPr>
            <w:tcW w:w="3477" w:type="dxa"/>
            <w:gridSpan w:val="4"/>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验收单位</w:t>
            </w:r>
          </w:p>
        </w:tc>
        <w:tc>
          <w:tcPr>
            <w:tcW w:w="6603" w:type="dxa"/>
            <w:gridSpan w:val="5"/>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bCs/>
                <w:color w:val="000000"/>
                <w:sz w:val="21"/>
                <w:szCs w:val="21"/>
                <w:lang w:eastAsia="zh-CN"/>
              </w:rPr>
              <w:t>山东民基新材料科技有限公司</w:t>
            </w:r>
          </w:p>
        </w:tc>
        <w:tc>
          <w:tcPr>
            <w:tcW w:w="255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环保设施监测单位</w:t>
            </w:r>
          </w:p>
        </w:tc>
        <w:tc>
          <w:tcPr>
            <w:tcW w:w="283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山东方杰检测技术有限公司</w:t>
            </w:r>
          </w:p>
        </w:tc>
        <w:tc>
          <w:tcPr>
            <w:tcW w:w="2409"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验收监测时工况</w:t>
            </w:r>
          </w:p>
        </w:tc>
        <w:tc>
          <w:tcPr>
            <w:tcW w:w="3477" w:type="dxa"/>
            <w:gridSpan w:val="4"/>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color w:val="auto"/>
                <w:sz w:val="21"/>
                <w:szCs w:val="21"/>
              </w:rPr>
              <w:t>8</w:t>
            </w:r>
            <w:r>
              <w:rPr>
                <w:rFonts w:hint="eastAsia" w:cs="Times New Roman"/>
                <w:color w:val="auto"/>
                <w:sz w:val="21"/>
                <w:szCs w:val="21"/>
              </w:rPr>
              <w:t>6</w:t>
            </w:r>
            <w:r>
              <w:rPr>
                <w:rFonts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投资总概算（万元）</w:t>
            </w:r>
          </w:p>
        </w:tc>
        <w:tc>
          <w:tcPr>
            <w:tcW w:w="6603" w:type="dxa"/>
            <w:gridSpan w:val="5"/>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45</w:t>
            </w:r>
          </w:p>
        </w:tc>
        <w:tc>
          <w:tcPr>
            <w:tcW w:w="255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环保投资总概算（万元）</w:t>
            </w:r>
          </w:p>
        </w:tc>
        <w:tc>
          <w:tcPr>
            <w:tcW w:w="2835" w:type="dxa"/>
            <w:gridSpan w:val="2"/>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5</w:t>
            </w:r>
          </w:p>
        </w:tc>
        <w:tc>
          <w:tcPr>
            <w:tcW w:w="2409"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所占比例（%）</w:t>
            </w:r>
          </w:p>
        </w:tc>
        <w:tc>
          <w:tcPr>
            <w:tcW w:w="3477" w:type="dxa"/>
            <w:gridSpan w:val="4"/>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实际总投资（万元）</w:t>
            </w:r>
          </w:p>
        </w:tc>
        <w:tc>
          <w:tcPr>
            <w:tcW w:w="6603" w:type="dxa"/>
            <w:gridSpan w:val="5"/>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45</w:t>
            </w:r>
          </w:p>
        </w:tc>
        <w:tc>
          <w:tcPr>
            <w:tcW w:w="255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实际环保投资（万元）</w:t>
            </w:r>
          </w:p>
        </w:tc>
        <w:tc>
          <w:tcPr>
            <w:tcW w:w="2835" w:type="dxa"/>
            <w:gridSpan w:val="2"/>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5</w:t>
            </w:r>
          </w:p>
        </w:tc>
        <w:tc>
          <w:tcPr>
            <w:tcW w:w="2409"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所占比例（%）</w:t>
            </w:r>
          </w:p>
        </w:tc>
        <w:tc>
          <w:tcPr>
            <w:tcW w:w="3477" w:type="dxa"/>
            <w:gridSpan w:val="4"/>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废水治理（万元）</w:t>
            </w:r>
          </w:p>
        </w:tc>
        <w:tc>
          <w:tcPr>
            <w:tcW w:w="1134" w:type="dxa"/>
            <w:vAlign w:val="center"/>
          </w:tcPr>
          <w:p>
            <w:pPr>
              <w:widowControl w:val="0"/>
              <w:adjustRightInd w:val="0"/>
              <w:snapToGrid w:val="0"/>
              <w:spacing w:line="240" w:lineRule="auto"/>
              <w:ind w:firstLine="0" w:firstLineChars="0"/>
              <w:jc w:val="center"/>
              <w:rPr>
                <w:rFonts w:hint="eastAsia" w:eastAsia="宋体" w:cs="Times New Roman"/>
                <w:color w:val="000000"/>
                <w:sz w:val="21"/>
                <w:szCs w:val="21"/>
                <w:lang w:val="en-US" w:eastAsia="zh-CN"/>
              </w:rPr>
            </w:pPr>
            <w:r>
              <w:rPr>
                <w:rFonts w:hint="eastAsia" w:cs="Times New Roman"/>
                <w:color w:val="000000"/>
                <w:sz w:val="21"/>
                <w:szCs w:val="21"/>
                <w:lang w:val="en-US" w:eastAsia="zh-CN"/>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废气治理（万元）</w:t>
            </w:r>
          </w:p>
        </w:tc>
        <w:tc>
          <w:tcPr>
            <w:tcW w:w="1276" w:type="dxa"/>
            <w:vAlign w:val="center"/>
          </w:tcPr>
          <w:p>
            <w:pPr>
              <w:widowControl w:val="0"/>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4</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噪声治理（万元）</w:t>
            </w:r>
          </w:p>
        </w:tc>
        <w:tc>
          <w:tcPr>
            <w:tcW w:w="1417" w:type="dxa"/>
            <w:vAlign w:val="center"/>
          </w:tcPr>
          <w:p>
            <w:pPr>
              <w:widowControl w:val="0"/>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1</w:t>
            </w:r>
          </w:p>
        </w:tc>
        <w:tc>
          <w:tcPr>
            <w:tcW w:w="255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固废治理（万元）</w:t>
            </w:r>
          </w:p>
        </w:tc>
        <w:tc>
          <w:tcPr>
            <w:tcW w:w="2835" w:type="dxa"/>
            <w:gridSpan w:val="2"/>
            <w:vAlign w:val="center"/>
          </w:tcPr>
          <w:p>
            <w:pPr>
              <w:widowControl w:val="0"/>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w:t>
            </w:r>
          </w:p>
        </w:tc>
        <w:tc>
          <w:tcPr>
            <w:tcW w:w="2409"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绿化</w:t>
            </w:r>
          </w:p>
        </w:tc>
        <w:tc>
          <w:tcPr>
            <w:tcW w:w="993" w:type="dxa"/>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val="en-US" w:eastAsia="zh-CN"/>
              </w:rPr>
              <w:t>-</w:t>
            </w:r>
          </w:p>
        </w:tc>
        <w:tc>
          <w:tcPr>
            <w:tcW w:w="1358"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其他（万元）</w:t>
            </w:r>
          </w:p>
        </w:tc>
        <w:tc>
          <w:tcPr>
            <w:tcW w:w="1126" w:type="dxa"/>
            <w:vAlign w:val="center"/>
          </w:tcPr>
          <w:p>
            <w:pPr>
              <w:widowControl w:val="0"/>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新增废水处理设施能力</w:t>
            </w:r>
          </w:p>
        </w:tc>
        <w:tc>
          <w:tcPr>
            <w:tcW w:w="6603" w:type="dxa"/>
            <w:gridSpan w:val="5"/>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255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新增废气处理设施能力</w:t>
            </w:r>
          </w:p>
        </w:tc>
        <w:tc>
          <w:tcPr>
            <w:tcW w:w="283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2409"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年平均工作时间</w:t>
            </w:r>
          </w:p>
        </w:tc>
        <w:tc>
          <w:tcPr>
            <w:tcW w:w="3477" w:type="dxa"/>
            <w:gridSpan w:val="4"/>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hint="eastAsia" w:cs="Times New Roman"/>
                <w:color w:val="auto"/>
                <w:sz w:val="21"/>
                <w:szCs w:val="21"/>
                <w:lang w:val="en-US" w:eastAsia="zh-CN"/>
              </w:rPr>
              <w:t>1100</w:t>
            </w:r>
            <w:r>
              <w:rPr>
                <w:rFonts w:cs="Times New Roman"/>
                <w:color w:val="auto"/>
                <w:sz w:val="21"/>
                <w:szCs w:val="21"/>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45" w:type="dxa"/>
            <w:gridSpan w:val="3"/>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运营单位</w:t>
            </w:r>
          </w:p>
        </w:tc>
        <w:tc>
          <w:tcPr>
            <w:tcW w:w="5186" w:type="dxa"/>
            <w:gridSpan w:val="4"/>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3969" w:type="dxa"/>
            <w:gridSpan w:val="3"/>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运营单位社会统一信用代码（或组织机构代码）</w:t>
            </w:r>
          </w:p>
        </w:tc>
        <w:tc>
          <w:tcPr>
            <w:tcW w:w="283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2409"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验收时间</w:t>
            </w:r>
          </w:p>
        </w:tc>
        <w:tc>
          <w:tcPr>
            <w:tcW w:w="3477" w:type="dxa"/>
            <w:gridSpan w:val="4"/>
            <w:vAlign w:val="center"/>
          </w:tcPr>
          <w:p>
            <w:pPr>
              <w:widowControl w:val="0"/>
              <w:adjustRightInd w:val="0"/>
              <w:snapToGrid w:val="0"/>
              <w:spacing w:line="240" w:lineRule="auto"/>
              <w:ind w:firstLine="0" w:firstLineChars="0"/>
              <w:jc w:val="center"/>
              <w:rPr>
                <w:rFonts w:hint="eastAsia" w:eastAsia="宋体" w:cs="Times New Roman"/>
                <w:sz w:val="21"/>
                <w:szCs w:val="21"/>
                <w:highlight w:val="yellow"/>
                <w:lang w:eastAsia="zh-CN"/>
              </w:rPr>
            </w:pPr>
            <w:r>
              <w:rPr>
                <w:rFonts w:hint="eastAsia" w:cs="Times New Roman"/>
                <w:sz w:val="21"/>
                <w:szCs w:val="21"/>
                <w:lang w:eastAsia="zh-CN"/>
              </w:rPr>
              <w:t>2022.12.06-2022.12.07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restart"/>
            <w:textDirection w:val="tbRlV"/>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污染物排放达标与总量控制(工业建设项目详填)</w:t>
            </w: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污染物</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原有排放量</w:t>
            </w:r>
          </w:p>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（1）</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本期工程实际排放浓度（2）</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本期工程允许排放浓度（3）</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本期工程产生量（4）</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本期工程自身削减量（5）</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本期工程实际排放量（6）</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本期工程核定排放总量（7）</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本期工程“以新带老”削减量（8）</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全厂实际排放总量（9）</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全厂核定排放总量（10）</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区域平衡替代削减量（11）</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color w:val="000000"/>
                <w:sz w:val="21"/>
                <w:szCs w:val="21"/>
              </w:rPr>
            </w:pPr>
            <w:r>
              <w:rPr>
                <w:rFonts w:cs="Times New Roman"/>
                <w:color w:val="000000"/>
                <w:sz w:val="21"/>
                <w:szCs w:val="21"/>
              </w:rPr>
              <w:t>废水</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化学需氧量</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氨氮</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kern w:val="0"/>
                <w:sz w:val="21"/>
                <w:szCs w:val="21"/>
              </w:rPr>
              <w:t>石油类</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废气</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kern w:val="0"/>
                <w:sz w:val="21"/>
                <w:szCs w:val="21"/>
              </w:rPr>
              <w:t>二氧化硫</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kern w:val="0"/>
                <w:sz w:val="21"/>
                <w:szCs w:val="21"/>
              </w:rPr>
              <w:t>烟尘</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kern w:val="0"/>
                <w:sz w:val="21"/>
                <w:szCs w:val="21"/>
              </w:rPr>
              <w:t>工业粉尘</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kern w:val="0"/>
                <w:sz w:val="21"/>
                <w:szCs w:val="21"/>
              </w:rPr>
              <w:t>氮氧化物</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259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工业固体废物</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009" w:type="dxa"/>
            <w:vMerge w:val="restart"/>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与本项目有关的其他特征污染物</w:t>
            </w:r>
          </w:p>
        </w:tc>
        <w:tc>
          <w:tcPr>
            <w:tcW w:w="1585"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134"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highlight w:val="yellow"/>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009"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585"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009"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585"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009" w:type="dxa"/>
            <w:vMerge w:val="continue"/>
            <w:vAlign w:val="center"/>
          </w:tcPr>
          <w:p>
            <w:pPr>
              <w:widowControl w:val="0"/>
              <w:adjustRightInd w:val="0"/>
              <w:snapToGrid w:val="0"/>
              <w:spacing w:line="240" w:lineRule="auto"/>
              <w:ind w:firstLine="0" w:firstLineChars="0"/>
              <w:jc w:val="center"/>
              <w:rPr>
                <w:rFonts w:cs="Times New Roman"/>
                <w:sz w:val="21"/>
                <w:szCs w:val="21"/>
              </w:rPr>
            </w:pPr>
          </w:p>
        </w:tc>
        <w:tc>
          <w:tcPr>
            <w:tcW w:w="1585"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13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35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8"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417"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27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4"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56" w:type="dxa"/>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32"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1745" w:type="dxa"/>
            <w:gridSpan w:val="2"/>
            <w:vAlign w:val="center"/>
          </w:tcPr>
          <w:p>
            <w:pPr>
              <w:widowControl w:val="0"/>
              <w:adjustRightInd w:val="0"/>
              <w:snapToGrid w:val="0"/>
              <w:spacing w:line="240" w:lineRule="auto"/>
              <w:ind w:firstLine="0" w:firstLineChars="0"/>
              <w:jc w:val="center"/>
              <w:rPr>
                <w:rFonts w:cs="Times New Roman"/>
                <w:sz w:val="21"/>
                <w:szCs w:val="21"/>
              </w:rPr>
            </w:pPr>
            <w:r>
              <w:rPr>
                <w:rFonts w:cs="Times New Roman"/>
                <w:sz w:val="21"/>
                <w:szCs w:val="21"/>
              </w:rPr>
              <w:t>-</w:t>
            </w:r>
          </w:p>
        </w:tc>
      </w:tr>
    </w:tbl>
    <w:p>
      <w:pPr>
        <w:widowControl w:val="0"/>
        <w:adjustRightInd w:val="0"/>
        <w:snapToGrid w:val="0"/>
        <w:spacing w:line="240" w:lineRule="exact"/>
        <w:ind w:firstLine="360"/>
        <w:jc w:val="both"/>
        <w:rPr>
          <w:rFonts w:cs="Times New Roman" w:eastAsiaTheme="minorEastAsia"/>
          <w:color w:val="000000"/>
          <w:sz w:val="18"/>
          <w:szCs w:val="18"/>
        </w:rPr>
      </w:pPr>
      <w:r>
        <w:rPr>
          <w:rFonts w:cs="Times New Roman" w:eastAsiaTheme="minorEastAsia"/>
          <w:color w:val="000000"/>
          <w:sz w:val="18"/>
          <w:szCs w:val="18"/>
        </w:rPr>
        <w:t>注：1、排放增减量：(+)表示增加，(-)表示减少。2、(12)=(6)-(8)-(11)，(9)=(4)-(5)-(8)-(11)+(1)。3、计量单位：废水排放量——万吨/年；废气排放量——万标立方米/年；工业固体废物排放量——万吨/年；水污染物排放浓度——毫克/升；</w:t>
      </w:r>
    </w:p>
    <w:p>
      <w:pPr>
        <w:widowControl w:val="0"/>
        <w:adjustRightInd w:val="0"/>
        <w:snapToGrid w:val="0"/>
        <w:spacing w:line="240" w:lineRule="exact"/>
        <w:ind w:firstLine="990" w:firstLineChars="550"/>
        <w:jc w:val="both"/>
        <w:rPr>
          <w:rFonts w:cs="Times New Roman" w:eastAsiaTheme="minorEastAsia"/>
        </w:rPr>
      </w:pPr>
      <w:r>
        <w:rPr>
          <w:rFonts w:cs="Times New Roman" w:eastAsiaTheme="minorEastAsia"/>
          <w:color w:val="000000"/>
          <w:sz w:val="18"/>
          <w:szCs w:val="18"/>
        </w:rPr>
        <w:t>大气污染物排放浓度——毫克/立方米；水污染物排放量——吨/年；大气污染物排放量——吨/年。</w:t>
      </w:r>
    </w:p>
    <w:sectPr>
      <w:footerReference r:id="rId14" w:type="default"/>
      <w:headerReference r:id="rId13" w:type="even"/>
      <w:footerReference r:id="rId15" w:type="even"/>
      <w:pgSz w:w="23814" w:h="16840" w:orient="landscape"/>
      <w:pgMar w:top="1418" w:right="1440" w:bottom="1588" w:left="1191" w:header="1077" w:footer="964" w:gutter="0"/>
      <w:cols w:space="425" w:num="1"/>
      <w:docGrid w:type="linesAndChars" w:linePitch="35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1008174"/>
    </w:sdtPr>
    <w:sdtContent>
      <w:p>
        <w:pPr>
          <w:pStyle w:val="27"/>
          <w:ind w:firstLine="480"/>
          <w:jc w:val="center"/>
        </w:pPr>
        <w:r>
          <w:fldChar w:fldCharType="begin"/>
        </w:r>
        <w:r>
          <w:instrText xml:space="preserve">PAGE   \* MERGEFORMAT</w:instrText>
        </w:r>
        <w:r>
          <w:fldChar w:fldCharType="separate"/>
        </w:r>
        <w:r>
          <w:rPr>
            <w:lang w:val="zh-CN"/>
          </w:rPr>
          <w:t>39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617764"/>
    </w:sdtPr>
    <w:sdtContent>
      <w:p>
        <w:pPr>
          <w:pStyle w:val="90"/>
        </w:pPr>
        <w:r>
          <w:fldChar w:fldCharType="begin"/>
        </w:r>
        <w:r>
          <w:instrText xml:space="preserve">PAGE   \* MERGEFORMAT</w:instrText>
        </w:r>
        <w:r>
          <w:fldChar w:fldCharType="separate"/>
        </w:r>
        <w:r>
          <w:rPr>
            <w:lang w:val="zh-CN"/>
          </w:rPr>
          <w:t>40</w:t>
        </w:r>
        <w:r>
          <w:rPr>
            <w:lang w:val="zh-CN"/>
          </w:rPr>
          <w:fldChar w:fldCharType="end"/>
        </w:r>
        <w:r>
          <w:rPr>
            <w:rFonts w:hint="eastAsia"/>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spacing w:before="120"/>
      <w:ind w:firstLine="0" w:firstLineChars="0"/>
      <w:jc w:val="left"/>
      <w:rPr>
        <w:rFonts w:ascii="宋体" w:hAnsi="宋体" w:cs="宋体"/>
        <w:spacing w:val="-6"/>
        <w:sz w:val="21"/>
        <w:szCs w:val="21"/>
      </w:rPr>
    </w:pPr>
    <w:r>
      <w:rPr>
        <w:rFonts w:hint="eastAsia" w:ascii="宋体" w:hAnsi="宋体" w:cs="宋体"/>
        <w:spacing w:val="-6"/>
        <w:sz w:val="21"/>
        <w:szCs w:val="21"/>
        <w:lang w:eastAsia="zh-CN"/>
      </w:rPr>
      <w:t>山东民基新材料科技有限公司灌装间提升技改项目</w:t>
    </w:r>
    <w:r>
      <w:rPr>
        <w:rFonts w:hint="eastAsia" w:ascii="宋体" w:hAnsi="宋体" w:cs="宋体"/>
        <w:spacing w:val="-6"/>
        <w:sz w:val="21"/>
        <w:szCs w:val="21"/>
      </w:rPr>
      <w:t>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2BDECF"/>
    <w:multiLevelType w:val="singleLevel"/>
    <w:tmpl w:val="982BDECF"/>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11A34F13"/>
    <w:multiLevelType w:val="multilevel"/>
    <w:tmpl w:val="11A34F1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8174CB9"/>
    <w:multiLevelType w:val="multilevel"/>
    <w:tmpl w:val="18174CB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9DE0140"/>
    <w:multiLevelType w:val="multilevel"/>
    <w:tmpl w:val="49DE014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FE65ED5"/>
    <w:multiLevelType w:val="multilevel"/>
    <w:tmpl w:val="4FE65ED5"/>
    <w:lvl w:ilvl="0" w:tentative="0">
      <w:start w:val="1"/>
      <w:numFmt w:val="decimal"/>
      <w:lvlText w:val="附件%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69C02F8"/>
    <w:multiLevelType w:val="multilevel"/>
    <w:tmpl w:val="769C02F8"/>
    <w:lvl w:ilvl="0" w:tentative="0">
      <w:start w:val="1"/>
      <w:numFmt w:val="chineseCountingThousand"/>
      <w:pStyle w:val="7"/>
      <w:lvlText w:val="第%1章"/>
      <w:lvlJc w:val="left"/>
      <w:pPr>
        <w:ind w:left="0" w:firstLine="0"/>
      </w:pPr>
      <w:rPr>
        <w:rFonts w:hint="eastAsia"/>
      </w:rPr>
    </w:lvl>
    <w:lvl w:ilvl="1" w:tentative="0">
      <w:start w:val="1"/>
      <w:numFmt w:val="decimal"/>
      <w:pStyle w:val="8"/>
      <w:isLgl/>
      <w:lvlText w:val="%1.%2"/>
      <w:lvlJc w:val="left"/>
      <w:pPr>
        <w:ind w:left="0" w:firstLine="0"/>
      </w:pPr>
      <w:rPr>
        <w:rFonts w:hint="eastAsia"/>
      </w:rPr>
    </w:lvl>
    <w:lvl w:ilvl="2" w:tentative="0">
      <w:start w:val="1"/>
      <w:numFmt w:val="decimal"/>
      <w:pStyle w:val="9"/>
      <w:isLgl/>
      <w:lvlText w:val="%1.%2.%3"/>
      <w:lvlJc w:val="left"/>
      <w:pPr>
        <w:ind w:left="0" w:firstLine="0"/>
      </w:pPr>
      <w:rPr>
        <w:rFonts w:hint="eastAsia"/>
      </w:rPr>
    </w:lvl>
    <w:lvl w:ilvl="3" w:tentative="0">
      <w:start w:val="1"/>
      <w:numFmt w:val="decimal"/>
      <w:pStyle w:val="10"/>
      <w:isLgl/>
      <w:lvlText w:val="%1.%2.%3.%4"/>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11"/>
      <w:lvlText w:val="1.%2.%3.%4.%5"/>
      <w:lvlJc w:val="left"/>
      <w:pPr>
        <w:ind w:left="0" w:firstLine="0"/>
      </w:pPr>
      <w:rPr>
        <w:rFonts w:hint="eastAsia" w:ascii="Times New Roman" w:hAnsi="Times New Roman"/>
        <w:b w:val="0"/>
        <w:bCs w:val="0"/>
        <w:i w:val="0"/>
        <w:iCs w:val="0"/>
        <w:caps w:val="0"/>
        <w:smallCaps w:val="0"/>
        <w:strike w:val="0"/>
        <w:dstrike w:val="0"/>
        <w:outline w:val="0"/>
        <w:shadow w:val="0"/>
        <w:emboss w:val="0"/>
        <w:imprint w:val="0"/>
        <w:snapToGrid w:val="0"/>
        <w:vanish w:val="0"/>
        <w:spacing w:val="0"/>
        <w:position w:val="0"/>
        <w:u w:val="none"/>
        <w:vertAlign w:val="baseline"/>
        <w14:ligatures w14:val="none"/>
        <w14:numForm w14:val="default"/>
        <w14:numSpacing w14:val="default"/>
      </w:rPr>
    </w:lvl>
    <w:lvl w:ilvl="5" w:tentative="0">
      <w:start w:val="1"/>
      <w:numFmt w:val="decimal"/>
      <w:pStyle w:val="12"/>
      <w:lvlText w:val="1.%2.%3.%4.%5.%6"/>
      <w:lvlJc w:val="left"/>
      <w:pPr>
        <w:ind w:left="0" w:firstLine="0"/>
      </w:pPr>
      <w:rPr>
        <w:rFonts w:hint="eastAsia"/>
      </w:rPr>
    </w:lvl>
    <w:lvl w:ilvl="6" w:tentative="0">
      <w:start w:val="1"/>
      <w:numFmt w:val="decimal"/>
      <w:pStyle w:val="13"/>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5"/>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kzZjIxY2QwNDcyOTU2ZDNmOTBlZmNjOTUxMmYifQ=="/>
  </w:docVars>
  <w:rsids>
    <w:rsidRoot w:val="003B7185"/>
    <w:rsid w:val="000026C8"/>
    <w:rsid w:val="000069F3"/>
    <w:rsid w:val="00006EC6"/>
    <w:rsid w:val="00022584"/>
    <w:rsid w:val="000321B5"/>
    <w:rsid w:val="00045AC8"/>
    <w:rsid w:val="00046B2D"/>
    <w:rsid w:val="00046DE5"/>
    <w:rsid w:val="00073FE1"/>
    <w:rsid w:val="00081259"/>
    <w:rsid w:val="00084046"/>
    <w:rsid w:val="00090416"/>
    <w:rsid w:val="00092960"/>
    <w:rsid w:val="00095BB9"/>
    <w:rsid w:val="00096BCE"/>
    <w:rsid w:val="000A1DE3"/>
    <w:rsid w:val="000B5DBE"/>
    <w:rsid w:val="000C3DA7"/>
    <w:rsid w:val="000C50EC"/>
    <w:rsid w:val="000C732A"/>
    <w:rsid w:val="000D40B5"/>
    <w:rsid w:val="000D6460"/>
    <w:rsid w:val="000E54F0"/>
    <w:rsid w:val="0012249A"/>
    <w:rsid w:val="001264B8"/>
    <w:rsid w:val="00131082"/>
    <w:rsid w:val="00133BA7"/>
    <w:rsid w:val="001364F9"/>
    <w:rsid w:val="0014657E"/>
    <w:rsid w:val="00150EAD"/>
    <w:rsid w:val="00155352"/>
    <w:rsid w:val="001719E1"/>
    <w:rsid w:val="00174644"/>
    <w:rsid w:val="0018107F"/>
    <w:rsid w:val="00186909"/>
    <w:rsid w:val="001A3029"/>
    <w:rsid w:val="001A41C6"/>
    <w:rsid w:val="001B1EF3"/>
    <w:rsid w:val="001B218E"/>
    <w:rsid w:val="001C0372"/>
    <w:rsid w:val="001C7D5E"/>
    <w:rsid w:val="001F1332"/>
    <w:rsid w:val="00200154"/>
    <w:rsid w:val="002033F4"/>
    <w:rsid w:val="002056BB"/>
    <w:rsid w:val="002126CE"/>
    <w:rsid w:val="00216A6C"/>
    <w:rsid w:val="00222988"/>
    <w:rsid w:val="002312F0"/>
    <w:rsid w:val="00244401"/>
    <w:rsid w:val="00252D1A"/>
    <w:rsid w:val="002574BB"/>
    <w:rsid w:val="002765A8"/>
    <w:rsid w:val="00281712"/>
    <w:rsid w:val="0028486F"/>
    <w:rsid w:val="002933DF"/>
    <w:rsid w:val="002A4265"/>
    <w:rsid w:val="002B2740"/>
    <w:rsid w:val="002B29E2"/>
    <w:rsid w:val="002C329B"/>
    <w:rsid w:val="002D17AA"/>
    <w:rsid w:val="002E6C93"/>
    <w:rsid w:val="003220A3"/>
    <w:rsid w:val="00322242"/>
    <w:rsid w:val="00325058"/>
    <w:rsid w:val="003307AB"/>
    <w:rsid w:val="00330D57"/>
    <w:rsid w:val="00335C6C"/>
    <w:rsid w:val="00341B64"/>
    <w:rsid w:val="00350435"/>
    <w:rsid w:val="00352CA0"/>
    <w:rsid w:val="00356410"/>
    <w:rsid w:val="003570E6"/>
    <w:rsid w:val="00365CD6"/>
    <w:rsid w:val="00380834"/>
    <w:rsid w:val="00380DBA"/>
    <w:rsid w:val="0038390F"/>
    <w:rsid w:val="00385E0C"/>
    <w:rsid w:val="003A1532"/>
    <w:rsid w:val="003A6A87"/>
    <w:rsid w:val="003B2D43"/>
    <w:rsid w:val="003B7185"/>
    <w:rsid w:val="003C12C4"/>
    <w:rsid w:val="003C1570"/>
    <w:rsid w:val="003C7F6E"/>
    <w:rsid w:val="003D3CEF"/>
    <w:rsid w:val="003F5F2A"/>
    <w:rsid w:val="00430BCF"/>
    <w:rsid w:val="00441A12"/>
    <w:rsid w:val="004508FC"/>
    <w:rsid w:val="004561F9"/>
    <w:rsid w:val="00460B24"/>
    <w:rsid w:val="00461F2F"/>
    <w:rsid w:val="00465B9C"/>
    <w:rsid w:val="00472C78"/>
    <w:rsid w:val="0047681C"/>
    <w:rsid w:val="004778AA"/>
    <w:rsid w:val="00490359"/>
    <w:rsid w:val="0049398A"/>
    <w:rsid w:val="004B2785"/>
    <w:rsid w:val="004B5DBB"/>
    <w:rsid w:val="004D0C09"/>
    <w:rsid w:val="004E52F1"/>
    <w:rsid w:val="004E63E5"/>
    <w:rsid w:val="004F6CB0"/>
    <w:rsid w:val="004F7BAD"/>
    <w:rsid w:val="005243A2"/>
    <w:rsid w:val="00527651"/>
    <w:rsid w:val="00535021"/>
    <w:rsid w:val="005549CE"/>
    <w:rsid w:val="0055679F"/>
    <w:rsid w:val="00556817"/>
    <w:rsid w:val="00561590"/>
    <w:rsid w:val="005665F6"/>
    <w:rsid w:val="00573066"/>
    <w:rsid w:val="005836A4"/>
    <w:rsid w:val="005A78EA"/>
    <w:rsid w:val="005B0189"/>
    <w:rsid w:val="005D498A"/>
    <w:rsid w:val="005E5726"/>
    <w:rsid w:val="005E7D55"/>
    <w:rsid w:val="00601581"/>
    <w:rsid w:val="00610D1D"/>
    <w:rsid w:val="00616B7C"/>
    <w:rsid w:val="00633110"/>
    <w:rsid w:val="00641B90"/>
    <w:rsid w:val="00642004"/>
    <w:rsid w:val="006461FE"/>
    <w:rsid w:val="006535F5"/>
    <w:rsid w:val="006733B1"/>
    <w:rsid w:val="00673B4A"/>
    <w:rsid w:val="006A51F7"/>
    <w:rsid w:val="006B4A8B"/>
    <w:rsid w:val="006B57F1"/>
    <w:rsid w:val="006C738A"/>
    <w:rsid w:val="006D2CD3"/>
    <w:rsid w:val="006D4BD6"/>
    <w:rsid w:val="006E25DD"/>
    <w:rsid w:val="0070475F"/>
    <w:rsid w:val="00713B54"/>
    <w:rsid w:val="00714E58"/>
    <w:rsid w:val="00715464"/>
    <w:rsid w:val="007164FB"/>
    <w:rsid w:val="00733D29"/>
    <w:rsid w:val="00740808"/>
    <w:rsid w:val="007569F0"/>
    <w:rsid w:val="007638F9"/>
    <w:rsid w:val="00780A66"/>
    <w:rsid w:val="007A6CDC"/>
    <w:rsid w:val="007B31B3"/>
    <w:rsid w:val="007B3531"/>
    <w:rsid w:val="007B679B"/>
    <w:rsid w:val="007C0527"/>
    <w:rsid w:val="007C4C3D"/>
    <w:rsid w:val="007D0854"/>
    <w:rsid w:val="007D1DD4"/>
    <w:rsid w:val="007D5583"/>
    <w:rsid w:val="007D763F"/>
    <w:rsid w:val="007E7B3B"/>
    <w:rsid w:val="007F5CB8"/>
    <w:rsid w:val="00800813"/>
    <w:rsid w:val="00802B73"/>
    <w:rsid w:val="00807171"/>
    <w:rsid w:val="00822A2F"/>
    <w:rsid w:val="00834421"/>
    <w:rsid w:val="0083671A"/>
    <w:rsid w:val="0083698E"/>
    <w:rsid w:val="00854E22"/>
    <w:rsid w:val="00857EB1"/>
    <w:rsid w:val="00874FCF"/>
    <w:rsid w:val="00883071"/>
    <w:rsid w:val="00891750"/>
    <w:rsid w:val="00894999"/>
    <w:rsid w:val="008954E9"/>
    <w:rsid w:val="0089577F"/>
    <w:rsid w:val="00896263"/>
    <w:rsid w:val="008A11B3"/>
    <w:rsid w:val="008A39D1"/>
    <w:rsid w:val="008A6B65"/>
    <w:rsid w:val="008C0FBC"/>
    <w:rsid w:val="008C15C9"/>
    <w:rsid w:val="008C26CE"/>
    <w:rsid w:val="008D3370"/>
    <w:rsid w:val="008D3E63"/>
    <w:rsid w:val="008D60BF"/>
    <w:rsid w:val="008E3E7D"/>
    <w:rsid w:val="008F79CC"/>
    <w:rsid w:val="009064C8"/>
    <w:rsid w:val="00916447"/>
    <w:rsid w:val="00923D5D"/>
    <w:rsid w:val="009264CC"/>
    <w:rsid w:val="00927B73"/>
    <w:rsid w:val="0093150D"/>
    <w:rsid w:val="00940504"/>
    <w:rsid w:val="0094277C"/>
    <w:rsid w:val="00944581"/>
    <w:rsid w:val="009524B7"/>
    <w:rsid w:val="00954DFB"/>
    <w:rsid w:val="00961E43"/>
    <w:rsid w:val="00965088"/>
    <w:rsid w:val="00977C8F"/>
    <w:rsid w:val="009821CC"/>
    <w:rsid w:val="00994025"/>
    <w:rsid w:val="00995A61"/>
    <w:rsid w:val="009A6325"/>
    <w:rsid w:val="009B2D9C"/>
    <w:rsid w:val="009C3B7A"/>
    <w:rsid w:val="009C43FC"/>
    <w:rsid w:val="009C6686"/>
    <w:rsid w:val="009C7651"/>
    <w:rsid w:val="009F27A0"/>
    <w:rsid w:val="009F5DAB"/>
    <w:rsid w:val="00A011D9"/>
    <w:rsid w:val="00A140FC"/>
    <w:rsid w:val="00A432AF"/>
    <w:rsid w:val="00A679E2"/>
    <w:rsid w:val="00A842D8"/>
    <w:rsid w:val="00A84950"/>
    <w:rsid w:val="00A94B7D"/>
    <w:rsid w:val="00A94FEF"/>
    <w:rsid w:val="00A951FA"/>
    <w:rsid w:val="00AA1EFD"/>
    <w:rsid w:val="00AA6266"/>
    <w:rsid w:val="00AC56E9"/>
    <w:rsid w:val="00AC6346"/>
    <w:rsid w:val="00AD00E7"/>
    <w:rsid w:val="00AD571C"/>
    <w:rsid w:val="00AE52BD"/>
    <w:rsid w:val="00AF2D8A"/>
    <w:rsid w:val="00AF346C"/>
    <w:rsid w:val="00AF360A"/>
    <w:rsid w:val="00B04354"/>
    <w:rsid w:val="00B17D8A"/>
    <w:rsid w:val="00B27D30"/>
    <w:rsid w:val="00B36FFF"/>
    <w:rsid w:val="00B47FE6"/>
    <w:rsid w:val="00B5712A"/>
    <w:rsid w:val="00B62264"/>
    <w:rsid w:val="00B64F13"/>
    <w:rsid w:val="00B702A0"/>
    <w:rsid w:val="00B712C9"/>
    <w:rsid w:val="00B724CC"/>
    <w:rsid w:val="00B74165"/>
    <w:rsid w:val="00B85C00"/>
    <w:rsid w:val="00B91277"/>
    <w:rsid w:val="00BA5ED5"/>
    <w:rsid w:val="00BB2A59"/>
    <w:rsid w:val="00BB5930"/>
    <w:rsid w:val="00BD5739"/>
    <w:rsid w:val="00BF6295"/>
    <w:rsid w:val="00BF67AB"/>
    <w:rsid w:val="00C1271B"/>
    <w:rsid w:val="00C15C92"/>
    <w:rsid w:val="00C1708F"/>
    <w:rsid w:val="00C21D8A"/>
    <w:rsid w:val="00C57B8A"/>
    <w:rsid w:val="00C60E8D"/>
    <w:rsid w:val="00C61323"/>
    <w:rsid w:val="00C74F15"/>
    <w:rsid w:val="00C75F32"/>
    <w:rsid w:val="00C76459"/>
    <w:rsid w:val="00C81988"/>
    <w:rsid w:val="00C85B93"/>
    <w:rsid w:val="00CB1765"/>
    <w:rsid w:val="00CB22DF"/>
    <w:rsid w:val="00CB47DE"/>
    <w:rsid w:val="00CB6240"/>
    <w:rsid w:val="00CC3396"/>
    <w:rsid w:val="00CD0B8C"/>
    <w:rsid w:val="00CD554D"/>
    <w:rsid w:val="00CD7126"/>
    <w:rsid w:val="00CE261B"/>
    <w:rsid w:val="00CE3175"/>
    <w:rsid w:val="00CE47D9"/>
    <w:rsid w:val="00CF0A8F"/>
    <w:rsid w:val="00CF261D"/>
    <w:rsid w:val="00D115FA"/>
    <w:rsid w:val="00D13F14"/>
    <w:rsid w:val="00D15E36"/>
    <w:rsid w:val="00D22B5C"/>
    <w:rsid w:val="00D265CC"/>
    <w:rsid w:val="00D36CEB"/>
    <w:rsid w:val="00D4431C"/>
    <w:rsid w:val="00D47A34"/>
    <w:rsid w:val="00D51699"/>
    <w:rsid w:val="00D5336E"/>
    <w:rsid w:val="00D6776B"/>
    <w:rsid w:val="00D70137"/>
    <w:rsid w:val="00D80066"/>
    <w:rsid w:val="00D83838"/>
    <w:rsid w:val="00D84DEC"/>
    <w:rsid w:val="00D97270"/>
    <w:rsid w:val="00DA48F9"/>
    <w:rsid w:val="00DC3454"/>
    <w:rsid w:val="00DD4637"/>
    <w:rsid w:val="00DD64A7"/>
    <w:rsid w:val="00DE70E1"/>
    <w:rsid w:val="00DE7BA9"/>
    <w:rsid w:val="00DF3065"/>
    <w:rsid w:val="00DF6F54"/>
    <w:rsid w:val="00E05DE2"/>
    <w:rsid w:val="00E174AB"/>
    <w:rsid w:val="00E22D67"/>
    <w:rsid w:val="00E23DAC"/>
    <w:rsid w:val="00E274AC"/>
    <w:rsid w:val="00E46DE2"/>
    <w:rsid w:val="00E5406C"/>
    <w:rsid w:val="00E6002D"/>
    <w:rsid w:val="00E80370"/>
    <w:rsid w:val="00E835B2"/>
    <w:rsid w:val="00E92882"/>
    <w:rsid w:val="00EA1DD8"/>
    <w:rsid w:val="00EA51EA"/>
    <w:rsid w:val="00EA5C0E"/>
    <w:rsid w:val="00EA6226"/>
    <w:rsid w:val="00EB0282"/>
    <w:rsid w:val="00EC0FA6"/>
    <w:rsid w:val="00EC367A"/>
    <w:rsid w:val="00EC5AC6"/>
    <w:rsid w:val="00EC5EAE"/>
    <w:rsid w:val="00EE078E"/>
    <w:rsid w:val="00EE0DE5"/>
    <w:rsid w:val="00EF69CC"/>
    <w:rsid w:val="00F06A4A"/>
    <w:rsid w:val="00F141CE"/>
    <w:rsid w:val="00F27FE2"/>
    <w:rsid w:val="00F44D10"/>
    <w:rsid w:val="00F734BF"/>
    <w:rsid w:val="00F80DC0"/>
    <w:rsid w:val="00F80F16"/>
    <w:rsid w:val="00F9194A"/>
    <w:rsid w:val="00FB03DE"/>
    <w:rsid w:val="00FB0DA0"/>
    <w:rsid w:val="00FB3C75"/>
    <w:rsid w:val="00FC5038"/>
    <w:rsid w:val="00FC5DAA"/>
    <w:rsid w:val="00FF7C73"/>
    <w:rsid w:val="01537406"/>
    <w:rsid w:val="016F283F"/>
    <w:rsid w:val="01F36FCC"/>
    <w:rsid w:val="0219367D"/>
    <w:rsid w:val="028247F4"/>
    <w:rsid w:val="0293255D"/>
    <w:rsid w:val="02D70647"/>
    <w:rsid w:val="031E4B66"/>
    <w:rsid w:val="03321CA8"/>
    <w:rsid w:val="03B7227C"/>
    <w:rsid w:val="04AA417D"/>
    <w:rsid w:val="05330EC1"/>
    <w:rsid w:val="054A7465"/>
    <w:rsid w:val="054D52CB"/>
    <w:rsid w:val="0580326D"/>
    <w:rsid w:val="0597120E"/>
    <w:rsid w:val="061A4A9F"/>
    <w:rsid w:val="069A51D3"/>
    <w:rsid w:val="06CC4290"/>
    <w:rsid w:val="07207193"/>
    <w:rsid w:val="074B3407"/>
    <w:rsid w:val="0790176F"/>
    <w:rsid w:val="07A92C7D"/>
    <w:rsid w:val="07DF2817"/>
    <w:rsid w:val="08044F52"/>
    <w:rsid w:val="082E670E"/>
    <w:rsid w:val="0875619B"/>
    <w:rsid w:val="095011A8"/>
    <w:rsid w:val="099C7FF6"/>
    <w:rsid w:val="09D81A6A"/>
    <w:rsid w:val="0A0F20AF"/>
    <w:rsid w:val="0A18786D"/>
    <w:rsid w:val="0A2D14EA"/>
    <w:rsid w:val="0A714085"/>
    <w:rsid w:val="0AA417AC"/>
    <w:rsid w:val="0AD230B7"/>
    <w:rsid w:val="0B594ADB"/>
    <w:rsid w:val="0BD53225"/>
    <w:rsid w:val="0C25691C"/>
    <w:rsid w:val="0C3504B5"/>
    <w:rsid w:val="0C672D29"/>
    <w:rsid w:val="0DB237B3"/>
    <w:rsid w:val="0EA77729"/>
    <w:rsid w:val="0EAC6E81"/>
    <w:rsid w:val="0F040A6B"/>
    <w:rsid w:val="0F2D12BD"/>
    <w:rsid w:val="0F782A8D"/>
    <w:rsid w:val="0FB0474F"/>
    <w:rsid w:val="0FDC3796"/>
    <w:rsid w:val="0FDE673A"/>
    <w:rsid w:val="10D05AD7"/>
    <w:rsid w:val="11016C73"/>
    <w:rsid w:val="11C872A4"/>
    <w:rsid w:val="126D1CBF"/>
    <w:rsid w:val="12937028"/>
    <w:rsid w:val="12AA36D7"/>
    <w:rsid w:val="12B26A30"/>
    <w:rsid w:val="1329742E"/>
    <w:rsid w:val="135D24C7"/>
    <w:rsid w:val="144B713C"/>
    <w:rsid w:val="14553B17"/>
    <w:rsid w:val="14926597"/>
    <w:rsid w:val="149933D6"/>
    <w:rsid w:val="14C667C2"/>
    <w:rsid w:val="153C56CB"/>
    <w:rsid w:val="15F07D89"/>
    <w:rsid w:val="16BB1D07"/>
    <w:rsid w:val="16CD5BE6"/>
    <w:rsid w:val="16DD7636"/>
    <w:rsid w:val="17837EDD"/>
    <w:rsid w:val="178B6AD0"/>
    <w:rsid w:val="18335F1D"/>
    <w:rsid w:val="18363C5F"/>
    <w:rsid w:val="185A794E"/>
    <w:rsid w:val="1876554C"/>
    <w:rsid w:val="188F7B91"/>
    <w:rsid w:val="18B55378"/>
    <w:rsid w:val="19C54478"/>
    <w:rsid w:val="19F62B63"/>
    <w:rsid w:val="1A21711B"/>
    <w:rsid w:val="1A903AFB"/>
    <w:rsid w:val="1B5E5198"/>
    <w:rsid w:val="1B8A679C"/>
    <w:rsid w:val="1BC670A8"/>
    <w:rsid w:val="1BEC33E8"/>
    <w:rsid w:val="1C0C006F"/>
    <w:rsid w:val="1D864D41"/>
    <w:rsid w:val="1D990F18"/>
    <w:rsid w:val="1E3B3D7D"/>
    <w:rsid w:val="1EA11075"/>
    <w:rsid w:val="1EDB0583"/>
    <w:rsid w:val="1EE51223"/>
    <w:rsid w:val="1EFC5388"/>
    <w:rsid w:val="1F2D7B6A"/>
    <w:rsid w:val="1F2F7711"/>
    <w:rsid w:val="202F16C0"/>
    <w:rsid w:val="207B4905"/>
    <w:rsid w:val="212705E9"/>
    <w:rsid w:val="21333432"/>
    <w:rsid w:val="2163204A"/>
    <w:rsid w:val="21E464DA"/>
    <w:rsid w:val="22097CEF"/>
    <w:rsid w:val="2268710B"/>
    <w:rsid w:val="22A71410"/>
    <w:rsid w:val="233816C5"/>
    <w:rsid w:val="239A1546"/>
    <w:rsid w:val="23A23BAB"/>
    <w:rsid w:val="23C10881"/>
    <w:rsid w:val="23EC19AC"/>
    <w:rsid w:val="242729A8"/>
    <w:rsid w:val="24387C43"/>
    <w:rsid w:val="249C2DAA"/>
    <w:rsid w:val="252D7463"/>
    <w:rsid w:val="25521689"/>
    <w:rsid w:val="25755DC7"/>
    <w:rsid w:val="257D22F6"/>
    <w:rsid w:val="25876186"/>
    <w:rsid w:val="258C4EBE"/>
    <w:rsid w:val="25A1063C"/>
    <w:rsid w:val="25B12B77"/>
    <w:rsid w:val="270F5FE3"/>
    <w:rsid w:val="27201D62"/>
    <w:rsid w:val="27AC326A"/>
    <w:rsid w:val="27D019DA"/>
    <w:rsid w:val="280063A0"/>
    <w:rsid w:val="28101DD7"/>
    <w:rsid w:val="284952E9"/>
    <w:rsid w:val="285456BE"/>
    <w:rsid w:val="287C7AA0"/>
    <w:rsid w:val="287F76D4"/>
    <w:rsid w:val="289F5075"/>
    <w:rsid w:val="29192F0D"/>
    <w:rsid w:val="297A587A"/>
    <w:rsid w:val="298365D8"/>
    <w:rsid w:val="29AA2948"/>
    <w:rsid w:val="29D357B2"/>
    <w:rsid w:val="29E63B11"/>
    <w:rsid w:val="2AA66A22"/>
    <w:rsid w:val="2AA809EC"/>
    <w:rsid w:val="2AD210B1"/>
    <w:rsid w:val="2B0341B3"/>
    <w:rsid w:val="2B057207"/>
    <w:rsid w:val="2B312790"/>
    <w:rsid w:val="2C063C1D"/>
    <w:rsid w:val="2C275941"/>
    <w:rsid w:val="2C461B08"/>
    <w:rsid w:val="2CE51AC3"/>
    <w:rsid w:val="2CED0939"/>
    <w:rsid w:val="2D0A14EA"/>
    <w:rsid w:val="2E2B72DF"/>
    <w:rsid w:val="2E2F070A"/>
    <w:rsid w:val="2EBC4A66"/>
    <w:rsid w:val="2EDF4792"/>
    <w:rsid w:val="2F375B11"/>
    <w:rsid w:val="2F522AE3"/>
    <w:rsid w:val="2F6649D2"/>
    <w:rsid w:val="30590093"/>
    <w:rsid w:val="305E2E68"/>
    <w:rsid w:val="30EA17A6"/>
    <w:rsid w:val="31CC4FC0"/>
    <w:rsid w:val="32A47607"/>
    <w:rsid w:val="32BF4B25"/>
    <w:rsid w:val="33117D26"/>
    <w:rsid w:val="332F4DC4"/>
    <w:rsid w:val="333C6176"/>
    <w:rsid w:val="33FE167D"/>
    <w:rsid w:val="341F1EF7"/>
    <w:rsid w:val="343B01DB"/>
    <w:rsid w:val="343B642D"/>
    <w:rsid w:val="34761214"/>
    <w:rsid w:val="3484642A"/>
    <w:rsid w:val="348B097D"/>
    <w:rsid w:val="34E70363"/>
    <w:rsid w:val="357C0AAC"/>
    <w:rsid w:val="359F24B0"/>
    <w:rsid w:val="36151B64"/>
    <w:rsid w:val="361C55FE"/>
    <w:rsid w:val="3642337A"/>
    <w:rsid w:val="365D08DD"/>
    <w:rsid w:val="36B14785"/>
    <w:rsid w:val="36DB2599"/>
    <w:rsid w:val="37182A56"/>
    <w:rsid w:val="375F21C9"/>
    <w:rsid w:val="37D664EB"/>
    <w:rsid w:val="38317C39"/>
    <w:rsid w:val="388C54AA"/>
    <w:rsid w:val="38C904AC"/>
    <w:rsid w:val="38CB40F8"/>
    <w:rsid w:val="38DB5E21"/>
    <w:rsid w:val="38E27510"/>
    <w:rsid w:val="399F677E"/>
    <w:rsid w:val="39CD5CB8"/>
    <w:rsid w:val="39F5707E"/>
    <w:rsid w:val="3A5A625B"/>
    <w:rsid w:val="3A7B17EF"/>
    <w:rsid w:val="3A9C574C"/>
    <w:rsid w:val="3B377338"/>
    <w:rsid w:val="3B4155E7"/>
    <w:rsid w:val="3BDD426E"/>
    <w:rsid w:val="3BED2703"/>
    <w:rsid w:val="3C2E6878"/>
    <w:rsid w:val="3C326368"/>
    <w:rsid w:val="3D1E079B"/>
    <w:rsid w:val="3D6E6D3D"/>
    <w:rsid w:val="3DD84CED"/>
    <w:rsid w:val="3EC36FD6"/>
    <w:rsid w:val="3EE53B65"/>
    <w:rsid w:val="3F1955BD"/>
    <w:rsid w:val="3F443D74"/>
    <w:rsid w:val="3F6C5190"/>
    <w:rsid w:val="3FA72BC9"/>
    <w:rsid w:val="40604F6A"/>
    <w:rsid w:val="407A208B"/>
    <w:rsid w:val="409C0254"/>
    <w:rsid w:val="40B27A77"/>
    <w:rsid w:val="40C53DFF"/>
    <w:rsid w:val="40FF07E3"/>
    <w:rsid w:val="41B17D2F"/>
    <w:rsid w:val="41F32591"/>
    <w:rsid w:val="42246753"/>
    <w:rsid w:val="42D55C9F"/>
    <w:rsid w:val="431524E0"/>
    <w:rsid w:val="431A7B56"/>
    <w:rsid w:val="43931DE2"/>
    <w:rsid w:val="439B2A45"/>
    <w:rsid w:val="43B12268"/>
    <w:rsid w:val="43BB3579"/>
    <w:rsid w:val="445564BB"/>
    <w:rsid w:val="446710F9"/>
    <w:rsid w:val="46517D32"/>
    <w:rsid w:val="466E2692"/>
    <w:rsid w:val="46A55988"/>
    <w:rsid w:val="46BF2EEE"/>
    <w:rsid w:val="476539CA"/>
    <w:rsid w:val="47F170D7"/>
    <w:rsid w:val="486C2C02"/>
    <w:rsid w:val="48F03210"/>
    <w:rsid w:val="49064E04"/>
    <w:rsid w:val="49E505FD"/>
    <w:rsid w:val="4A2D31FE"/>
    <w:rsid w:val="4AB32D6A"/>
    <w:rsid w:val="4AF42CD8"/>
    <w:rsid w:val="4B2F742A"/>
    <w:rsid w:val="4B693428"/>
    <w:rsid w:val="4C5365B2"/>
    <w:rsid w:val="4C5E6D05"/>
    <w:rsid w:val="4CE23492"/>
    <w:rsid w:val="4D2515D1"/>
    <w:rsid w:val="4D2B368C"/>
    <w:rsid w:val="4D357DF9"/>
    <w:rsid w:val="4D640AA2"/>
    <w:rsid w:val="4DB766CD"/>
    <w:rsid w:val="4E0976AB"/>
    <w:rsid w:val="4E367757"/>
    <w:rsid w:val="4F8C3B89"/>
    <w:rsid w:val="503E6C32"/>
    <w:rsid w:val="50895FAB"/>
    <w:rsid w:val="51A60F32"/>
    <w:rsid w:val="51D322F8"/>
    <w:rsid w:val="51E732F9"/>
    <w:rsid w:val="52794D53"/>
    <w:rsid w:val="531E71EE"/>
    <w:rsid w:val="53774361"/>
    <w:rsid w:val="53F35F85"/>
    <w:rsid w:val="54453024"/>
    <w:rsid w:val="549829B3"/>
    <w:rsid w:val="54EA310D"/>
    <w:rsid w:val="55992B5C"/>
    <w:rsid w:val="56466840"/>
    <w:rsid w:val="57392849"/>
    <w:rsid w:val="57405985"/>
    <w:rsid w:val="57A90FAF"/>
    <w:rsid w:val="57FA1FD8"/>
    <w:rsid w:val="58BA2C50"/>
    <w:rsid w:val="59254452"/>
    <w:rsid w:val="595F4800"/>
    <w:rsid w:val="59682F2D"/>
    <w:rsid w:val="59BA73E7"/>
    <w:rsid w:val="59C67F43"/>
    <w:rsid w:val="5A166E71"/>
    <w:rsid w:val="5A200751"/>
    <w:rsid w:val="5A582FE6"/>
    <w:rsid w:val="5A9F0C15"/>
    <w:rsid w:val="5AA224B3"/>
    <w:rsid w:val="5AE20232"/>
    <w:rsid w:val="5AFF16B3"/>
    <w:rsid w:val="5B1E3522"/>
    <w:rsid w:val="5B264A3C"/>
    <w:rsid w:val="5B266855"/>
    <w:rsid w:val="5BC64B2D"/>
    <w:rsid w:val="5BF3746A"/>
    <w:rsid w:val="5C2F665E"/>
    <w:rsid w:val="5C8652FB"/>
    <w:rsid w:val="5CD10E2D"/>
    <w:rsid w:val="5D1256CE"/>
    <w:rsid w:val="5D8B36D2"/>
    <w:rsid w:val="5E5B674D"/>
    <w:rsid w:val="5FD03B16"/>
    <w:rsid w:val="5FD21144"/>
    <w:rsid w:val="5FDE1306"/>
    <w:rsid w:val="60282454"/>
    <w:rsid w:val="603D3B01"/>
    <w:rsid w:val="607466A0"/>
    <w:rsid w:val="61044027"/>
    <w:rsid w:val="61243C22"/>
    <w:rsid w:val="620D6DAC"/>
    <w:rsid w:val="621E4B15"/>
    <w:rsid w:val="622F287E"/>
    <w:rsid w:val="62FD472A"/>
    <w:rsid w:val="63395CAE"/>
    <w:rsid w:val="635C6534"/>
    <w:rsid w:val="638C3D00"/>
    <w:rsid w:val="638C5AAE"/>
    <w:rsid w:val="63AB2A01"/>
    <w:rsid w:val="63ED29F1"/>
    <w:rsid w:val="6417181C"/>
    <w:rsid w:val="64340620"/>
    <w:rsid w:val="6440340D"/>
    <w:rsid w:val="644615EA"/>
    <w:rsid w:val="644C3BBB"/>
    <w:rsid w:val="64701016"/>
    <w:rsid w:val="64923598"/>
    <w:rsid w:val="64B90B25"/>
    <w:rsid w:val="650A20E7"/>
    <w:rsid w:val="65510D5D"/>
    <w:rsid w:val="65AC2438"/>
    <w:rsid w:val="65E6594A"/>
    <w:rsid w:val="66285F62"/>
    <w:rsid w:val="66572EDC"/>
    <w:rsid w:val="669A3257"/>
    <w:rsid w:val="674C7A2E"/>
    <w:rsid w:val="67890A8F"/>
    <w:rsid w:val="68437083"/>
    <w:rsid w:val="68490B52"/>
    <w:rsid w:val="68DC733F"/>
    <w:rsid w:val="697B0A9F"/>
    <w:rsid w:val="697D4675"/>
    <w:rsid w:val="6A7C7FB9"/>
    <w:rsid w:val="6ACB15B2"/>
    <w:rsid w:val="6B2667E8"/>
    <w:rsid w:val="6B6F018F"/>
    <w:rsid w:val="6B737C7F"/>
    <w:rsid w:val="6BFB5C44"/>
    <w:rsid w:val="6C044D7B"/>
    <w:rsid w:val="6C216C6A"/>
    <w:rsid w:val="6C240F7A"/>
    <w:rsid w:val="6C301FB4"/>
    <w:rsid w:val="6C3E4183"/>
    <w:rsid w:val="6C8B4AD3"/>
    <w:rsid w:val="6CE2133C"/>
    <w:rsid w:val="6D48513C"/>
    <w:rsid w:val="6DC76243"/>
    <w:rsid w:val="6DD43769"/>
    <w:rsid w:val="6DE9247B"/>
    <w:rsid w:val="6DEC3D19"/>
    <w:rsid w:val="6E471105"/>
    <w:rsid w:val="6F222A8E"/>
    <w:rsid w:val="6FC018AC"/>
    <w:rsid w:val="70457BA3"/>
    <w:rsid w:val="709366CE"/>
    <w:rsid w:val="70D80585"/>
    <w:rsid w:val="71235CA4"/>
    <w:rsid w:val="714F1C8D"/>
    <w:rsid w:val="71704C61"/>
    <w:rsid w:val="71A566B9"/>
    <w:rsid w:val="726F39A4"/>
    <w:rsid w:val="72744162"/>
    <w:rsid w:val="72A050D2"/>
    <w:rsid w:val="73223D39"/>
    <w:rsid w:val="738C2135"/>
    <w:rsid w:val="73BF7F6F"/>
    <w:rsid w:val="73FB1F8F"/>
    <w:rsid w:val="74082F2F"/>
    <w:rsid w:val="7477611E"/>
    <w:rsid w:val="74A92964"/>
    <w:rsid w:val="74CB0B2C"/>
    <w:rsid w:val="74E514C2"/>
    <w:rsid w:val="74F636CF"/>
    <w:rsid w:val="75061B64"/>
    <w:rsid w:val="757F3CAA"/>
    <w:rsid w:val="758E26A4"/>
    <w:rsid w:val="763F09E6"/>
    <w:rsid w:val="76830F93"/>
    <w:rsid w:val="775C3CBE"/>
    <w:rsid w:val="776451FB"/>
    <w:rsid w:val="77940077"/>
    <w:rsid w:val="782B67D2"/>
    <w:rsid w:val="785102DB"/>
    <w:rsid w:val="789456D9"/>
    <w:rsid w:val="78C55892"/>
    <w:rsid w:val="78D4611D"/>
    <w:rsid w:val="7A2334B0"/>
    <w:rsid w:val="7ACA1E66"/>
    <w:rsid w:val="7AD63D87"/>
    <w:rsid w:val="7AEF4E49"/>
    <w:rsid w:val="7BA43DDB"/>
    <w:rsid w:val="7BBD6E8D"/>
    <w:rsid w:val="7C2428D0"/>
    <w:rsid w:val="7C3A634B"/>
    <w:rsid w:val="7C7C44BA"/>
    <w:rsid w:val="7D052701"/>
    <w:rsid w:val="7D732578"/>
    <w:rsid w:val="7DE1316F"/>
    <w:rsid w:val="7E164AD5"/>
    <w:rsid w:val="7E945BAE"/>
    <w:rsid w:val="7EC14D4E"/>
    <w:rsid w:val="7ECF1146"/>
    <w:rsid w:val="7F0F1615"/>
    <w:rsid w:val="7F4C286A"/>
    <w:rsid w:val="7F531E4A"/>
    <w:rsid w:val="7FBC4F6E"/>
    <w:rsid w:val="7FD87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0" w:semiHidden="0" w:name="header"/>
    <w:lsdException w:qFormat="1" w:unhideWhenUsed="0"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qFormat="1"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pPr>
    <w:rPr>
      <w:rFonts w:ascii="Times New Roman" w:hAnsi="Times New Roman" w:eastAsia="宋体" w:cstheme="minorBidi"/>
      <w:kern w:val="2"/>
      <w:sz w:val="24"/>
      <w:szCs w:val="22"/>
      <w:lang w:val="en-US" w:eastAsia="zh-CN" w:bidi="ar-SA"/>
    </w:rPr>
  </w:style>
  <w:style w:type="paragraph" w:styleId="7">
    <w:name w:val="heading 1"/>
    <w:basedOn w:val="1"/>
    <w:next w:val="1"/>
    <w:link w:val="62"/>
    <w:qFormat/>
    <w:uiPriority w:val="9"/>
    <w:pPr>
      <w:numPr>
        <w:ilvl w:val="0"/>
        <w:numId w:val="1"/>
      </w:numPr>
      <w:ind w:firstLineChars="0"/>
      <w:outlineLvl w:val="0"/>
    </w:pPr>
    <w:rPr>
      <w:b/>
      <w:bCs/>
      <w:kern w:val="44"/>
      <w:sz w:val="32"/>
      <w:szCs w:val="44"/>
    </w:rPr>
  </w:style>
  <w:style w:type="paragraph" w:styleId="8">
    <w:name w:val="heading 2"/>
    <w:basedOn w:val="1"/>
    <w:next w:val="1"/>
    <w:link w:val="58"/>
    <w:unhideWhenUsed/>
    <w:qFormat/>
    <w:uiPriority w:val="9"/>
    <w:pPr>
      <w:numPr>
        <w:ilvl w:val="1"/>
        <w:numId w:val="1"/>
      </w:numPr>
      <w:adjustRightInd w:val="0"/>
      <w:snapToGrid w:val="0"/>
      <w:ind w:firstLineChars="0"/>
      <w:outlineLvl w:val="1"/>
    </w:pPr>
    <w:rPr>
      <w:rFonts w:cstheme="majorBidi"/>
      <w:b/>
      <w:bCs/>
      <w:sz w:val="30"/>
      <w:szCs w:val="32"/>
    </w:rPr>
  </w:style>
  <w:style w:type="paragraph" w:styleId="9">
    <w:name w:val="heading 3"/>
    <w:basedOn w:val="1"/>
    <w:next w:val="1"/>
    <w:link w:val="65"/>
    <w:unhideWhenUsed/>
    <w:qFormat/>
    <w:uiPriority w:val="9"/>
    <w:pPr>
      <w:widowControl w:val="0"/>
      <w:numPr>
        <w:ilvl w:val="2"/>
        <w:numId w:val="1"/>
      </w:numPr>
      <w:adjustRightInd w:val="0"/>
      <w:snapToGrid w:val="0"/>
      <w:ind w:firstLineChars="0"/>
      <w:outlineLvl w:val="2"/>
    </w:pPr>
    <w:rPr>
      <w:b/>
      <w:bCs/>
      <w:sz w:val="28"/>
      <w:szCs w:val="32"/>
    </w:rPr>
  </w:style>
  <w:style w:type="paragraph" w:styleId="10">
    <w:name w:val="heading 4"/>
    <w:basedOn w:val="1"/>
    <w:next w:val="1"/>
    <w:link w:val="60"/>
    <w:unhideWhenUsed/>
    <w:qFormat/>
    <w:uiPriority w:val="9"/>
    <w:pPr>
      <w:widowControl w:val="0"/>
      <w:numPr>
        <w:ilvl w:val="3"/>
        <w:numId w:val="1"/>
      </w:numPr>
      <w:adjustRightInd w:val="0"/>
      <w:snapToGrid w:val="0"/>
      <w:ind w:firstLineChars="0"/>
      <w:outlineLvl w:val="3"/>
    </w:pPr>
    <w:rPr>
      <w:rFonts w:cstheme="majorBidi"/>
      <w:b/>
      <w:bCs/>
      <w:szCs w:val="28"/>
    </w:rPr>
  </w:style>
  <w:style w:type="paragraph" w:styleId="11">
    <w:name w:val="heading 5"/>
    <w:basedOn w:val="1"/>
    <w:next w:val="1"/>
    <w:link w:val="70"/>
    <w:unhideWhenUsed/>
    <w:qFormat/>
    <w:uiPriority w:val="9"/>
    <w:pPr>
      <w:numPr>
        <w:ilvl w:val="4"/>
        <w:numId w:val="1"/>
      </w:numPr>
      <w:kinsoku w:val="0"/>
      <w:overflowPunct w:val="0"/>
      <w:autoSpaceDE w:val="0"/>
      <w:autoSpaceDN w:val="0"/>
      <w:ind w:firstLineChars="0"/>
      <w:outlineLvl w:val="4"/>
    </w:pPr>
    <w:rPr>
      <w:rFonts w:cs="Times New Roman"/>
      <w:b/>
      <w:bCs/>
      <w:kern w:val="0"/>
      <w:szCs w:val="28"/>
    </w:rPr>
  </w:style>
  <w:style w:type="paragraph" w:styleId="12">
    <w:name w:val="heading 6"/>
    <w:basedOn w:val="1"/>
    <w:next w:val="1"/>
    <w:link w:val="71"/>
    <w:unhideWhenUsed/>
    <w:qFormat/>
    <w:uiPriority w:val="9"/>
    <w:pPr>
      <w:widowControl w:val="0"/>
      <w:numPr>
        <w:ilvl w:val="5"/>
        <w:numId w:val="1"/>
      </w:numPr>
      <w:overflowPunct w:val="0"/>
      <w:adjustRightInd w:val="0"/>
      <w:snapToGrid w:val="0"/>
      <w:ind w:firstLineChars="0"/>
      <w:outlineLvl w:val="5"/>
    </w:pPr>
    <w:rPr>
      <w:rFonts w:cstheme="majorBidi"/>
      <w:b/>
      <w:bCs/>
      <w:snapToGrid w:val="0"/>
      <w:kern w:val="24"/>
      <w:szCs w:val="24"/>
    </w:rPr>
  </w:style>
  <w:style w:type="paragraph" w:styleId="13">
    <w:name w:val="heading 7"/>
    <w:basedOn w:val="1"/>
    <w:next w:val="1"/>
    <w:link w:val="72"/>
    <w:unhideWhenUsed/>
    <w:qFormat/>
    <w:uiPriority w:val="9"/>
    <w:pPr>
      <w:widowControl w:val="0"/>
      <w:numPr>
        <w:ilvl w:val="6"/>
        <w:numId w:val="1"/>
      </w:numPr>
      <w:adjustRightInd w:val="0"/>
      <w:snapToGrid w:val="0"/>
      <w:ind w:firstLineChars="0"/>
      <w:outlineLvl w:val="6"/>
    </w:pPr>
    <w:rPr>
      <w:b/>
      <w:bCs/>
      <w:kern w:val="24"/>
      <w:szCs w:val="24"/>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74"/>
    <w:unhideWhenUsed/>
    <w:qFormat/>
    <w:uiPriority w:val="99"/>
    <w:pPr>
      <w:ind w:firstLine="420"/>
    </w:pPr>
  </w:style>
  <w:style w:type="paragraph" w:styleId="3">
    <w:name w:val="Body Text Indent"/>
    <w:basedOn w:val="1"/>
    <w:next w:val="4"/>
    <w:link w:val="73"/>
    <w:unhideWhenUsed/>
    <w:qFormat/>
    <w:uiPriority w:val="0"/>
    <w:pPr>
      <w:spacing w:after="120"/>
      <w:ind w:left="420" w:leftChars="200"/>
    </w:pPr>
  </w:style>
  <w:style w:type="paragraph" w:styleId="4">
    <w:name w:val="header"/>
    <w:basedOn w:val="1"/>
    <w:next w:val="5"/>
    <w:link w:val="78"/>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5">
    <w:name w:val="样式5"/>
    <w:basedOn w:val="6"/>
    <w:next w:val="1"/>
    <w:qFormat/>
    <w:uiPriority w:val="0"/>
    <w:pPr>
      <w:tabs>
        <w:tab w:val="center" w:pos="0"/>
      </w:tabs>
      <w:snapToGrid w:val="0"/>
      <w:spacing w:line="360" w:lineRule="auto"/>
      <w:ind w:firstLine="510"/>
    </w:pPr>
  </w:style>
  <w:style w:type="paragraph" w:customStyle="1" w:styleId="6">
    <w:name w:val="正文1"/>
    <w:basedOn w:val="1"/>
    <w:next w:val="1"/>
    <w:qFormat/>
    <w:uiPriority w:val="0"/>
    <w:pPr>
      <w:widowControl w:val="0"/>
      <w:tabs>
        <w:tab w:val="center" w:pos="0"/>
      </w:tabs>
      <w:spacing w:line="480" w:lineRule="exact"/>
      <w:ind w:firstLine="420"/>
      <w:jc w:val="both"/>
    </w:pPr>
    <w:rPr>
      <w:rFonts w:ascii="宋体" w:hAnsi="宋体"/>
      <w:kern w:val="21"/>
      <w:szCs w:val="24"/>
    </w:rPr>
  </w:style>
  <w:style w:type="paragraph" w:styleId="14">
    <w:name w:val="toc 7"/>
    <w:basedOn w:val="1"/>
    <w:next w:val="1"/>
    <w:unhideWhenUsed/>
    <w:qFormat/>
    <w:uiPriority w:val="39"/>
    <w:pPr>
      <w:ind w:left="1440"/>
    </w:pPr>
    <w:rPr>
      <w:rFonts w:asciiTheme="minorHAnsi" w:hAnsiTheme="minorHAnsi" w:cstheme="minorHAnsi"/>
      <w:sz w:val="18"/>
      <w:szCs w:val="18"/>
    </w:rPr>
  </w:style>
  <w:style w:type="paragraph" w:styleId="15">
    <w:name w:val="caption"/>
    <w:basedOn w:val="1"/>
    <w:next w:val="1"/>
    <w:unhideWhenUsed/>
    <w:qFormat/>
    <w:uiPriority w:val="35"/>
    <w:rPr>
      <w:rFonts w:eastAsia="黑体" w:asciiTheme="majorHAnsi" w:hAnsiTheme="majorHAnsi" w:cstheme="majorBidi"/>
      <w:sz w:val="20"/>
      <w:szCs w:val="20"/>
    </w:rPr>
  </w:style>
  <w:style w:type="paragraph" w:styleId="16">
    <w:name w:val="annotation text"/>
    <w:basedOn w:val="1"/>
    <w:link w:val="83"/>
    <w:unhideWhenUsed/>
    <w:qFormat/>
    <w:uiPriority w:val="0"/>
  </w:style>
  <w:style w:type="paragraph" w:styleId="17">
    <w:name w:val="Body Text"/>
    <w:basedOn w:val="1"/>
    <w:next w:val="18"/>
    <w:link w:val="68"/>
    <w:unhideWhenUsed/>
    <w:qFormat/>
    <w:uiPriority w:val="99"/>
    <w:pPr>
      <w:spacing w:after="120"/>
    </w:pPr>
  </w:style>
  <w:style w:type="paragraph" w:styleId="18">
    <w:name w:val="List Bullet 5"/>
    <w:basedOn w:val="1"/>
    <w:semiHidden/>
    <w:unhideWhenUsed/>
    <w:qFormat/>
    <w:uiPriority w:val="99"/>
    <w:pPr>
      <w:numPr>
        <w:ilvl w:val="0"/>
        <w:numId w:val="2"/>
      </w:numPr>
    </w:pPr>
  </w:style>
  <w:style w:type="paragraph" w:styleId="19">
    <w:name w:val="Block Text"/>
    <w:basedOn w:val="1"/>
    <w:qFormat/>
    <w:uiPriority w:val="0"/>
    <w:pPr>
      <w:widowControl w:val="0"/>
      <w:spacing w:line="240" w:lineRule="auto"/>
      <w:ind w:left="210" w:leftChars="100" w:right="210" w:rightChars="100" w:firstLine="560"/>
      <w:jc w:val="both"/>
    </w:pPr>
    <w:rPr>
      <w:rFonts w:ascii="宋体" w:hAnsi="宋体" w:cs="Times New Roman"/>
      <w:sz w:val="28"/>
      <w:szCs w:val="24"/>
    </w:rPr>
  </w:style>
  <w:style w:type="paragraph" w:styleId="20">
    <w:name w:val="toc 5"/>
    <w:basedOn w:val="1"/>
    <w:next w:val="1"/>
    <w:unhideWhenUsed/>
    <w:qFormat/>
    <w:uiPriority w:val="39"/>
    <w:pPr>
      <w:ind w:left="960"/>
    </w:pPr>
    <w:rPr>
      <w:rFonts w:asciiTheme="minorHAnsi" w:hAnsiTheme="minorHAnsi" w:cstheme="minorHAnsi"/>
      <w:sz w:val="18"/>
      <w:szCs w:val="18"/>
    </w:rPr>
  </w:style>
  <w:style w:type="paragraph" w:styleId="21">
    <w:name w:val="toc 3"/>
    <w:basedOn w:val="1"/>
    <w:next w:val="1"/>
    <w:unhideWhenUsed/>
    <w:qFormat/>
    <w:uiPriority w:val="39"/>
    <w:pPr>
      <w:ind w:left="480"/>
    </w:pPr>
    <w:rPr>
      <w:rFonts w:asciiTheme="minorHAnsi" w:hAnsiTheme="minorHAnsi" w:cstheme="minorHAnsi"/>
      <w:i/>
      <w:iCs/>
      <w:sz w:val="20"/>
      <w:szCs w:val="20"/>
    </w:rPr>
  </w:style>
  <w:style w:type="paragraph" w:styleId="22">
    <w:name w:val="Plain Text"/>
    <w:basedOn w:val="1"/>
    <w:link w:val="88"/>
    <w:qFormat/>
    <w:uiPriority w:val="0"/>
    <w:pPr>
      <w:widowControl w:val="0"/>
      <w:spacing w:line="240" w:lineRule="auto"/>
      <w:ind w:firstLine="0" w:firstLineChars="0"/>
      <w:jc w:val="both"/>
    </w:pPr>
    <w:rPr>
      <w:rFonts w:ascii="宋体" w:hAnsi="Courier New" w:cs="Courier New"/>
      <w:sz w:val="21"/>
      <w:szCs w:val="21"/>
    </w:rPr>
  </w:style>
  <w:style w:type="paragraph" w:styleId="23">
    <w:name w:val="toc 8"/>
    <w:basedOn w:val="1"/>
    <w:next w:val="1"/>
    <w:unhideWhenUsed/>
    <w:qFormat/>
    <w:uiPriority w:val="39"/>
    <w:pPr>
      <w:ind w:left="1680"/>
    </w:pPr>
    <w:rPr>
      <w:rFonts w:asciiTheme="minorHAnsi" w:hAnsiTheme="minorHAnsi" w:cstheme="minorHAnsi"/>
      <w:sz w:val="18"/>
      <w:szCs w:val="18"/>
    </w:rPr>
  </w:style>
  <w:style w:type="paragraph" w:styleId="24">
    <w:name w:val="Date"/>
    <w:basedOn w:val="1"/>
    <w:next w:val="1"/>
    <w:link w:val="75"/>
    <w:semiHidden/>
    <w:unhideWhenUsed/>
    <w:qFormat/>
    <w:uiPriority w:val="99"/>
    <w:pPr>
      <w:ind w:left="100" w:leftChars="2500"/>
    </w:pPr>
  </w:style>
  <w:style w:type="paragraph" w:styleId="25">
    <w:name w:val="Body Text Indent 2"/>
    <w:basedOn w:val="1"/>
    <w:link w:val="92"/>
    <w:semiHidden/>
    <w:unhideWhenUsed/>
    <w:qFormat/>
    <w:uiPriority w:val="99"/>
    <w:pPr>
      <w:spacing w:after="120" w:line="480" w:lineRule="auto"/>
      <w:ind w:left="420" w:leftChars="200"/>
    </w:pPr>
  </w:style>
  <w:style w:type="paragraph" w:styleId="26">
    <w:name w:val="Balloon Text"/>
    <w:basedOn w:val="1"/>
    <w:link w:val="77"/>
    <w:semiHidden/>
    <w:unhideWhenUsed/>
    <w:qFormat/>
    <w:uiPriority w:val="99"/>
    <w:pPr>
      <w:spacing w:line="240" w:lineRule="auto"/>
    </w:pPr>
    <w:rPr>
      <w:sz w:val="18"/>
      <w:szCs w:val="18"/>
    </w:rPr>
  </w:style>
  <w:style w:type="paragraph" w:styleId="27">
    <w:name w:val="footer"/>
    <w:basedOn w:val="1"/>
    <w:link w:val="76"/>
    <w:qFormat/>
    <w:uiPriority w:val="99"/>
    <w:pPr>
      <w:widowControl w:val="0"/>
      <w:tabs>
        <w:tab w:val="center" w:pos="4153"/>
        <w:tab w:val="right" w:pos="8306"/>
      </w:tabs>
      <w:snapToGrid w:val="0"/>
      <w:spacing w:line="240" w:lineRule="auto"/>
      <w:ind w:firstLine="0" w:firstLineChars="0"/>
    </w:pPr>
    <w:rPr>
      <w:rFonts w:cs="Times New Roman"/>
      <w:sz w:val="18"/>
      <w:szCs w:val="18"/>
    </w:rPr>
  </w:style>
  <w:style w:type="paragraph" w:styleId="28">
    <w:name w:val="toc 1"/>
    <w:basedOn w:val="1"/>
    <w:next w:val="1"/>
    <w:unhideWhenUsed/>
    <w:qFormat/>
    <w:uiPriority w:val="39"/>
    <w:pPr>
      <w:tabs>
        <w:tab w:val="left" w:pos="1440"/>
        <w:tab w:val="right" w:leader="dot" w:pos="9628"/>
      </w:tabs>
      <w:spacing w:before="120" w:after="120"/>
      <w:ind w:firstLine="482"/>
      <w:jc w:val="center"/>
      <w:outlineLvl w:val="0"/>
    </w:pPr>
    <w:rPr>
      <w:rFonts w:asciiTheme="minorHAnsi" w:hAnsiTheme="minorHAnsi" w:cstheme="minorHAnsi"/>
      <w:b/>
      <w:bCs/>
      <w:caps/>
      <w:szCs w:val="20"/>
    </w:rPr>
  </w:style>
  <w:style w:type="paragraph" w:styleId="29">
    <w:name w:val="toc 4"/>
    <w:basedOn w:val="1"/>
    <w:next w:val="1"/>
    <w:unhideWhenUsed/>
    <w:qFormat/>
    <w:uiPriority w:val="39"/>
    <w:pPr>
      <w:ind w:left="720"/>
    </w:pPr>
    <w:rPr>
      <w:rFonts w:asciiTheme="minorHAnsi" w:hAnsiTheme="minorHAnsi" w:cstheme="minorHAnsi"/>
      <w:sz w:val="18"/>
      <w:szCs w:val="18"/>
    </w:rPr>
  </w:style>
  <w:style w:type="paragraph" w:styleId="30">
    <w:name w:val="toc 6"/>
    <w:basedOn w:val="1"/>
    <w:next w:val="1"/>
    <w:unhideWhenUsed/>
    <w:qFormat/>
    <w:uiPriority w:val="39"/>
    <w:pPr>
      <w:ind w:left="1200"/>
    </w:pPr>
    <w:rPr>
      <w:rFonts w:asciiTheme="minorHAnsi" w:hAnsiTheme="minorHAnsi" w:cstheme="minorHAnsi"/>
      <w:sz w:val="18"/>
      <w:szCs w:val="18"/>
    </w:rPr>
  </w:style>
  <w:style w:type="paragraph" w:styleId="31">
    <w:name w:val="table of figures"/>
    <w:basedOn w:val="1"/>
    <w:next w:val="1"/>
    <w:unhideWhenUsed/>
    <w:qFormat/>
    <w:uiPriority w:val="99"/>
    <w:pPr>
      <w:tabs>
        <w:tab w:val="center" w:pos="0"/>
      </w:tabs>
    </w:pPr>
  </w:style>
  <w:style w:type="paragraph" w:styleId="32">
    <w:name w:val="toc 2"/>
    <w:basedOn w:val="1"/>
    <w:next w:val="1"/>
    <w:unhideWhenUsed/>
    <w:qFormat/>
    <w:uiPriority w:val="39"/>
    <w:pPr>
      <w:ind w:left="240"/>
    </w:pPr>
    <w:rPr>
      <w:rFonts w:asciiTheme="minorHAnsi" w:hAnsiTheme="minorHAnsi" w:cstheme="minorHAnsi"/>
      <w:smallCaps/>
      <w:sz w:val="20"/>
      <w:szCs w:val="20"/>
    </w:rPr>
  </w:style>
  <w:style w:type="paragraph" w:styleId="33">
    <w:name w:val="toc 9"/>
    <w:basedOn w:val="1"/>
    <w:next w:val="1"/>
    <w:unhideWhenUsed/>
    <w:qFormat/>
    <w:uiPriority w:val="39"/>
    <w:pPr>
      <w:ind w:left="1920"/>
    </w:pPr>
    <w:rPr>
      <w:rFonts w:asciiTheme="minorHAnsi" w:hAnsiTheme="minorHAnsi" w:cstheme="minorHAnsi"/>
      <w:sz w:val="18"/>
      <w:szCs w:val="18"/>
    </w:rPr>
  </w:style>
  <w:style w:type="paragraph" w:styleId="34">
    <w:name w:val="HTML Preformatted"/>
    <w:basedOn w:val="1"/>
    <w:link w:val="85"/>
    <w:unhideWhenUsed/>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hint="eastAsia" w:ascii="宋体" w:hAnsi="宋体" w:cs="Times New Roman"/>
      <w:kern w:val="0"/>
      <w:szCs w:val="24"/>
    </w:rPr>
  </w:style>
  <w:style w:type="paragraph" w:styleId="35">
    <w:name w:val="Normal (Web)"/>
    <w:basedOn w:val="1"/>
    <w:qFormat/>
    <w:uiPriority w:val="0"/>
    <w:pPr>
      <w:spacing w:before="100" w:beforeAutospacing="1" w:after="100" w:afterAutospacing="1" w:line="330" w:lineRule="atLeast"/>
      <w:ind w:firstLine="0" w:firstLineChars="0"/>
    </w:pPr>
    <w:rPr>
      <w:rFonts w:ascii="宋体" w:hAnsi="宋体" w:cs="宋体"/>
      <w:kern w:val="0"/>
      <w:sz w:val="21"/>
      <w:szCs w:val="21"/>
    </w:rPr>
  </w:style>
  <w:style w:type="paragraph" w:styleId="36">
    <w:name w:val="annotation subject"/>
    <w:basedOn w:val="16"/>
    <w:next w:val="16"/>
    <w:link w:val="84"/>
    <w:semiHidden/>
    <w:unhideWhenUsed/>
    <w:qFormat/>
    <w:uiPriority w:val="99"/>
    <w:rPr>
      <w:b/>
      <w:bCs/>
    </w:rPr>
  </w:style>
  <w:style w:type="paragraph" w:styleId="37">
    <w:name w:val="Body Text First Indent"/>
    <w:basedOn w:val="17"/>
    <w:next w:val="31"/>
    <w:link w:val="69"/>
    <w:semiHidden/>
    <w:unhideWhenUsed/>
    <w:qFormat/>
    <w:uiPriority w:val="99"/>
    <w:pPr>
      <w:ind w:firstLine="420" w:firstLineChars="100"/>
    </w:pPr>
  </w:style>
  <w:style w:type="table" w:styleId="39">
    <w:name w:val="Table Grid"/>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page number"/>
    <w:basedOn w:val="40"/>
    <w:qFormat/>
    <w:uiPriority w:val="0"/>
  </w:style>
  <w:style w:type="character" w:styleId="42">
    <w:name w:val="Hyperlink"/>
    <w:basedOn w:val="40"/>
    <w:unhideWhenUsed/>
    <w:qFormat/>
    <w:uiPriority w:val="99"/>
    <w:rPr>
      <w:color w:val="0000FF" w:themeColor="hyperlink"/>
      <w:u w:val="single"/>
      <w14:textFill>
        <w14:solidFill>
          <w14:schemeClr w14:val="hlink"/>
        </w14:solidFill>
      </w14:textFill>
    </w:rPr>
  </w:style>
  <w:style w:type="character" w:styleId="43">
    <w:name w:val="annotation reference"/>
    <w:basedOn w:val="40"/>
    <w:semiHidden/>
    <w:unhideWhenUsed/>
    <w:qFormat/>
    <w:uiPriority w:val="99"/>
    <w:rPr>
      <w:sz w:val="21"/>
      <w:szCs w:val="21"/>
    </w:rPr>
  </w:style>
  <w:style w:type="paragraph" w:customStyle="1" w:styleId="44">
    <w:name w:val="样式 正文文本缩进 + 行距: 1.5 倍行距"/>
    <w:basedOn w:val="45"/>
    <w:qFormat/>
    <w:uiPriority w:val="0"/>
    <w:pPr>
      <w:ind w:left="90" w:leftChars="32" w:firstLine="560"/>
    </w:pPr>
    <w:rPr>
      <w:rFonts w:cs="宋体"/>
    </w:rPr>
  </w:style>
  <w:style w:type="paragraph" w:customStyle="1" w:styleId="45">
    <w:name w:val="Body Text Indent"/>
    <w:basedOn w:val="1"/>
    <w:next w:val="44"/>
    <w:qFormat/>
    <w:uiPriority w:val="0"/>
    <w:pPr>
      <w:spacing w:after="120" w:afterLines="0"/>
      <w:ind w:left="420" w:leftChars="200"/>
    </w:pPr>
    <w:rPr>
      <w:rFonts w:ascii="Times New Roman" w:hAnsi="Times New Roman" w:eastAsia="宋体"/>
      <w:sz w:val="24"/>
    </w:rPr>
  </w:style>
  <w:style w:type="paragraph" w:customStyle="1" w:styleId="46">
    <w:name w:val="正文文本缩进1"/>
    <w:basedOn w:val="1"/>
    <w:next w:val="44"/>
    <w:qFormat/>
    <w:uiPriority w:val="0"/>
    <w:pPr>
      <w:spacing w:after="120"/>
      <w:ind w:left="420" w:leftChars="200"/>
    </w:pPr>
  </w:style>
  <w:style w:type="paragraph" w:customStyle="1" w:styleId="47">
    <w:name w:val="正文文本缩进113"/>
    <w:basedOn w:val="1"/>
    <w:next w:val="44"/>
    <w:qFormat/>
    <w:uiPriority w:val="0"/>
    <w:pPr>
      <w:spacing w:after="120"/>
      <w:ind w:left="420" w:leftChars="200"/>
    </w:pPr>
  </w:style>
  <w:style w:type="paragraph" w:customStyle="1" w:styleId="48">
    <w:name w:val="正文文本缩进112"/>
    <w:basedOn w:val="1"/>
    <w:next w:val="44"/>
    <w:qFormat/>
    <w:uiPriority w:val="0"/>
    <w:pPr>
      <w:spacing w:after="120"/>
      <w:ind w:left="420" w:leftChars="200"/>
    </w:pPr>
  </w:style>
  <w:style w:type="paragraph" w:customStyle="1" w:styleId="49">
    <w:name w:val="正文文本缩进111"/>
    <w:basedOn w:val="1"/>
    <w:next w:val="44"/>
    <w:qFormat/>
    <w:uiPriority w:val="0"/>
    <w:pPr>
      <w:spacing w:after="120"/>
      <w:ind w:left="420" w:leftChars="200"/>
    </w:pPr>
  </w:style>
  <w:style w:type="paragraph" w:customStyle="1" w:styleId="50">
    <w:name w:val="800编号文-缩2字符"/>
    <w:basedOn w:val="1"/>
    <w:qFormat/>
    <w:uiPriority w:val="0"/>
    <w:pPr>
      <w:adjustRightInd w:val="0"/>
      <w:snapToGrid w:val="0"/>
    </w:pPr>
    <w:rPr>
      <w:kern w:val="0"/>
      <w:sz w:val="22"/>
      <w:szCs w:val="21"/>
      <w:lang w:eastAsia="en-US"/>
    </w:rPr>
  </w:style>
  <w:style w:type="paragraph" w:customStyle="1" w:styleId="51">
    <w:name w:val="801表格内容"/>
    <w:basedOn w:val="1"/>
    <w:qFormat/>
    <w:uiPriority w:val="0"/>
    <w:pPr>
      <w:adjustRightInd w:val="0"/>
      <w:snapToGrid w:val="0"/>
    </w:pPr>
    <w:rPr>
      <w:rFonts w:cs="Times New Roman"/>
      <w:szCs w:val="21"/>
    </w:rPr>
  </w:style>
  <w:style w:type="paragraph" w:customStyle="1" w:styleId="52">
    <w:name w:val="802表格文字"/>
    <w:basedOn w:val="1"/>
    <w:next w:val="1"/>
    <w:link w:val="53"/>
    <w:qFormat/>
    <w:uiPriority w:val="0"/>
    <w:pPr>
      <w:adjustRightInd w:val="0"/>
      <w:snapToGrid w:val="0"/>
      <w:spacing w:beforeLines="30" w:afterLines="30"/>
      <w:jc w:val="center"/>
    </w:pPr>
    <w:rPr>
      <w:rFonts w:cs="Times New Roman"/>
      <w:spacing w:val="10"/>
      <w:kern w:val="0"/>
      <w:szCs w:val="21"/>
    </w:rPr>
  </w:style>
  <w:style w:type="character" w:customStyle="1" w:styleId="53">
    <w:name w:val="802表格文字 Char"/>
    <w:link w:val="52"/>
    <w:qFormat/>
    <w:uiPriority w:val="0"/>
    <w:rPr>
      <w:rFonts w:ascii="Times New Roman" w:hAnsi="Times New Roman" w:eastAsia="宋体" w:cs="Times New Roman"/>
      <w:spacing w:val="10"/>
      <w:kern w:val="0"/>
      <w:sz w:val="24"/>
      <w:szCs w:val="21"/>
    </w:rPr>
  </w:style>
  <w:style w:type="paragraph" w:customStyle="1" w:styleId="54">
    <w:name w:val="803表头"/>
    <w:basedOn w:val="1"/>
    <w:qFormat/>
    <w:uiPriority w:val="0"/>
    <w:pPr>
      <w:adjustRightInd w:val="0"/>
      <w:snapToGrid w:val="0"/>
      <w:jc w:val="center"/>
    </w:pPr>
    <w:rPr>
      <w:b/>
      <w:szCs w:val="24"/>
    </w:rPr>
  </w:style>
  <w:style w:type="paragraph" w:customStyle="1" w:styleId="55">
    <w:name w:val="810表格"/>
    <w:basedOn w:val="1"/>
    <w:qFormat/>
    <w:uiPriority w:val="0"/>
    <w:pPr>
      <w:jc w:val="center"/>
    </w:pPr>
    <w:rPr>
      <w:rFonts w:ascii="Arial" w:hAnsi="Arial" w:cs="Times New Roman"/>
    </w:rPr>
  </w:style>
  <w:style w:type="paragraph" w:customStyle="1" w:styleId="56">
    <w:name w:val="0"/>
    <w:basedOn w:val="1"/>
    <w:qFormat/>
    <w:uiPriority w:val="0"/>
    <w:pPr>
      <w:adjustRightInd w:val="0"/>
      <w:snapToGrid w:val="0"/>
      <w:spacing w:line="365" w:lineRule="atLeast"/>
      <w:ind w:left="1"/>
      <w:textAlignment w:val="bottom"/>
    </w:pPr>
    <w:rPr>
      <w:rFonts w:cs="Times New Roman"/>
      <w:kern w:val="0"/>
      <w:sz w:val="20"/>
      <w:szCs w:val="20"/>
    </w:rPr>
  </w:style>
  <w:style w:type="paragraph" w:customStyle="1" w:styleId="57">
    <w:name w:val="00"/>
    <w:basedOn w:val="8"/>
    <w:qFormat/>
    <w:uiPriority w:val="0"/>
    <w:pPr>
      <w:spacing w:before="160" w:after="160"/>
    </w:pPr>
    <w:rPr>
      <w:rFonts w:eastAsia="黑体" w:cs="Times New Roman"/>
      <w:bCs w:val="0"/>
      <w:color w:val="000000"/>
      <w:sz w:val="21"/>
    </w:rPr>
  </w:style>
  <w:style w:type="character" w:customStyle="1" w:styleId="58">
    <w:name w:val="标题 2 Char"/>
    <w:basedOn w:val="40"/>
    <w:link w:val="8"/>
    <w:qFormat/>
    <w:uiPriority w:val="9"/>
    <w:rPr>
      <w:rFonts w:ascii="Times New Roman" w:hAnsi="Times New Roman" w:eastAsia="宋体" w:cstheme="majorBidi"/>
      <w:b/>
      <w:bCs/>
      <w:sz w:val="30"/>
      <w:szCs w:val="32"/>
    </w:rPr>
  </w:style>
  <w:style w:type="character" w:customStyle="1" w:styleId="59">
    <w:name w:val="0031"/>
    <w:qFormat/>
    <w:uiPriority w:val="0"/>
    <w:rPr>
      <w:sz w:val="21"/>
      <w:szCs w:val="21"/>
    </w:rPr>
  </w:style>
  <w:style w:type="character" w:customStyle="1" w:styleId="60">
    <w:name w:val="标题 4 Char"/>
    <w:basedOn w:val="40"/>
    <w:link w:val="10"/>
    <w:qFormat/>
    <w:uiPriority w:val="9"/>
    <w:rPr>
      <w:rFonts w:ascii="Times New Roman" w:hAnsi="Times New Roman" w:eastAsia="宋体" w:cstheme="majorBidi"/>
      <w:b/>
      <w:bCs/>
      <w:sz w:val="24"/>
      <w:szCs w:val="28"/>
    </w:rPr>
  </w:style>
  <w:style w:type="paragraph" w:customStyle="1" w:styleId="61">
    <w:name w:val="01"/>
    <w:basedOn w:val="7"/>
    <w:qFormat/>
    <w:uiPriority w:val="0"/>
    <w:pPr>
      <w:autoSpaceDE w:val="0"/>
      <w:autoSpaceDN w:val="0"/>
      <w:adjustRightInd w:val="0"/>
      <w:jc w:val="center"/>
    </w:pPr>
    <w:rPr>
      <w:rFonts w:ascii="黑体" w:eastAsia="黑体" w:cs="宋体"/>
      <w:b w:val="0"/>
      <w:color w:val="000000"/>
      <w:sz w:val="21"/>
      <w:szCs w:val="30"/>
    </w:rPr>
  </w:style>
  <w:style w:type="character" w:customStyle="1" w:styleId="62">
    <w:name w:val="标题 1 Char"/>
    <w:basedOn w:val="40"/>
    <w:link w:val="7"/>
    <w:qFormat/>
    <w:uiPriority w:val="9"/>
    <w:rPr>
      <w:rFonts w:ascii="Times New Roman" w:hAnsi="Times New Roman" w:eastAsia="宋体"/>
      <w:b/>
      <w:bCs/>
      <w:kern w:val="44"/>
      <w:sz w:val="32"/>
      <w:szCs w:val="44"/>
    </w:rPr>
  </w:style>
  <w:style w:type="paragraph" w:customStyle="1" w:styleId="63">
    <w:name w:val="02"/>
    <w:basedOn w:val="1"/>
    <w:qFormat/>
    <w:uiPriority w:val="0"/>
    <w:pPr>
      <w:adjustRightInd w:val="0"/>
      <w:snapToGrid w:val="0"/>
      <w:spacing w:before="100" w:beforeAutospacing="1" w:after="100" w:afterAutospacing="1"/>
    </w:pPr>
    <w:rPr>
      <w:rFonts w:ascii="宋体" w:hAnsi="宋体" w:cs="Times New Roman"/>
      <w:color w:val="000000"/>
      <w:kern w:val="0"/>
      <w:sz w:val="18"/>
      <w:szCs w:val="18"/>
    </w:rPr>
  </w:style>
  <w:style w:type="paragraph" w:customStyle="1" w:styleId="64">
    <w:name w:val="03"/>
    <w:basedOn w:val="9"/>
    <w:qFormat/>
    <w:uiPriority w:val="0"/>
    <w:pPr>
      <w:spacing w:beforeLines="50"/>
    </w:pPr>
    <w:rPr>
      <w:rFonts w:cs="Times New Roman"/>
      <w:b w:val="0"/>
      <w:szCs w:val="28"/>
    </w:rPr>
  </w:style>
  <w:style w:type="character" w:customStyle="1" w:styleId="65">
    <w:name w:val="标题 3 Char"/>
    <w:basedOn w:val="40"/>
    <w:link w:val="9"/>
    <w:qFormat/>
    <w:uiPriority w:val="9"/>
    <w:rPr>
      <w:rFonts w:ascii="Times New Roman" w:hAnsi="Times New Roman" w:eastAsia="宋体"/>
      <w:b/>
      <w:bCs/>
      <w:sz w:val="28"/>
      <w:szCs w:val="32"/>
    </w:rPr>
  </w:style>
  <w:style w:type="paragraph" w:customStyle="1" w:styleId="66">
    <w:name w:val="04"/>
    <w:basedOn w:val="10"/>
    <w:qFormat/>
    <w:uiPriority w:val="0"/>
    <w:pPr>
      <w:autoSpaceDE w:val="0"/>
      <w:autoSpaceDN w:val="0"/>
      <w:spacing w:beforeLines="50"/>
      <w:ind w:firstLine="472" w:firstLineChars="196"/>
    </w:pPr>
    <w:rPr>
      <w:rFonts w:cs="宋体"/>
      <w:color w:val="000000"/>
      <w:kern w:val="0"/>
      <w:szCs w:val="24"/>
    </w:rPr>
  </w:style>
  <w:style w:type="paragraph" w:customStyle="1" w:styleId="67">
    <w:name w:val="0标题"/>
    <w:basedOn w:val="37"/>
    <w:next w:val="7"/>
    <w:qFormat/>
    <w:uiPriority w:val="0"/>
    <w:pPr>
      <w:tabs>
        <w:tab w:val="left" w:pos="-2205"/>
        <w:tab w:val="left" w:pos="-1890"/>
        <w:tab w:val="left" w:pos="-1680"/>
        <w:tab w:val="left" w:pos="-1575"/>
      </w:tabs>
      <w:adjustRightInd w:val="0"/>
      <w:snapToGrid w:val="0"/>
      <w:spacing w:after="0"/>
      <w:ind w:firstLine="0" w:firstLineChars="0"/>
      <w:jc w:val="center"/>
    </w:pPr>
    <w:rPr>
      <w:rFonts w:ascii="黑体" w:eastAsia="黑体" w:cs="Times New Roman"/>
      <w:kern w:val="0"/>
      <w:sz w:val="36"/>
      <w:szCs w:val="36"/>
    </w:rPr>
  </w:style>
  <w:style w:type="character" w:customStyle="1" w:styleId="68">
    <w:name w:val="正文文本 Char"/>
    <w:basedOn w:val="40"/>
    <w:link w:val="17"/>
    <w:semiHidden/>
    <w:qFormat/>
    <w:uiPriority w:val="99"/>
  </w:style>
  <w:style w:type="character" w:customStyle="1" w:styleId="69">
    <w:name w:val="正文首行缩进 Char"/>
    <w:basedOn w:val="68"/>
    <w:link w:val="37"/>
    <w:semiHidden/>
    <w:qFormat/>
    <w:uiPriority w:val="99"/>
  </w:style>
  <w:style w:type="character" w:customStyle="1" w:styleId="70">
    <w:name w:val="标题 5 Char"/>
    <w:basedOn w:val="40"/>
    <w:link w:val="11"/>
    <w:qFormat/>
    <w:uiPriority w:val="9"/>
    <w:rPr>
      <w:rFonts w:ascii="Times New Roman" w:hAnsi="Times New Roman" w:eastAsia="宋体" w:cs="Times New Roman"/>
      <w:b/>
      <w:bCs/>
      <w:kern w:val="0"/>
      <w:sz w:val="24"/>
      <w:szCs w:val="28"/>
    </w:rPr>
  </w:style>
  <w:style w:type="character" w:customStyle="1" w:styleId="71">
    <w:name w:val="标题 6 Char"/>
    <w:basedOn w:val="40"/>
    <w:link w:val="12"/>
    <w:qFormat/>
    <w:uiPriority w:val="9"/>
    <w:rPr>
      <w:rFonts w:ascii="Times New Roman" w:hAnsi="Times New Roman" w:eastAsia="宋体" w:cstheme="majorBidi"/>
      <w:b/>
      <w:bCs/>
      <w:snapToGrid w:val="0"/>
      <w:kern w:val="24"/>
      <w:sz w:val="24"/>
      <w:szCs w:val="24"/>
    </w:rPr>
  </w:style>
  <w:style w:type="character" w:customStyle="1" w:styleId="72">
    <w:name w:val="标题 7 Char"/>
    <w:basedOn w:val="40"/>
    <w:link w:val="13"/>
    <w:qFormat/>
    <w:uiPriority w:val="9"/>
    <w:rPr>
      <w:rFonts w:ascii="Times New Roman" w:hAnsi="Times New Roman" w:eastAsia="宋体"/>
      <w:b/>
      <w:bCs/>
      <w:kern w:val="24"/>
      <w:sz w:val="24"/>
      <w:szCs w:val="24"/>
    </w:rPr>
  </w:style>
  <w:style w:type="character" w:customStyle="1" w:styleId="73">
    <w:name w:val="正文文本缩进 Char"/>
    <w:basedOn w:val="40"/>
    <w:link w:val="3"/>
    <w:semiHidden/>
    <w:qFormat/>
    <w:uiPriority w:val="99"/>
    <w:rPr>
      <w:rFonts w:ascii="Times New Roman" w:hAnsi="Times New Roman" w:eastAsia="宋体"/>
      <w:sz w:val="24"/>
    </w:rPr>
  </w:style>
  <w:style w:type="character" w:customStyle="1" w:styleId="74">
    <w:name w:val="正文首行缩进 2 Char"/>
    <w:basedOn w:val="73"/>
    <w:link w:val="2"/>
    <w:qFormat/>
    <w:uiPriority w:val="99"/>
    <w:rPr>
      <w:rFonts w:ascii="Times New Roman" w:hAnsi="Times New Roman" w:eastAsia="宋体"/>
      <w:sz w:val="24"/>
    </w:rPr>
  </w:style>
  <w:style w:type="character" w:customStyle="1" w:styleId="75">
    <w:name w:val="日期 Char"/>
    <w:basedOn w:val="40"/>
    <w:link w:val="24"/>
    <w:semiHidden/>
    <w:qFormat/>
    <w:uiPriority w:val="99"/>
    <w:rPr>
      <w:rFonts w:ascii="Times New Roman" w:hAnsi="Times New Roman" w:eastAsia="宋体"/>
      <w:sz w:val="24"/>
    </w:rPr>
  </w:style>
  <w:style w:type="character" w:customStyle="1" w:styleId="76">
    <w:name w:val="页脚 Char"/>
    <w:basedOn w:val="40"/>
    <w:link w:val="27"/>
    <w:qFormat/>
    <w:uiPriority w:val="99"/>
    <w:rPr>
      <w:rFonts w:ascii="Times New Roman" w:hAnsi="Times New Roman" w:eastAsia="宋体" w:cs="Times New Roman"/>
      <w:sz w:val="18"/>
      <w:szCs w:val="18"/>
    </w:rPr>
  </w:style>
  <w:style w:type="character" w:customStyle="1" w:styleId="77">
    <w:name w:val="批注框文本 Char"/>
    <w:basedOn w:val="40"/>
    <w:link w:val="26"/>
    <w:semiHidden/>
    <w:qFormat/>
    <w:uiPriority w:val="99"/>
    <w:rPr>
      <w:rFonts w:ascii="Times New Roman" w:hAnsi="Times New Roman" w:eastAsia="宋体"/>
      <w:sz w:val="18"/>
      <w:szCs w:val="18"/>
    </w:rPr>
  </w:style>
  <w:style w:type="character" w:customStyle="1" w:styleId="78">
    <w:name w:val="页眉 Char"/>
    <w:basedOn w:val="40"/>
    <w:link w:val="4"/>
    <w:qFormat/>
    <w:uiPriority w:val="99"/>
    <w:rPr>
      <w:rFonts w:ascii="Times New Roman" w:hAnsi="Times New Roman" w:eastAsia="宋体"/>
      <w:sz w:val="18"/>
      <w:szCs w:val="18"/>
    </w:rPr>
  </w:style>
  <w:style w:type="character" w:customStyle="1" w:styleId="79">
    <w:name w:val="1、正文 Char"/>
    <w:basedOn w:val="40"/>
    <w:link w:val="80"/>
    <w:qFormat/>
    <w:uiPriority w:val="0"/>
    <w:rPr>
      <w:rFonts w:eastAsia="宋体"/>
      <w:bCs/>
      <w:sz w:val="24"/>
      <w:szCs w:val="24"/>
    </w:rPr>
  </w:style>
  <w:style w:type="paragraph" w:customStyle="1" w:styleId="80">
    <w:name w:val="1、正文"/>
    <w:basedOn w:val="1"/>
    <w:link w:val="79"/>
    <w:qFormat/>
    <w:uiPriority w:val="0"/>
    <w:pPr>
      <w:widowControl w:val="0"/>
      <w:ind w:firstLine="480"/>
      <w:jc w:val="both"/>
    </w:pPr>
    <w:rPr>
      <w:rFonts w:asciiTheme="minorHAnsi" w:hAnsiTheme="minorHAnsi"/>
      <w:bCs/>
      <w:szCs w:val="24"/>
    </w:rPr>
  </w:style>
  <w:style w:type="character" w:customStyle="1" w:styleId="81">
    <w:name w:val="表格 Char Char"/>
    <w:basedOn w:val="40"/>
    <w:link w:val="82"/>
    <w:qFormat/>
    <w:uiPriority w:val="0"/>
    <w:rPr>
      <w:rFonts w:eastAsia="宋体"/>
      <w:sz w:val="18"/>
      <w:szCs w:val="18"/>
    </w:rPr>
  </w:style>
  <w:style w:type="paragraph" w:customStyle="1" w:styleId="82">
    <w:name w:val="表格"/>
    <w:basedOn w:val="1"/>
    <w:next w:val="1"/>
    <w:link w:val="81"/>
    <w:qFormat/>
    <w:uiPriority w:val="0"/>
    <w:pPr>
      <w:widowControl w:val="0"/>
      <w:adjustRightInd w:val="0"/>
      <w:spacing w:line="240" w:lineRule="auto"/>
      <w:ind w:firstLine="0" w:firstLineChars="0"/>
      <w:jc w:val="center"/>
      <w:textAlignment w:val="baseline"/>
    </w:pPr>
    <w:rPr>
      <w:rFonts w:asciiTheme="minorHAnsi" w:hAnsiTheme="minorHAnsi"/>
      <w:sz w:val="18"/>
      <w:szCs w:val="18"/>
    </w:rPr>
  </w:style>
  <w:style w:type="character" w:customStyle="1" w:styleId="83">
    <w:name w:val="批注文字 Char"/>
    <w:basedOn w:val="40"/>
    <w:link w:val="16"/>
    <w:semiHidden/>
    <w:qFormat/>
    <w:uiPriority w:val="99"/>
    <w:rPr>
      <w:rFonts w:ascii="Times New Roman" w:hAnsi="Times New Roman" w:eastAsia="宋体"/>
      <w:sz w:val="24"/>
    </w:rPr>
  </w:style>
  <w:style w:type="character" w:customStyle="1" w:styleId="84">
    <w:name w:val="批注主题 Char"/>
    <w:basedOn w:val="83"/>
    <w:link w:val="36"/>
    <w:semiHidden/>
    <w:qFormat/>
    <w:uiPriority w:val="99"/>
    <w:rPr>
      <w:rFonts w:ascii="Times New Roman" w:hAnsi="Times New Roman" w:eastAsia="宋体"/>
      <w:b/>
      <w:bCs/>
      <w:sz w:val="24"/>
    </w:rPr>
  </w:style>
  <w:style w:type="character" w:customStyle="1" w:styleId="85">
    <w:name w:val="HTML 预设格式 Char"/>
    <w:basedOn w:val="40"/>
    <w:link w:val="34"/>
    <w:qFormat/>
    <w:uiPriority w:val="0"/>
    <w:rPr>
      <w:rFonts w:ascii="宋体" w:hAnsi="宋体" w:eastAsia="宋体" w:cs="Times New Roman"/>
      <w:kern w:val="0"/>
      <w:sz w:val="24"/>
      <w:szCs w:val="24"/>
    </w:rPr>
  </w:style>
  <w:style w:type="paragraph" w:customStyle="1" w:styleId="86">
    <w:name w:val="xl25"/>
    <w:basedOn w:val="1"/>
    <w:qFormat/>
    <w:uiPriority w:val="99"/>
    <w:pPr>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cs="Times New Roman"/>
      <w:kern w:val="0"/>
      <w:sz w:val="21"/>
      <w:szCs w:val="21"/>
    </w:rPr>
  </w:style>
  <w:style w:type="character" w:customStyle="1" w:styleId="87">
    <w:name w:val="纯文本 Char"/>
    <w:basedOn w:val="40"/>
    <w:semiHidden/>
    <w:qFormat/>
    <w:uiPriority w:val="99"/>
    <w:rPr>
      <w:rFonts w:ascii="宋体" w:hAnsi="Courier New" w:eastAsia="宋体" w:cs="Courier New"/>
      <w:szCs w:val="21"/>
    </w:rPr>
  </w:style>
  <w:style w:type="character" w:customStyle="1" w:styleId="88">
    <w:name w:val="纯文本 Char1"/>
    <w:basedOn w:val="40"/>
    <w:link w:val="22"/>
    <w:qFormat/>
    <w:uiPriority w:val="0"/>
    <w:rPr>
      <w:rFonts w:ascii="宋体" w:hAnsi="Courier New" w:eastAsia="宋体" w:cs="Courier New"/>
      <w:szCs w:val="21"/>
    </w:rPr>
  </w:style>
  <w:style w:type="paragraph" w:styleId="89">
    <w:name w:val="List Paragraph"/>
    <w:basedOn w:val="1"/>
    <w:qFormat/>
    <w:uiPriority w:val="34"/>
    <w:pPr>
      <w:ind w:firstLine="420"/>
    </w:pPr>
  </w:style>
  <w:style w:type="paragraph" w:customStyle="1" w:styleId="90">
    <w:name w:val="样式16"/>
    <w:basedOn w:val="27"/>
    <w:qFormat/>
    <w:uiPriority w:val="0"/>
    <w:pPr>
      <w:pBdr>
        <w:top w:val="single" w:color="auto" w:sz="6" w:space="1"/>
      </w:pBdr>
      <w:wordWrap w:val="0"/>
      <w:adjustRightInd w:val="0"/>
      <w:ind w:firstLine="360"/>
      <w:jc w:val="right"/>
    </w:pPr>
  </w:style>
  <w:style w:type="paragraph" w:customStyle="1" w:styleId="91">
    <w:name w:val="Table Paragraph"/>
    <w:basedOn w:val="1"/>
    <w:qFormat/>
    <w:uiPriority w:val="1"/>
    <w:pPr>
      <w:widowControl w:val="0"/>
      <w:tabs>
        <w:tab w:val="center" w:pos="0"/>
      </w:tabs>
      <w:spacing w:line="480" w:lineRule="exact"/>
      <w:ind w:firstLine="420"/>
      <w:jc w:val="both"/>
    </w:pPr>
    <w:rPr>
      <w:rFonts w:ascii="宋体" w:hAnsi="宋体" w:cs="宋体"/>
      <w:szCs w:val="24"/>
      <w:lang w:val="zh-CN" w:bidi="zh-CN"/>
    </w:rPr>
  </w:style>
  <w:style w:type="character" w:customStyle="1" w:styleId="92">
    <w:name w:val="正文文本缩进 2 Char"/>
    <w:basedOn w:val="40"/>
    <w:link w:val="25"/>
    <w:semiHidden/>
    <w:qFormat/>
    <w:uiPriority w:val="99"/>
    <w:rPr>
      <w:rFonts w:ascii="Times New Roman" w:hAnsi="Times New Roman" w:eastAsia="宋体"/>
      <w:sz w:val="24"/>
    </w:rPr>
  </w:style>
  <w:style w:type="paragraph" w:customStyle="1" w:styleId="93">
    <w:name w:val="Char Char Char Char"/>
    <w:basedOn w:val="1"/>
    <w:qFormat/>
    <w:uiPriority w:val="0"/>
    <w:pPr>
      <w:widowControl w:val="0"/>
      <w:snapToGrid w:val="0"/>
      <w:jc w:val="both"/>
    </w:pPr>
    <w:rPr>
      <w:rFonts w:eastAsia="仿宋_GB2312" w:cs="Times New Roman"/>
      <w:szCs w:val="24"/>
    </w:rPr>
  </w:style>
  <w:style w:type="paragraph" w:customStyle="1" w:styleId="94">
    <w:name w:val="正文文本缩进11"/>
    <w:basedOn w:val="1"/>
    <w:next w:val="44"/>
    <w:qFormat/>
    <w:uiPriority w:val="0"/>
    <w:pPr>
      <w:spacing w:after="120"/>
      <w:ind w:left="420" w:leftChars="200"/>
    </w:pPr>
  </w:style>
  <w:style w:type="paragraph" w:customStyle="1" w:styleId="95">
    <w:name w:val="Char Char1 Char Char Char Char Char Char Char Char Char Char Char Char Char Char Char Char Char Char Char Char1 Char2"/>
    <w:basedOn w:val="1"/>
    <w:qFormat/>
    <w:uiPriority w:val="0"/>
    <w:rPr>
      <w:snapToGrid w:val="0"/>
      <w:kern w:val="0"/>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AE66E7-39A2-4DE9-BC46-D7B07C7A8B5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43</Pages>
  <Words>13163</Words>
  <Characters>15410</Characters>
  <Lines>138</Lines>
  <Paragraphs>39</Paragraphs>
  <TotalTime>11</TotalTime>
  <ScaleCrop>false</ScaleCrop>
  <LinksUpToDate>false</LinksUpToDate>
  <CharactersWithSpaces>16413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2020-12-17T13:08:00Z</dcterms:created>
  <dc:creator>Windows User</dc:creator>
  <cp:lastModifiedBy>，</cp:lastModifiedBy>
  <cp:lastPrinted>2022-08-22T07:45:00Z</cp:lastPrinted>
  <dcterms:modified xsi:type="dcterms:W3CDTF">2023-02-07T03:39:14Z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EE32469D52E9402E8E559FD68C633CEE</vt:lpwstr>
  </property>
</Properties>
</file>