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b/>
          <w:bCs w:val="0"/>
          <w:i w:val="0"/>
          <w:caps w:val="0"/>
          <w:color w:val="333333"/>
          <w:spacing w:val="0"/>
          <w:sz w:val="24"/>
          <w:szCs w:val="24"/>
        </w:rPr>
      </w:pPr>
      <w:r>
        <w:rPr>
          <w:rStyle w:val="5"/>
          <w:rFonts w:hint="eastAsia" w:ascii="宋体" w:hAnsi="宋体" w:eastAsia="宋体" w:cs="宋体"/>
          <w:b/>
          <w:bCs w:val="0"/>
          <w:i w:val="0"/>
          <w:caps w:val="0"/>
          <w:color w:val="333333"/>
          <w:spacing w:val="0"/>
          <w:sz w:val="24"/>
          <w:szCs w:val="24"/>
          <w:shd w:val="clear" w:fill="FFFFFF"/>
        </w:rPr>
        <w:t>广东省食用农产品合格证（样式）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shd w:val="clear" w:fill="FFFFFF"/>
        </w:rPr>
        <w:t>　　</w:t>
      </w:r>
      <w:r>
        <w:rPr>
          <w:rStyle w:val="5"/>
          <w:rFonts w:hint="eastAsia" w:ascii="宋体" w:hAnsi="宋体" w:eastAsia="宋体" w:cs="宋体"/>
          <w:b/>
          <w:i w:val="0"/>
          <w:caps w:val="0"/>
          <w:color w:val="333333"/>
          <w:spacing w:val="0"/>
          <w:sz w:val="21"/>
          <w:szCs w:val="21"/>
          <w:shd w:val="clear" w:fill="FFFFFF"/>
        </w:rPr>
        <w:t>一、合格证样式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shd w:val="clear" w:fill="FFFFFF"/>
        </w:rPr>
        <w:t>　</w:t>
      </w:r>
      <w:r>
        <w:rPr>
          <w:rFonts w:hint="eastAsia" w:ascii="宋体" w:hAnsi="宋体" w:eastAsia="宋体" w:cs="宋体"/>
          <w:b/>
          <w:bCs/>
          <w:i w:val="0"/>
          <w:caps w:val="0"/>
          <w:color w:val="333333"/>
          <w:spacing w:val="0"/>
          <w:sz w:val="21"/>
          <w:szCs w:val="21"/>
          <w:shd w:val="clear" w:fill="FFFFFF"/>
        </w:rPr>
        <w:t>　（一）纸质版合格证（样式）</w:t>
      </w:r>
    </w:p>
    <w:p>
      <w:pPr>
        <w:jc w:val="center"/>
        <w:rPr>
          <w:rFonts w:hint="eastAsia" w:eastAsiaTheme="minorEastAsia"/>
          <w:lang w:eastAsia="zh-CN"/>
        </w:rPr>
      </w:pPr>
      <w:r>
        <w:rPr>
          <w:rFonts w:hint="eastAsia" w:eastAsiaTheme="minorEastAsia"/>
          <w:lang w:eastAsia="zh-CN"/>
        </w:rPr>
        <w:drawing>
          <wp:inline distT="0" distB="0" distL="114300" distR="114300">
            <wp:extent cx="4506595" cy="6309995"/>
            <wp:effectExtent l="0" t="0" r="8255" b="14605"/>
            <wp:docPr id="1" name="图片 1" descr="食用农产品合格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食用农产品合格证"/>
                    <pic:cNvPicPr>
                      <a:picLocks noChangeAspect="1"/>
                    </pic:cNvPicPr>
                  </pic:nvPicPr>
                  <pic:blipFill>
                    <a:blip r:embed="rId4"/>
                    <a:stretch>
                      <a:fillRect/>
                    </a:stretch>
                  </pic:blipFill>
                  <pic:spPr>
                    <a:xfrm>
                      <a:off x="0" y="0"/>
                      <a:ext cx="4506595" cy="6309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rPr>
      </w:pPr>
      <w:r>
        <w:rPr>
          <w:rFonts w:hint="default"/>
        </w:rPr>
        <w:t>大尺寸（A4二分之一大小，15CM*21CM）：适合散装农产品，张贴、悬挂等，一车一证或一批一证使用。可在省追溯平台直接填写并完成自助打印后，盖章使用；也可在省追溯平台下载空白合格证，自行打印或批量印刷后手工填写、盖章使用。</w:t>
      </w:r>
    </w:p>
    <w:p>
      <w:pPr>
        <w:keepNext w:val="0"/>
        <w:keepLines w:val="0"/>
        <w:pageBreakBefore w:val="0"/>
        <w:widowControl w:val="0"/>
        <w:kinsoku/>
        <w:wordWrap/>
        <w:overflowPunct/>
        <w:topLinePunct w:val="0"/>
        <w:autoSpaceDE/>
        <w:autoSpaceDN/>
        <w:bidi w:val="0"/>
        <w:adjustRightInd/>
        <w:snapToGrid/>
        <w:spacing w:line="340" w:lineRule="exact"/>
        <w:ind w:firstLine="425"/>
        <w:textAlignment w:val="auto"/>
        <w:rPr>
          <w:rFonts w:hint="default"/>
        </w:rPr>
      </w:pPr>
      <w:r>
        <w:rPr>
          <w:rFonts w:hint="default"/>
        </w:rPr>
        <w:t>小尺寸（A4八分之一大小，7.5CM*10.5CM）：适合预包装产品，可在省追溯平台直接填写并完成自助打印、盖章后使用。</w:t>
      </w:r>
    </w:p>
    <w:p>
      <w:pPr>
        <w:keepNext w:val="0"/>
        <w:keepLines w:val="0"/>
        <w:pageBreakBefore w:val="0"/>
        <w:widowControl w:val="0"/>
        <w:kinsoku/>
        <w:wordWrap/>
        <w:overflowPunct/>
        <w:topLinePunct w:val="0"/>
        <w:autoSpaceDE/>
        <w:autoSpaceDN/>
        <w:bidi w:val="0"/>
        <w:adjustRightInd/>
        <w:snapToGrid/>
        <w:spacing w:line="340" w:lineRule="exact"/>
        <w:ind w:firstLine="425"/>
        <w:textAlignment w:val="auto"/>
        <w:rPr>
          <w:rFonts w:hint="default"/>
        </w:rPr>
      </w:pPr>
    </w:p>
    <w:p>
      <w:pPr>
        <w:keepNext w:val="0"/>
        <w:keepLines w:val="0"/>
        <w:pageBreakBefore w:val="0"/>
        <w:widowControl w:val="0"/>
        <w:kinsoku/>
        <w:wordWrap/>
        <w:overflowPunct/>
        <w:topLinePunct w:val="0"/>
        <w:autoSpaceDE/>
        <w:autoSpaceDN/>
        <w:bidi w:val="0"/>
        <w:adjustRightInd/>
        <w:snapToGrid/>
        <w:spacing w:line="340" w:lineRule="exact"/>
        <w:ind w:firstLine="425"/>
        <w:textAlignment w:val="auto"/>
        <w:rPr>
          <w:rFonts w:hint="default"/>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b/>
          <w:bCs/>
        </w:rPr>
      </w:pPr>
      <w:r>
        <w:rPr>
          <w:rFonts w:hint="default"/>
          <w:b/>
          <w:bCs/>
        </w:rPr>
        <w:t>　　（二）电子版合格证（样式）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b w:val="0"/>
          <w:i w:val="0"/>
          <w:caps w:val="0"/>
          <w:color w:val="333333"/>
          <w:spacing w:val="0"/>
          <w:sz w:val="21"/>
          <w:szCs w:val="21"/>
          <w:shd w:val="clear" w:fill="FFFFFF"/>
          <w:lang w:eastAsia="zh-CN"/>
        </w:rPr>
      </w:pPr>
      <w:r>
        <w:rPr>
          <w:rFonts w:hint="eastAsia" w:ascii="宋体" w:hAnsi="宋体" w:eastAsia="宋体" w:cs="宋体"/>
          <w:b w:val="0"/>
          <w:i w:val="0"/>
          <w:caps w:val="0"/>
          <w:color w:val="333333"/>
          <w:spacing w:val="0"/>
          <w:sz w:val="21"/>
          <w:szCs w:val="21"/>
          <w:shd w:val="clear" w:fill="FFFFFF"/>
          <w:lang w:eastAsia="zh-CN"/>
        </w:rPr>
        <w:drawing>
          <wp:inline distT="0" distB="0" distL="114300" distR="114300">
            <wp:extent cx="4503420" cy="2247900"/>
            <wp:effectExtent l="0" t="0" r="11430" b="0"/>
            <wp:docPr id="2" name="图片 2" descr="防伪食用农产品合格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防伪食用农产品合格证"/>
                    <pic:cNvPicPr>
                      <a:picLocks noChangeAspect="1"/>
                    </pic:cNvPicPr>
                  </pic:nvPicPr>
                  <pic:blipFill>
                    <a:blip r:embed="rId5"/>
                    <a:stretch>
                      <a:fillRect/>
                    </a:stretch>
                  </pic:blipFill>
                  <pic:spPr>
                    <a:xfrm>
                      <a:off x="0" y="0"/>
                      <a:ext cx="4503420" cy="22479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rPr>
      </w:pPr>
      <w:bookmarkStart w:id="0" w:name="_GoBack"/>
      <w:bookmarkEnd w:id="0"/>
      <w:r>
        <w:rPr>
          <w:rFonts w:hint="default"/>
        </w:rPr>
        <w:t>尺寸（5CM*2.5CM）：使用国密局许可的数字证书和电子印章体系，具备不可篡改性，具备同等法律效力。省追溯平台已实现“二码合一”、不干胶防伪+电子证。适合直接粘贴到包装上，提供消费者扫描查询电子合格证及有关追溯信息。</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rPr>
      </w:pPr>
      <w:r>
        <w:rPr>
          <w:rFonts w:hint="default"/>
          <w:b/>
          <w:bCs/>
        </w:rPr>
        <w:t>　　（三）其他</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rPr>
      </w:pPr>
      <w:r>
        <w:rPr>
          <w:rFonts w:hint="default"/>
        </w:rPr>
        <w:t>　　各地可在国家及省规定的合格证样式基础上，结合实际另行设定规格或大小、经过检测的增加检测状况等标示内容。</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rPr>
      </w:pPr>
      <w:r>
        <w:rPr>
          <w:rFonts w:hint="default"/>
        </w:rPr>
        <w:t>　</w:t>
      </w:r>
      <w:r>
        <w:rPr>
          <w:rFonts w:hint="default"/>
          <w:b/>
          <w:bCs/>
        </w:rPr>
        <w:t>　二、合格证使用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rPr>
      </w:pPr>
      <w:r>
        <w:rPr>
          <w:rFonts w:hint="default"/>
          <w:b/>
          <w:bCs/>
        </w:rPr>
        <w:t>　　（一）开具方式</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rPr>
      </w:pPr>
      <w:r>
        <w:rPr>
          <w:rFonts w:hint="default"/>
        </w:rPr>
        <w:t>　　通过省追溯平台填写、自助打印开具的，系统自动留存电子版备查；其他方式开具的一式两联，一联出具给交易对象，一联留存一年备查。</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rPr>
      </w:pPr>
      <w:r>
        <w:rPr>
          <w:rFonts w:hint="default"/>
        </w:rPr>
        <w:t>　</w:t>
      </w:r>
      <w:r>
        <w:rPr>
          <w:rFonts w:hint="default"/>
          <w:b/>
          <w:bCs/>
        </w:rPr>
        <w:t>　（二）开具单元</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rPr>
      </w:pPr>
      <w:r>
        <w:rPr>
          <w:rFonts w:hint="default"/>
        </w:rPr>
        <w:t>　　有包装的农产品以包装为单元开具，张贴或悬挂在包装材料表面。散装的农产品应以运输车辆或收购批次为单元，实行一车一证或一批一证，随同车或同批次使用。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rPr>
      </w:pPr>
      <w:r>
        <w:rPr>
          <w:rFonts w:hint="default"/>
        </w:rPr>
        <w:t>　　</w:t>
      </w:r>
      <w:r>
        <w:rPr>
          <w:rFonts w:hint="default"/>
          <w:b/>
          <w:bCs/>
        </w:rPr>
        <w:t>（三）打印设备</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rPr>
      </w:pPr>
      <w:r>
        <w:rPr>
          <w:rFonts w:hint="default"/>
        </w:rPr>
        <w:t>　　纸质版合格证应使用适合保存的打印设备和耗材进行打印，以便存储和备查。通过省追溯平台以外途径打印使用的，应当将合格证打印使用时间、数量、合格证内容等及时同步到省追溯平台上统一管理。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rPr>
      </w:pPr>
      <w:r>
        <w:rPr>
          <w:rFonts w:hint="default"/>
        </w:rPr>
        <w:t>　　</w:t>
      </w:r>
      <w:r>
        <w:rPr>
          <w:rFonts w:hint="default"/>
          <w:b/>
          <w:bCs/>
        </w:rPr>
        <w:t>（四）用户使用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rPr>
      </w:pPr>
      <w:r>
        <w:rPr>
          <w:rFonts w:hint="default"/>
        </w:rPr>
        <w:t>　　已在国家或省追溯平台注册的农产品生产主体，可使用省追溯平台账户（仅在国家追溯平台注册而没有在省追溯平台注册的则可直接使用国家追溯平台账户）登录省追溯平台，按相关指引使用合格证系统。省追溯平台技术支持：13312887558（可搜索此号码加微信）。</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6C6705"/>
    <w:rsid w:val="356C6705"/>
    <w:rsid w:val="7EB75C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2020-01-14T06:33:00Z</dcterms:created>
  <dc:creator>广东省蔬菜产业协会办公室</dc:creator>
  <cp:lastModifiedBy>广东省蔬菜产业协会办公室</cp:lastModifiedBy>
  <dcterms:modified xsi:type="dcterms:W3CDTF">2020-01-14T06:48:14Z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