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附件2: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2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特色产业培训基地承办条件</w:t>
      </w:r>
      <w:bookmarkEnd w:id="2"/>
    </w:p>
    <w:p>
      <w:pPr>
        <w:bidi w:val="0"/>
        <w:rPr>
          <w:rFonts w:hint="eastAsia"/>
          <w:lang w:val="en-US" w:eastAsia="zh-CN"/>
        </w:rPr>
      </w:pPr>
      <w:bookmarkStart w:id="0" w:name="_Toc18820_WPSOffice_Level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一、</w:t>
      </w:r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资质能力要求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1.依法登记并合法存续，具有独立法人资格的企事业单位。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2.依法缴纳税收并具备较强的经济实力，企业征信良好。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3.能够独立组织培训和招募学员。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4.承办单位需加入中国县镇经济交流促进会团体会员。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二、培训场地要求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0" w:hanging="280" w:hanging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具有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60平米以上多功能教学场所（租赁期限不低于1年），符合消防安全标准。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配有教学辅助设备：</w:t>
      </w:r>
      <w:r>
        <w:rPr>
          <w:rFonts w:hint="eastAsia" w:ascii="仿宋" w:hAnsi="仿宋" w:eastAsia="仿宋" w:cs="仿宋"/>
          <w:sz w:val="28"/>
          <w:szCs w:val="28"/>
        </w:rPr>
        <w:t>投影仪、幕布、扬声器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白板、白板笔等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承办地点需交通便利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1" w:name="_Toc17045_WPSOffice_Level2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三、组织工作要求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提供学员食宿预订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推荐</w:t>
      </w:r>
      <w:r>
        <w:rPr>
          <w:rFonts w:hint="eastAsia" w:ascii="仿宋" w:hAnsi="仿宋" w:eastAsia="仿宋" w:cs="仿宋"/>
          <w:sz w:val="28"/>
          <w:szCs w:val="28"/>
        </w:rPr>
        <w:t>服务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，就近安排（费用自理）。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提供培训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师</w:t>
      </w:r>
      <w:r>
        <w:rPr>
          <w:rFonts w:hint="eastAsia" w:ascii="仿宋" w:hAnsi="仿宋" w:eastAsia="仿宋" w:cs="仿宋"/>
          <w:sz w:val="28"/>
          <w:szCs w:val="28"/>
        </w:rPr>
        <w:t>食宿、差旅和劳务费，以及相关人员的食宿、差旅费。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需配备1-2名工作人员协助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培训老师</w:t>
      </w:r>
      <w:r>
        <w:rPr>
          <w:rFonts w:hint="eastAsia" w:ascii="仿宋" w:hAnsi="仿宋" w:eastAsia="仿宋" w:cs="仿宋"/>
          <w:sz w:val="28"/>
          <w:szCs w:val="28"/>
        </w:rPr>
        <w:t>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sz w:val="28"/>
          <w:szCs w:val="28"/>
        </w:rPr>
        <w:t>工作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80" w:hanging="280" w:hanging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维护中国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县镇经济交流促进会</w:t>
      </w:r>
      <w:r>
        <w:rPr>
          <w:rFonts w:hint="eastAsia" w:ascii="仿宋" w:hAnsi="仿宋" w:eastAsia="仿宋" w:cs="仿宋"/>
          <w:sz w:val="28"/>
          <w:szCs w:val="28"/>
        </w:rPr>
        <w:t>和培训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基地</w:t>
      </w:r>
      <w:r>
        <w:rPr>
          <w:rFonts w:hint="eastAsia" w:ascii="仿宋" w:hAnsi="仿宋" w:eastAsia="仿宋" w:cs="仿宋"/>
          <w:sz w:val="28"/>
          <w:szCs w:val="28"/>
        </w:rPr>
        <w:t>的声誉并获得当地主管部门或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行业</w:t>
      </w:r>
      <w:r>
        <w:rPr>
          <w:rFonts w:hint="eastAsia" w:ascii="仿宋" w:hAnsi="仿宋" w:eastAsia="仿宋" w:cs="仿宋"/>
          <w:sz w:val="28"/>
          <w:szCs w:val="28"/>
        </w:rPr>
        <w:t>协会支持。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至少4-6名初学者协助进行集体授课考核。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60FF"/>
    <w:rsid w:val="7AEE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2022-05-07T13:31:00Z</dcterms:created>
  <dc:creator>谷山</dc:creator>
  <cp:lastModifiedBy>谷山</cp:lastModifiedBy>
  <dcterms:modified xsi:type="dcterms:W3CDTF">2022-05-07T13:31:39Z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081736C38774434F8731E4472DD9F250</vt:lpwstr>
  </property>
</Properties>
</file>