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0" w:firstLineChars="200"/>
        <w:jc w:val="right"/>
        <w:rPr>
          <w:rFonts w:hint="eastAsia"/>
          <w:b/>
          <w:bCs/>
        </w:rPr>
      </w:pPr>
      <w:r>
        <w:rPr>
          <w:rFonts w:hint="eastAsia" w:ascii="仿宋" w:hAnsi="仿宋" w:eastAsia="仿宋" w:cs="仿宋"/>
          <w:color w:val="231F20"/>
          <w:kern w:val="0"/>
          <w:sz w:val="32"/>
          <w:szCs w:val="32"/>
          <w:lang w:bidi="ar"/>
        </w:rPr>
        <w:t>陕水站函【2019】 号</w:t>
      </w:r>
    </w:p>
    <w:p>
      <w:pPr>
        <w:ind w:firstLine="641" w:firstLineChars="304"/>
        <w:jc w:val="left"/>
        <w:rPr>
          <w:rFonts w:hint="eastAsia"/>
          <w:b/>
          <w:bCs/>
        </w:rPr>
      </w:pPr>
    </w:p>
    <w:p>
      <w:pPr>
        <w:widowControl/>
        <w:jc w:val="center"/>
        <w:rPr>
          <w:rFonts w:hint="eastAsia" w:ascii="FZXBSJW--GB1-0" w:hAnsi="FZXBSJW--GB1-0" w:eastAsia="FZXBSJW--GB1-0" w:cs="FZXBSJW--GB1-0"/>
          <w:kern w:val="0"/>
          <w:sz w:val="42"/>
          <w:szCs w:val="42"/>
          <w:lang w:bidi="ar"/>
        </w:rPr>
      </w:pPr>
      <w:r>
        <w:rPr>
          <w:rFonts w:ascii="FZXBSJW--GB1-0" w:hAnsi="FZXBSJW--GB1-0" w:eastAsia="FZXBSJW--GB1-0" w:cs="FZXBSJW--GB1-0"/>
          <w:kern w:val="0"/>
          <w:sz w:val="42"/>
          <w:szCs w:val="42"/>
          <w:lang w:bidi="ar"/>
        </w:rPr>
        <w:t>关于开展</w:t>
      </w:r>
      <w:r>
        <w:rPr>
          <w:rFonts w:hint="eastAsia" w:ascii="FZXBSJW--GB1-0" w:hAnsi="FZXBSJW--GB1-0" w:eastAsia="FZXBSJW--GB1-0" w:cs="FZXBSJW--GB1-0"/>
          <w:kern w:val="0"/>
          <w:sz w:val="42"/>
          <w:szCs w:val="42"/>
          <w:lang w:bidi="ar"/>
        </w:rPr>
        <w:t>全省</w:t>
      </w:r>
      <w:r>
        <w:rPr>
          <w:rFonts w:ascii="FZXBSJW--GB1-0" w:hAnsi="FZXBSJW--GB1-0" w:eastAsia="FZXBSJW--GB1-0" w:cs="FZXBSJW--GB1-0"/>
          <w:kern w:val="0"/>
          <w:sz w:val="42"/>
          <w:szCs w:val="42"/>
          <w:lang w:bidi="ar"/>
        </w:rPr>
        <w:t>渔业技术推广</w:t>
      </w:r>
      <w:r>
        <w:rPr>
          <w:rFonts w:hint="eastAsia" w:ascii="FZXBSJW--GB1-0" w:hAnsi="FZXBSJW--GB1-0" w:eastAsia="FZXBSJW--GB1-0" w:cs="FZXBSJW--GB1-0"/>
          <w:kern w:val="0"/>
          <w:sz w:val="42"/>
          <w:szCs w:val="42"/>
          <w:lang w:bidi="ar"/>
        </w:rPr>
        <w:t>“十三五”总结</w:t>
      </w:r>
    </w:p>
    <w:p>
      <w:pPr>
        <w:widowControl/>
        <w:jc w:val="center"/>
        <w:rPr>
          <w:rFonts w:hint="eastAsia" w:ascii="FZXBSJW--GB1-0" w:hAnsi="FZXBSJW--GB1-0" w:eastAsia="FZXBSJW--GB1-0" w:cs="FZXBSJW--GB1-0"/>
          <w:kern w:val="0"/>
          <w:sz w:val="42"/>
          <w:szCs w:val="42"/>
          <w:lang w:bidi="ar"/>
        </w:rPr>
      </w:pPr>
      <w:r>
        <w:rPr>
          <w:rFonts w:hint="eastAsia" w:ascii="FZXBSJW--GB1-0" w:hAnsi="FZXBSJW--GB1-0" w:eastAsia="FZXBSJW--GB1-0" w:cs="FZXBSJW--GB1-0"/>
          <w:kern w:val="0"/>
          <w:sz w:val="42"/>
          <w:szCs w:val="42"/>
          <w:lang w:bidi="ar"/>
        </w:rPr>
        <w:t>暨</w:t>
      </w:r>
      <w:r>
        <w:rPr>
          <w:rFonts w:ascii="FZXBSJW--GB1-0" w:hAnsi="FZXBSJW--GB1-0" w:eastAsia="FZXBSJW--GB1-0" w:cs="FZXBSJW--GB1-0"/>
          <w:kern w:val="0"/>
          <w:sz w:val="42"/>
          <w:szCs w:val="42"/>
          <w:lang w:bidi="ar"/>
        </w:rPr>
        <w:t>“十四五”战略研究的</w:t>
      </w:r>
      <w:r>
        <w:rPr>
          <w:rFonts w:hint="eastAsia" w:ascii="FZXBSJW--GB1-0" w:hAnsi="FZXBSJW--GB1-0" w:eastAsia="FZXBSJW--GB1-0" w:cs="FZXBSJW--GB1-0"/>
          <w:kern w:val="0"/>
          <w:sz w:val="42"/>
          <w:szCs w:val="42"/>
          <w:lang w:bidi="ar"/>
        </w:rPr>
        <w:t>通知</w:t>
      </w:r>
    </w:p>
    <w:p>
      <w:pPr>
        <w:widowControl/>
        <w:jc w:val="left"/>
        <w:rPr>
          <w:rFonts w:hint="eastAsia" w:ascii="仿宋" w:hAnsi="仿宋" w:eastAsia="仿宋" w:cs="仿宋"/>
          <w:color w:val="231F20"/>
          <w:kern w:val="0"/>
          <w:sz w:val="32"/>
          <w:szCs w:val="32"/>
          <w:lang w:bidi="ar"/>
        </w:rPr>
      </w:pPr>
    </w:p>
    <w:p>
      <w:pPr>
        <w:widowControl/>
        <w:jc w:val="left"/>
        <w:rPr>
          <w:rFonts w:hint="eastAsia"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各市水产站：</w:t>
      </w:r>
    </w:p>
    <w:p>
      <w:pPr>
        <w:widowControl/>
        <w:ind w:firstLine="640" w:firstLineChars="200"/>
        <w:jc w:val="left"/>
        <w:rPr>
          <w:rFonts w:hint="eastAsia" w:ascii="仿宋" w:hAnsi="仿宋" w:eastAsia="仿宋" w:cs="仿宋"/>
          <w:color w:val="231F20"/>
          <w:kern w:val="0"/>
          <w:sz w:val="32"/>
          <w:szCs w:val="32"/>
          <w:lang w:bidi="ar"/>
        </w:rPr>
      </w:pPr>
      <w:r>
        <w:rPr>
          <w:rFonts w:ascii="仿宋" w:hAnsi="仿宋" w:eastAsia="仿宋" w:cs="仿宋"/>
          <w:color w:val="231F20"/>
          <w:kern w:val="0"/>
          <w:sz w:val="32"/>
          <w:szCs w:val="32"/>
          <w:lang w:bidi="ar"/>
        </w:rPr>
        <w:t>根据</w:t>
      </w:r>
      <w:r>
        <w:rPr>
          <w:rFonts w:hint="eastAsia" w:ascii="仿宋" w:hAnsi="仿宋" w:eastAsia="仿宋" w:cs="仿宋"/>
          <w:color w:val="231F20"/>
          <w:kern w:val="0"/>
          <w:sz w:val="32"/>
          <w:szCs w:val="32"/>
          <w:lang w:bidi="ar"/>
        </w:rPr>
        <w:t>农业农村部</w:t>
      </w:r>
      <w:r>
        <w:rPr>
          <w:rFonts w:ascii="仿宋" w:hAnsi="仿宋" w:eastAsia="仿宋" w:cs="仿宋"/>
          <w:color w:val="231F20"/>
          <w:kern w:val="0"/>
          <w:sz w:val="32"/>
          <w:szCs w:val="32"/>
          <w:lang w:bidi="ar"/>
        </w:rPr>
        <w:t>渔业渔政管理局</w:t>
      </w:r>
      <w:r>
        <w:rPr>
          <w:rFonts w:hint="eastAsia" w:ascii="仿宋" w:hAnsi="仿宋" w:eastAsia="仿宋" w:cs="仿宋"/>
          <w:color w:val="231F20"/>
          <w:kern w:val="0"/>
          <w:sz w:val="32"/>
          <w:szCs w:val="32"/>
          <w:lang w:bidi="ar"/>
        </w:rPr>
        <w:t>、全国水产技术推广总站</w:t>
      </w:r>
      <w:r>
        <w:rPr>
          <w:rFonts w:ascii="仿宋" w:hAnsi="仿宋" w:eastAsia="仿宋" w:cs="仿宋"/>
          <w:color w:val="231F20"/>
          <w:kern w:val="0"/>
          <w:sz w:val="32"/>
          <w:szCs w:val="32"/>
          <w:lang w:bidi="ar"/>
        </w:rPr>
        <w:t>的统一安排，为全面总结“十三五”水</w:t>
      </w:r>
      <w:r>
        <w:rPr>
          <w:rFonts w:hint="eastAsia" w:ascii="仿宋" w:hAnsi="仿宋" w:eastAsia="仿宋" w:cs="仿宋"/>
          <w:color w:val="231F20"/>
          <w:kern w:val="0"/>
          <w:sz w:val="32"/>
          <w:szCs w:val="32"/>
          <w:lang w:bidi="ar"/>
        </w:rPr>
        <w:t>产技术推广工作、科学谋划“十四五”工作，我站组织全省各市水产站编写我省“十四五”渔业技术推广战略研究报告。为确保报告编写工作有序开展，现将有关事宜通知如下。</w:t>
      </w:r>
    </w:p>
    <w:p>
      <w:pPr>
        <w:widowControl/>
        <w:ind w:firstLine="640" w:firstLineChars="200"/>
        <w:jc w:val="left"/>
        <w:rPr>
          <w:rFonts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 xml:space="preserve">一、编写内容： </w:t>
      </w:r>
    </w:p>
    <w:p>
      <w:pPr>
        <w:widowControl/>
        <w:ind w:firstLine="640" w:firstLineChars="200"/>
        <w:jc w:val="left"/>
        <w:rPr>
          <w:rFonts w:ascii="仿宋" w:hAnsi="仿宋" w:eastAsia="仿宋" w:cs="仿宋"/>
          <w:color w:val="231F20"/>
          <w:kern w:val="0"/>
          <w:sz w:val="32"/>
          <w:szCs w:val="32"/>
          <w:lang w:bidi="ar"/>
        </w:rPr>
      </w:pPr>
      <w:r>
        <w:rPr>
          <w:rFonts w:ascii="仿宋" w:hAnsi="仿宋" w:eastAsia="仿宋" w:cs="仿宋"/>
          <w:color w:val="231F20"/>
          <w:kern w:val="0"/>
          <w:sz w:val="32"/>
          <w:szCs w:val="32"/>
          <w:lang w:bidi="ar"/>
        </w:rPr>
        <w:t>1</w:t>
      </w:r>
      <w:r>
        <w:rPr>
          <w:rFonts w:hint="eastAsia" w:ascii="仿宋" w:hAnsi="仿宋" w:eastAsia="仿宋" w:cs="仿宋"/>
          <w:color w:val="231F20"/>
          <w:kern w:val="0"/>
          <w:sz w:val="32"/>
          <w:szCs w:val="32"/>
          <w:lang w:bidi="ar"/>
        </w:rPr>
        <w:t xml:space="preserve">．总结“十三五”工作。请各市对“十三五”期间水产技术推广工作进行全面总结，包括基层水产技术推广体系建设、公益性职能落实、公共服务能力提升等重点目标、任务完成情况和取得的成效等内容，并对存在的问题进行分析。 </w:t>
      </w:r>
    </w:p>
    <w:p>
      <w:pPr>
        <w:widowControl/>
        <w:ind w:firstLine="640" w:firstLineChars="200"/>
        <w:jc w:val="left"/>
        <w:rPr>
          <w:rFonts w:ascii="仿宋" w:hAnsi="仿宋" w:eastAsia="仿宋" w:cs="仿宋"/>
          <w:color w:val="231F20"/>
          <w:kern w:val="0"/>
          <w:sz w:val="32"/>
          <w:szCs w:val="32"/>
          <w:lang w:bidi="ar"/>
        </w:rPr>
      </w:pPr>
      <w:r>
        <w:rPr>
          <w:rFonts w:ascii="仿宋" w:hAnsi="仿宋" w:eastAsia="仿宋" w:cs="仿宋"/>
          <w:color w:val="231F20"/>
          <w:kern w:val="0"/>
          <w:sz w:val="32"/>
          <w:szCs w:val="32"/>
          <w:lang w:bidi="ar"/>
        </w:rPr>
        <w:t>2</w:t>
      </w:r>
      <w:r>
        <w:rPr>
          <w:rFonts w:hint="eastAsia" w:ascii="仿宋" w:hAnsi="仿宋" w:eastAsia="仿宋" w:cs="仿宋"/>
          <w:color w:val="231F20"/>
          <w:kern w:val="0"/>
          <w:sz w:val="32"/>
          <w:szCs w:val="32"/>
          <w:lang w:bidi="ar"/>
        </w:rPr>
        <w:t xml:space="preserve">．谋划“十四五”发展。请各地围绕新时代实施乡村振兴战略对水产技术推广工作提出的新要求，紧密结合水产技术推广工作的职能定位和本地实际，以贯彻落实《关于乡村振兴战略下加强水产技术推广工作的指导意见》为主线，以实现渔业绿色高质量发展为目标，以水产技术推广体系建设、现代水产技术模式创新与试验示范、水产新品种推广应用、疫病监测防控、水产品质量安全和检测、新型职业渔民培训、信息服务、渔业资源养护与生态环境保护、休闲渔业服务、产业融合发展、渔业新技术新装备试验示范等为重点领域，科学谋划“十四五”水产技术推广工作，研究提出本地“十四五”水产技术推广工作思路、目标、重点任务、重点工程、保障措施等。 </w:t>
      </w:r>
    </w:p>
    <w:p>
      <w:pPr>
        <w:widowControl/>
        <w:ind w:firstLine="640" w:firstLineChars="200"/>
        <w:jc w:val="left"/>
        <w:rPr>
          <w:rFonts w:ascii="仿宋" w:hAnsi="仿宋" w:eastAsia="仿宋" w:cs="仿宋"/>
          <w:color w:val="231F20"/>
          <w:kern w:val="0"/>
          <w:sz w:val="32"/>
          <w:szCs w:val="32"/>
          <w:lang w:bidi="ar"/>
        </w:rPr>
      </w:pPr>
      <w:r>
        <w:rPr>
          <w:rFonts w:ascii="仿宋" w:hAnsi="仿宋" w:eastAsia="仿宋" w:cs="仿宋"/>
          <w:color w:val="231F20"/>
          <w:kern w:val="0"/>
          <w:sz w:val="32"/>
          <w:szCs w:val="32"/>
          <w:lang w:bidi="ar"/>
        </w:rPr>
        <w:t>3</w:t>
      </w:r>
      <w:r>
        <w:rPr>
          <w:rFonts w:hint="eastAsia" w:ascii="仿宋" w:hAnsi="仿宋" w:eastAsia="仿宋" w:cs="仿宋"/>
          <w:color w:val="231F20"/>
          <w:kern w:val="0"/>
          <w:sz w:val="32"/>
          <w:szCs w:val="32"/>
          <w:lang w:bidi="ar"/>
        </w:rPr>
        <w:t xml:space="preserve">．提出水产技术推广重大项目建议。请各地按照推进渔业绿色高质量发展要求，以提升水产技术推广体系服务能力和支撑现代渔业产业发展为目的，结合本地实际，研究提出适合在本市范围内实施的水产重大项目建议。 </w:t>
      </w:r>
    </w:p>
    <w:p>
      <w:pPr>
        <w:widowControl/>
        <w:ind w:firstLine="640" w:firstLineChars="200"/>
        <w:jc w:val="left"/>
        <w:rPr>
          <w:rFonts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编写提纲与格式要求详见附件</w:t>
      </w:r>
      <w:r>
        <w:rPr>
          <w:rFonts w:ascii="仿宋" w:hAnsi="仿宋" w:eastAsia="仿宋" w:cs="仿宋"/>
          <w:color w:val="231F20"/>
          <w:kern w:val="0"/>
          <w:sz w:val="32"/>
          <w:szCs w:val="32"/>
          <w:lang w:bidi="ar"/>
        </w:rPr>
        <w:t>1</w:t>
      </w:r>
      <w:r>
        <w:rPr>
          <w:rFonts w:hint="eastAsia" w:ascii="仿宋" w:hAnsi="仿宋" w:eastAsia="仿宋" w:cs="仿宋"/>
          <w:color w:val="231F20"/>
          <w:kern w:val="0"/>
          <w:sz w:val="32"/>
          <w:szCs w:val="32"/>
          <w:lang w:bidi="ar"/>
        </w:rPr>
        <w:t>。</w:t>
      </w:r>
    </w:p>
    <w:p>
      <w:pPr>
        <w:widowControl/>
        <w:ind w:firstLine="640" w:firstLineChars="200"/>
        <w:jc w:val="left"/>
        <w:rPr>
          <w:rFonts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二</w:t>
      </w:r>
      <w:r>
        <w:rPr>
          <w:rFonts w:ascii="仿宋" w:hAnsi="仿宋" w:eastAsia="仿宋" w:cs="仿宋"/>
          <w:color w:val="231F20"/>
          <w:kern w:val="0"/>
          <w:sz w:val="32"/>
          <w:szCs w:val="32"/>
          <w:lang w:bidi="ar"/>
        </w:rPr>
        <w:t xml:space="preserve">、工作要求 </w:t>
      </w:r>
    </w:p>
    <w:p>
      <w:pPr>
        <w:widowControl/>
        <w:ind w:firstLine="640" w:firstLineChars="200"/>
        <w:jc w:val="left"/>
        <w:rPr>
          <w:rFonts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请各市水产站高度重视“十四五”渔业技术推广战略研究报告编写，组织人员及早启动报告编写工作，并按照进度安排和编写要求，</w:t>
      </w:r>
      <w:r>
        <w:rPr>
          <w:rFonts w:hint="eastAsia" w:ascii="仿宋" w:hAnsi="仿宋" w:eastAsia="仿宋" w:cs="仿宋"/>
          <w:kern w:val="0"/>
          <w:sz w:val="32"/>
          <w:szCs w:val="32"/>
          <w:lang w:bidi="ar"/>
        </w:rPr>
        <w:t>于</w:t>
      </w:r>
      <w:r>
        <w:rPr>
          <w:rFonts w:ascii="仿宋" w:hAnsi="仿宋" w:eastAsia="仿宋" w:cs="仿宋"/>
          <w:kern w:val="0"/>
          <w:sz w:val="32"/>
          <w:szCs w:val="32"/>
          <w:lang w:bidi="ar"/>
        </w:rPr>
        <w:t>2020</w:t>
      </w:r>
      <w:r>
        <w:rPr>
          <w:rFonts w:hint="eastAsia" w:ascii="仿宋" w:hAnsi="仿宋" w:eastAsia="仿宋" w:cs="仿宋"/>
          <w:kern w:val="0"/>
          <w:sz w:val="32"/>
          <w:szCs w:val="32"/>
          <w:lang w:bidi="ar"/>
        </w:rPr>
        <w:t>年1月18日前将各市报告初稿电子版报省水产总站办公室，2月10日</w:t>
      </w:r>
      <w:r>
        <w:rPr>
          <w:rFonts w:hint="eastAsia" w:ascii="仿宋" w:hAnsi="仿宋" w:eastAsia="仿宋" w:cs="仿宋"/>
          <w:color w:val="231F20"/>
          <w:kern w:val="0"/>
          <w:sz w:val="32"/>
          <w:szCs w:val="32"/>
          <w:lang w:bidi="ar"/>
        </w:rPr>
        <w:t xml:space="preserve">前正式报送（含纸质版和电子版）。 </w:t>
      </w:r>
    </w:p>
    <w:p>
      <w:pPr>
        <w:widowControl/>
        <w:ind w:firstLine="640" w:firstLineChars="200"/>
        <w:jc w:val="left"/>
        <w:rPr>
          <w:rFonts w:hint="eastAsia"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联系人：卞秋云 江波</w:t>
      </w:r>
    </w:p>
    <w:p>
      <w:pPr>
        <w:widowControl/>
        <w:ind w:firstLine="640" w:firstLineChars="200"/>
        <w:jc w:val="left"/>
        <w:rPr>
          <w:rFonts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电话：</w:t>
      </w:r>
      <w:r>
        <w:rPr>
          <w:rFonts w:ascii="仿宋" w:hAnsi="仿宋" w:eastAsia="仿宋" w:cs="仿宋"/>
          <w:color w:val="231F20"/>
          <w:kern w:val="0"/>
          <w:sz w:val="32"/>
          <w:szCs w:val="32"/>
          <w:lang w:bidi="ar"/>
        </w:rPr>
        <w:t>0</w:t>
      </w:r>
      <w:r>
        <w:rPr>
          <w:rFonts w:hint="eastAsia" w:ascii="仿宋" w:hAnsi="仿宋" w:eastAsia="仿宋" w:cs="仿宋"/>
          <w:color w:val="231F20"/>
          <w:kern w:val="0"/>
          <w:sz w:val="32"/>
          <w:szCs w:val="32"/>
          <w:lang w:bidi="ar"/>
        </w:rPr>
        <w:t xml:space="preserve">913-2051204。 </w:t>
      </w:r>
    </w:p>
    <w:p>
      <w:pPr>
        <w:widowControl/>
        <w:ind w:firstLine="640" w:firstLineChars="200"/>
        <w:jc w:val="left"/>
        <w:rPr>
          <w:rFonts w:hint="eastAsia" w:ascii="仿宋" w:hAnsi="仿宋" w:eastAsia="仿宋" w:cs="仿宋"/>
          <w:color w:val="231F20"/>
          <w:kern w:val="0"/>
          <w:sz w:val="32"/>
          <w:szCs w:val="32"/>
          <w:lang w:bidi="ar"/>
        </w:rPr>
      </w:pPr>
      <w:r>
        <w:rPr>
          <w:rFonts w:hint="eastAsia" w:ascii="仿宋" w:hAnsi="仿宋" w:eastAsia="仿宋" w:cs="仿宋"/>
          <w:color w:val="231F20"/>
          <w:kern w:val="0"/>
          <w:sz w:val="32"/>
          <w:szCs w:val="32"/>
          <w:lang w:bidi="ar"/>
        </w:rPr>
        <w:t>邮箱</w:t>
      </w:r>
      <w:r>
        <w:rPr>
          <w:rFonts w:ascii="仿宋" w:hAnsi="仿宋" w:eastAsia="仿宋" w:cs="仿宋"/>
          <w:color w:val="231F20"/>
          <w:kern w:val="0"/>
          <w:sz w:val="32"/>
          <w:szCs w:val="32"/>
          <w:lang w:bidi="ar"/>
        </w:rPr>
        <w:t>:</w:t>
      </w:r>
      <w:r>
        <w:rPr>
          <w:rFonts w:hint="eastAsia" w:ascii="仿宋" w:hAnsi="仿宋" w:eastAsia="仿宋" w:cs="仿宋"/>
          <w:color w:val="231F20"/>
          <w:kern w:val="0"/>
          <w:sz w:val="32"/>
          <w:szCs w:val="32"/>
          <w:lang w:bidi="ar"/>
        </w:rPr>
        <w:t xml:space="preserve">58251970@qq.com。 </w:t>
      </w:r>
    </w:p>
    <w:p>
      <w:pPr>
        <w:ind w:firstLine="641" w:firstLineChars="304"/>
        <w:jc w:val="left"/>
        <w:rPr>
          <w:rFonts w:hint="eastAsia"/>
          <w:b/>
          <w:bCs/>
        </w:rPr>
      </w:pPr>
    </w:p>
    <w:p>
      <w:pPr>
        <w:ind w:firstLine="641" w:firstLineChars="304"/>
        <w:jc w:val="left"/>
        <w:rPr>
          <w:rFonts w:hint="eastAsia"/>
          <w:b/>
          <w:bCs/>
        </w:rPr>
      </w:pPr>
    </w:p>
    <w:p>
      <w:pPr>
        <w:jc w:val="left"/>
        <w:rPr>
          <w:rFonts w:hint="eastAsia"/>
          <w:b/>
          <w:bCs/>
          <w:sz w:val="36"/>
          <w:szCs w:val="36"/>
        </w:rPr>
      </w:pPr>
      <w:r>
        <w:rPr>
          <w:rFonts w:hint="eastAsia"/>
          <w:b/>
          <w:bCs/>
          <w:sz w:val="36"/>
          <w:szCs w:val="36"/>
        </w:rPr>
        <w:t>附件1、编写提纲</w:t>
      </w:r>
    </w:p>
    <w:p>
      <w:pPr>
        <w:ind w:firstLine="916" w:firstLineChars="304"/>
        <w:jc w:val="left"/>
        <w:rPr>
          <w:rFonts w:hint="eastAsia"/>
          <w:b/>
          <w:bCs/>
          <w:sz w:val="30"/>
          <w:szCs w:val="30"/>
        </w:rPr>
      </w:pPr>
    </w:p>
    <w:p>
      <w:pPr>
        <w:ind w:firstLine="916" w:firstLineChars="304"/>
        <w:jc w:val="left"/>
        <w:rPr>
          <w:rFonts w:hint="eastAsia"/>
          <w:b/>
          <w:bCs/>
          <w:sz w:val="30"/>
          <w:szCs w:val="30"/>
        </w:rPr>
      </w:pPr>
      <w:r>
        <w:rPr>
          <w:rFonts w:hint="eastAsia"/>
          <w:b/>
          <w:bCs/>
          <w:sz w:val="30"/>
          <w:szCs w:val="30"/>
        </w:rPr>
        <w:t>一、“十三五”工作成效及存在问题</w:t>
      </w:r>
    </w:p>
    <w:p>
      <w:pPr>
        <w:ind w:firstLine="912" w:firstLineChars="304"/>
        <w:jc w:val="left"/>
        <w:rPr>
          <w:rFonts w:hint="eastAsia"/>
          <w:sz w:val="30"/>
          <w:szCs w:val="30"/>
        </w:rPr>
      </w:pPr>
      <w:r>
        <w:rPr>
          <w:rFonts w:hint="eastAsia"/>
          <w:sz w:val="30"/>
          <w:szCs w:val="30"/>
        </w:rPr>
        <w:t>（一）取得的成效（围绕体系建设、公益职能和“十三五”水产技术推广规划重点任务落实等）</w:t>
      </w:r>
    </w:p>
    <w:p>
      <w:pPr>
        <w:ind w:firstLine="639" w:firstLineChars="213"/>
        <w:jc w:val="left"/>
        <w:rPr>
          <w:rFonts w:hint="eastAsia"/>
          <w:sz w:val="30"/>
          <w:szCs w:val="30"/>
        </w:rPr>
      </w:pPr>
      <w:r>
        <w:rPr>
          <w:rFonts w:hint="eastAsia"/>
          <w:sz w:val="30"/>
          <w:szCs w:val="30"/>
        </w:rPr>
        <w:t xml:space="preserve"> 1.水产技术推广体系建设</w:t>
      </w:r>
    </w:p>
    <w:p>
      <w:pPr>
        <w:ind w:firstLine="639" w:firstLineChars="213"/>
        <w:jc w:val="left"/>
        <w:rPr>
          <w:rFonts w:hint="eastAsia"/>
          <w:sz w:val="30"/>
          <w:szCs w:val="30"/>
        </w:rPr>
      </w:pPr>
      <w:r>
        <w:rPr>
          <w:rFonts w:hint="eastAsia"/>
          <w:sz w:val="30"/>
          <w:szCs w:val="30"/>
        </w:rPr>
        <w:t>2.新型渔业人才培养与培训</w:t>
      </w:r>
    </w:p>
    <w:p>
      <w:pPr>
        <w:ind w:firstLine="639" w:firstLineChars="213"/>
        <w:jc w:val="left"/>
        <w:rPr>
          <w:rFonts w:hint="eastAsia"/>
          <w:sz w:val="30"/>
          <w:szCs w:val="30"/>
        </w:rPr>
      </w:pPr>
      <w:r>
        <w:rPr>
          <w:rFonts w:hint="eastAsia"/>
          <w:sz w:val="30"/>
          <w:szCs w:val="30"/>
        </w:rPr>
        <w:t>3.水产健康养殖技术模式集成与推广</w:t>
      </w:r>
    </w:p>
    <w:p>
      <w:pPr>
        <w:ind w:firstLine="639" w:firstLineChars="213"/>
        <w:jc w:val="left"/>
        <w:rPr>
          <w:rFonts w:hint="eastAsia"/>
          <w:sz w:val="30"/>
          <w:szCs w:val="30"/>
        </w:rPr>
      </w:pPr>
      <w:r>
        <w:rPr>
          <w:rFonts w:hint="eastAsia"/>
          <w:sz w:val="30"/>
          <w:szCs w:val="30"/>
        </w:rPr>
        <w:t>4.水产养殖疫病防控</w:t>
      </w:r>
    </w:p>
    <w:p>
      <w:pPr>
        <w:ind w:firstLine="639" w:firstLineChars="213"/>
        <w:jc w:val="left"/>
        <w:rPr>
          <w:rFonts w:hint="eastAsia"/>
          <w:sz w:val="30"/>
          <w:szCs w:val="30"/>
        </w:rPr>
      </w:pPr>
      <w:r>
        <w:rPr>
          <w:rFonts w:hint="eastAsia"/>
          <w:sz w:val="30"/>
          <w:szCs w:val="30"/>
        </w:rPr>
        <w:t>5.水产养殖规范用药与水产品质量安全监控</w:t>
      </w:r>
    </w:p>
    <w:p>
      <w:pPr>
        <w:ind w:firstLine="639" w:firstLineChars="213"/>
        <w:jc w:val="left"/>
        <w:rPr>
          <w:rFonts w:hint="eastAsia"/>
          <w:sz w:val="30"/>
          <w:szCs w:val="30"/>
        </w:rPr>
      </w:pPr>
      <w:r>
        <w:rPr>
          <w:rFonts w:hint="eastAsia"/>
          <w:sz w:val="30"/>
          <w:szCs w:val="30"/>
        </w:rPr>
        <w:t>6.水产新品种推广与水产种业体系建设</w:t>
      </w:r>
    </w:p>
    <w:p>
      <w:pPr>
        <w:ind w:firstLine="639" w:firstLineChars="213"/>
        <w:jc w:val="left"/>
        <w:rPr>
          <w:rFonts w:hint="eastAsia"/>
          <w:sz w:val="30"/>
          <w:szCs w:val="30"/>
        </w:rPr>
      </w:pPr>
      <w:r>
        <w:rPr>
          <w:rFonts w:hint="eastAsia"/>
          <w:sz w:val="30"/>
          <w:szCs w:val="30"/>
        </w:rPr>
        <w:t>7.水生生物资源养护与水域生态环境保护</w:t>
      </w:r>
    </w:p>
    <w:p>
      <w:pPr>
        <w:ind w:firstLine="639" w:firstLineChars="213"/>
        <w:jc w:val="left"/>
        <w:rPr>
          <w:rFonts w:hint="eastAsia"/>
          <w:sz w:val="30"/>
          <w:szCs w:val="30"/>
        </w:rPr>
      </w:pPr>
      <w:r>
        <w:rPr>
          <w:rFonts w:hint="eastAsia"/>
          <w:sz w:val="30"/>
          <w:szCs w:val="30"/>
        </w:rPr>
        <w:t>8.休闲渔业与产业融合服务</w:t>
      </w:r>
    </w:p>
    <w:p>
      <w:pPr>
        <w:ind w:firstLine="639" w:firstLineChars="213"/>
        <w:jc w:val="left"/>
        <w:rPr>
          <w:rFonts w:hint="eastAsia"/>
          <w:sz w:val="30"/>
          <w:szCs w:val="30"/>
        </w:rPr>
      </w:pPr>
      <w:r>
        <w:rPr>
          <w:rFonts w:hint="eastAsia"/>
          <w:sz w:val="30"/>
          <w:szCs w:val="30"/>
        </w:rPr>
        <w:t>9.渔业公共信息服务</w:t>
      </w:r>
    </w:p>
    <w:p>
      <w:pPr>
        <w:ind w:firstLine="639" w:firstLineChars="213"/>
        <w:jc w:val="left"/>
        <w:rPr>
          <w:rFonts w:hint="eastAsia"/>
          <w:sz w:val="30"/>
          <w:szCs w:val="30"/>
        </w:rPr>
      </w:pPr>
      <w:r>
        <w:rPr>
          <w:rFonts w:hint="eastAsia"/>
          <w:sz w:val="30"/>
          <w:szCs w:val="30"/>
        </w:rPr>
        <w:t>10.渔业技术示范基地建设</w:t>
      </w:r>
    </w:p>
    <w:p>
      <w:pPr>
        <w:ind w:firstLine="912" w:firstLineChars="304"/>
        <w:jc w:val="left"/>
        <w:rPr>
          <w:rFonts w:hint="eastAsia"/>
          <w:sz w:val="30"/>
          <w:szCs w:val="30"/>
        </w:rPr>
      </w:pPr>
      <w:r>
        <w:rPr>
          <w:rFonts w:hint="eastAsia"/>
          <w:sz w:val="30"/>
          <w:szCs w:val="30"/>
        </w:rPr>
        <w:t>（二）存在的问题</w:t>
      </w:r>
    </w:p>
    <w:p>
      <w:pPr>
        <w:ind w:firstLine="916" w:firstLineChars="304"/>
        <w:jc w:val="left"/>
        <w:rPr>
          <w:rFonts w:hint="eastAsia"/>
          <w:b/>
          <w:bCs/>
          <w:sz w:val="30"/>
          <w:szCs w:val="30"/>
        </w:rPr>
      </w:pPr>
      <w:r>
        <w:rPr>
          <w:rFonts w:hint="eastAsia"/>
          <w:b/>
          <w:bCs/>
          <w:sz w:val="30"/>
          <w:szCs w:val="30"/>
        </w:rPr>
        <w:t>二、“十四五”面临的形势</w:t>
      </w:r>
    </w:p>
    <w:p>
      <w:pPr>
        <w:ind w:firstLine="912" w:firstLineChars="304"/>
        <w:jc w:val="left"/>
        <w:rPr>
          <w:rFonts w:hint="eastAsia"/>
          <w:sz w:val="30"/>
          <w:szCs w:val="30"/>
        </w:rPr>
      </w:pPr>
      <w:r>
        <w:rPr>
          <w:rFonts w:hint="eastAsia"/>
          <w:sz w:val="30"/>
          <w:szCs w:val="30"/>
        </w:rPr>
        <w:t>（一）有利条件</w:t>
      </w:r>
    </w:p>
    <w:p>
      <w:pPr>
        <w:ind w:firstLine="912" w:firstLineChars="304"/>
        <w:jc w:val="left"/>
        <w:rPr>
          <w:rFonts w:hint="eastAsia"/>
          <w:sz w:val="30"/>
          <w:szCs w:val="30"/>
        </w:rPr>
      </w:pPr>
      <w:r>
        <w:rPr>
          <w:rFonts w:hint="eastAsia"/>
          <w:sz w:val="30"/>
          <w:szCs w:val="30"/>
        </w:rPr>
        <w:t>（二）不利因素</w:t>
      </w:r>
    </w:p>
    <w:p>
      <w:pPr>
        <w:ind w:firstLine="916" w:firstLineChars="304"/>
        <w:jc w:val="left"/>
        <w:rPr>
          <w:rFonts w:hint="eastAsia"/>
          <w:b/>
          <w:bCs/>
          <w:sz w:val="30"/>
          <w:szCs w:val="30"/>
        </w:rPr>
      </w:pPr>
      <w:r>
        <w:rPr>
          <w:rFonts w:hint="eastAsia"/>
          <w:b/>
          <w:bCs/>
          <w:sz w:val="30"/>
          <w:szCs w:val="30"/>
        </w:rPr>
        <w:t>三、“十四五”期间水产技术推广重点任务</w:t>
      </w:r>
    </w:p>
    <w:p>
      <w:pPr>
        <w:ind w:firstLine="916" w:firstLineChars="304"/>
        <w:jc w:val="left"/>
        <w:rPr>
          <w:rFonts w:hint="eastAsia"/>
          <w:b/>
          <w:bCs/>
          <w:sz w:val="30"/>
          <w:szCs w:val="30"/>
        </w:rPr>
      </w:pPr>
      <w:r>
        <w:rPr>
          <w:rFonts w:hint="eastAsia"/>
          <w:b/>
          <w:bCs/>
          <w:sz w:val="30"/>
          <w:szCs w:val="30"/>
        </w:rPr>
        <w:t>四、“十四五”期间计划实施的重大项目和工程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91847"/>
    <w:rsid w:val="7639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2019-12-30T06:49:00Z</dcterms:created>
  <dc:creator>mr.j</dc:creator>
  <cp:lastModifiedBy>mr.j</cp:lastModifiedBy>
  <dcterms:modified xsi:type="dcterms:W3CDTF">2019-12-30T06:49:49Z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