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numPr>
          <w:ilvl w:val="0"/>
          <w:numId w:val="0"/>
        </w:numPr>
        <w:autoSpaceDE/>
        <w:autoSpaceDN/>
        <w:bidi w:val="0"/>
        <w:snapToGrid/>
        <w:spacing w:before="0" w:after="0" w:line="360" w:lineRule="auto"/>
        <w:ind w:right="0" w:firstLine="0"/>
        <w:jc w:val="center"/>
        <w:rPr>
          <w:rFonts w:hint="default" w:ascii="宋体" w:hAnsi="宋体" w:eastAsia="宋体"/>
          <w:b/>
          <w:color w:val="auto"/>
          <w:position w:val="0"/>
          <w:sz w:val="44"/>
          <w:szCs w:val="44"/>
        </w:rPr>
      </w:pPr>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b/>
          <w:color w:val="auto"/>
          <w:position w:val="0"/>
          <w:sz w:val="44"/>
          <w:szCs w:val="44"/>
        </w:rPr>
      </w:pPr>
    </w:p>
    <w:p>
      <w:pPr>
        <w:pageBreakBefore w:val="0"/>
        <w:numPr>
          <w:ilvl w:val="0"/>
          <w:numId w:val="0"/>
        </w:numPr>
        <w:pBdr>
          <w:top w:val="none" w:color="auto" w:sz="0" w:space="0"/>
          <w:left w:val="none" w:color="auto" w:sz="0" w:space="0"/>
          <w:bottom w:val="none" w:color="auto" w:sz="0" w:space="0"/>
          <w:right w:val="none" w:color="auto" w:sz="0" w:space="0"/>
          <w:between w:val="none" w:color="auto" w:sz="0" w:space="0"/>
        </w:pBdr>
        <w:autoSpaceDE/>
        <w:autoSpaceDN/>
        <w:bidi w:val="0"/>
        <w:snapToGrid/>
        <w:spacing w:before="0" w:after="0" w:line="360" w:lineRule="auto"/>
        <w:ind w:right="0" w:firstLine="0"/>
        <w:jc w:val="center"/>
        <w:rPr>
          <w:rFonts w:hint="default" w:ascii="宋体" w:hAnsi="宋体" w:eastAsia="宋体"/>
          <w:b/>
          <w:color w:val="auto"/>
          <w:position w:val="0"/>
          <w:sz w:val="44"/>
          <w:szCs w:val="44"/>
        </w:rPr>
      </w:pPr>
      <w:r>
        <w:rPr>
          <w:rFonts w:hint="eastAsia" w:ascii="宋体" w:hAnsi="宋体" w:eastAsia="宋体"/>
          <w:b/>
          <w:color w:val="auto"/>
          <w:position w:val="0"/>
          <w:sz w:val="44"/>
          <w:szCs w:val="44"/>
          <w:lang w:val="en-US" w:eastAsia="zh-CN"/>
        </w:rPr>
        <w:t>鄄城龙欣宝典发制品有限公司</w:t>
      </w:r>
    </w:p>
    <w:p>
      <w:pPr>
        <w:pageBreakBefore w:val="0"/>
        <w:numPr>
          <w:ilvl w:val="0"/>
          <w:numId w:val="0"/>
        </w:numPr>
        <w:autoSpaceDE/>
        <w:autoSpaceDN/>
        <w:bidi w:val="0"/>
        <w:snapToGrid/>
        <w:spacing w:before="0" w:after="0" w:line="360" w:lineRule="auto"/>
        <w:ind w:right="0" w:firstLine="0"/>
        <w:jc w:val="center"/>
        <w:rPr>
          <w:rFonts w:hint="eastAsia" w:ascii="宋体" w:hAnsi="宋体" w:eastAsia="宋体"/>
          <w:b/>
          <w:color w:val="auto"/>
          <w:position w:val="0"/>
          <w:sz w:val="44"/>
          <w:szCs w:val="44"/>
          <w:lang w:eastAsia="zh-CN"/>
        </w:rPr>
      </w:pPr>
      <w:r>
        <w:rPr>
          <w:rFonts w:hint="eastAsia" w:ascii="宋体" w:hAnsi="宋体" w:eastAsia="宋体"/>
          <w:b/>
          <w:color w:val="auto"/>
          <w:position w:val="0"/>
          <w:sz w:val="44"/>
          <w:szCs w:val="44"/>
          <w:lang w:val="en-US" w:eastAsia="zh-CN"/>
        </w:rPr>
        <w:t>年产800万件人发制品项目 （二期）</w:t>
      </w:r>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color w:val="auto"/>
          <w:position w:val="0"/>
          <w:sz w:val="44"/>
          <w:szCs w:val="44"/>
        </w:rPr>
      </w:pPr>
      <w:r>
        <w:rPr>
          <w:rFonts w:hint="default" w:ascii="宋体" w:hAnsi="宋体" w:eastAsia="宋体"/>
          <w:b/>
          <w:color w:val="auto"/>
          <w:position w:val="0"/>
          <w:sz w:val="44"/>
          <w:szCs w:val="44"/>
        </w:rPr>
        <w:t>竣工环境保护验收监测报告</w:t>
      </w:r>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color w:val="auto"/>
          <w:position w:val="0"/>
          <w:sz w:val="44"/>
          <w:szCs w:val="44"/>
        </w:rPr>
      </w:pPr>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color w:val="auto"/>
          <w:position w:val="0"/>
          <w:sz w:val="44"/>
          <w:szCs w:val="44"/>
        </w:rPr>
      </w:pPr>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color w:val="auto"/>
          <w:position w:val="0"/>
          <w:sz w:val="44"/>
          <w:szCs w:val="44"/>
        </w:rPr>
      </w:pPr>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5"/>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5"/>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5"/>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5"/>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5"/>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5"/>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5"/>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Style w:val="25"/>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eastAsia" w:ascii="宋体" w:hAnsi="宋体" w:eastAsia="宋体"/>
          <w:b/>
          <w:color w:val="auto"/>
          <w:position w:val="0"/>
          <w:sz w:val="30"/>
          <w:szCs w:val="30"/>
          <w:lang w:eastAsia="zh-CN"/>
        </w:rPr>
      </w:pPr>
      <w:r>
        <w:rPr>
          <w:rFonts w:hint="default" w:ascii="宋体" w:hAnsi="宋体" w:eastAsia="宋体"/>
          <w:b/>
          <w:color w:val="auto"/>
          <w:position w:val="0"/>
          <w:sz w:val="30"/>
          <w:szCs w:val="30"/>
        </w:rPr>
        <w:t>建设单位:</w:t>
      </w:r>
      <w:r>
        <w:rPr>
          <w:rFonts w:hint="eastAsia" w:ascii="宋体" w:hAnsi="宋体" w:eastAsia="宋体"/>
          <w:b/>
          <w:color w:val="auto"/>
          <w:position w:val="0"/>
          <w:sz w:val="30"/>
          <w:szCs w:val="30"/>
          <w:lang w:val="en-US" w:eastAsia="zh-CN"/>
        </w:rPr>
        <w:t>鄄城龙欣宝典发制品有限公司</w:t>
      </w:r>
    </w:p>
    <w:p>
      <w:pPr>
        <w:pageBreakBefore w:val="0"/>
        <w:numPr>
          <w:ilvl w:val="0"/>
          <w:numId w:val="0"/>
        </w:numPr>
        <w:autoSpaceDE/>
        <w:autoSpaceDN/>
        <w:bidi w:val="0"/>
        <w:snapToGrid/>
        <w:spacing w:before="0" w:after="0" w:line="360" w:lineRule="auto"/>
        <w:ind w:right="0" w:firstLine="0"/>
        <w:jc w:val="center"/>
        <w:rPr>
          <w:rFonts w:hint="eastAsia" w:ascii="宋体" w:hAnsi="宋体" w:eastAsia="宋体"/>
          <w:b/>
          <w:color w:val="auto"/>
          <w:position w:val="0"/>
          <w:sz w:val="30"/>
          <w:szCs w:val="30"/>
          <w:lang w:eastAsia="zh-CN"/>
        </w:rPr>
      </w:pPr>
      <w:r>
        <w:rPr>
          <w:rFonts w:hint="default" w:ascii="宋体" w:hAnsi="宋体" w:eastAsia="宋体"/>
          <w:b/>
          <w:color w:val="auto"/>
          <w:position w:val="0"/>
          <w:sz w:val="30"/>
          <w:szCs w:val="30"/>
        </w:rPr>
        <w:t>编制单位:</w:t>
      </w:r>
      <w:r>
        <w:rPr>
          <w:rFonts w:hint="eastAsia" w:ascii="宋体" w:hAnsi="宋体" w:eastAsia="宋体"/>
          <w:b/>
          <w:color w:val="auto"/>
          <w:position w:val="0"/>
          <w:sz w:val="30"/>
          <w:szCs w:val="30"/>
          <w:lang w:val="en-US" w:eastAsia="zh-CN"/>
        </w:rPr>
        <w:t>鄄城龙欣宝典发制品有限公司</w:t>
      </w:r>
    </w:p>
    <w:p>
      <w:pPr>
        <w:pageBreakBefore w:val="0"/>
        <w:numPr>
          <w:ilvl w:val="0"/>
          <w:numId w:val="0"/>
        </w:numPr>
        <w:autoSpaceDE/>
        <w:autoSpaceDN/>
        <w:bidi w:val="0"/>
        <w:snapToGrid/>
        <w:spacing w:before="0" w:after="0" w:line="360" w:lineRule="auto"/>
        <w:ind w:right="0" w:firstLine="0"/>
        <w:jc w:val="center"/>
        <w:rPr>
          <w:rFonts w:hint="default" w:ascii="宋体" w:hAnsi="宋体" w:eastAsia="宋体"/>
          <w:b/>
          <w:color w:val="auto"/>
          <w:position w:val="0"/>
          <w:sz w:val="44"/>
          <w:szCs w:val="44"/>
        </w:rPr>
      </w:pPr>
      <w:r>
        <w:rPr>
          <w:rFonts w:hint="default" w:ascii="宋体" w:hAnsi="宋体" w:eastAsia="宋体"/>
          <w:b/>
          <w:color w:val="auto"/>
          <w:position w:val="0"/>
          <w:sz w:val="30"/>
          <w:szCs w:val="30"/>
        </w:rPr>
        <w:t>二O</w:t>
      </w:r>
      <w:r>
        <w:rPr>
          <w:rFonts w:hint="eastAsia" w:ascii="宋体" w:hAnsi="宋体" w:eastAsia="宋体"/>
          <w:b/>
          <w:color w:val="auto"/>
          <w:position w:val="0"/>
          <w:sz w:val="30"/>
          <w:szCs w:val="30"/>
          <w:lang w:val="en-US" w:eastAsia="zh-CN"/>
        </w:rPr>
        <w:t>二一</w:t>
      </w:r>
      <w:r>
        <w:rPr>
          <w:rFonts w:hint="default" w:ascii="宋体" w:hAnsi="宋体" w:eastAsia="宋体"/>
          <w:b/>
          <w:color w:val="auto"/>
          <w:position w:val="0"/>
          <w:sz w:val="30"/>
          <w:szCs w:val="30"/>
        </w:rPr>
        <w:t>年</w:t>
      </w:r>
      <w:r>
        <w:rPr>
          <w:rFonts w:hint="eastAsia" w:ascii="宋体" w:hAnsi="宋体" w:eastAsia="宋体"/>
          <w:b/>
          <w:color w:val="auto"/>
          <w:position w:val="0"/>
          <w:sz w:val="30"/>
          <w:szCs w:val="30"/>
          <w:lang w:val="en-US" w:eastAsia="zh-CN"/>
        </w:rPr>
        <w:t>八</w:t>
      </w:r>
      <w:r>
        <w:rPr>
          <w:rFonts w:hint="default" w:ascii="宋体" w:hAnsi="宋体" w:eastAsia="宋体"/>
          <w:b/>
          <w:color w:val="auto"/>
          <w:position w:val="0"/>
          <w:sz w:val="30"/>
          <w:szCs w:val="30"/>
        </w:rPr>
        <w:t>月</w:t>
      </w:r>
    </w:p>
    <w:p>
      <w:pPr>
        <w:pageBreakBefore w:val="0"/>
        <w:numPr>
          <w:ilvl w:val="0"/>
          <w:numId w:val="0"/>
        </w:numPr>
        <w:autoSpaceDE/>
        <w:autoSpaceDN/>
        <w:bidi w:val="0"/>
        <w:snapToGrid/>
        <w:spacing w:before="0" w:after="0" w:line="360" w:lineRule="auto"/>
        <w:ind w:right="0" w:firstLine="0"/>
        <w:jc w:val="center"/>
        <w:outlineLvl w:val="0"/>
        <w:rPr>
          <w:rFonts w:hint="default" w:ascii="宋体" w:hAnsi="宋体" w:eastAsia="宋体"/>
          <w:b/>
          <w:color w:val="auto"/>
          <w:position w:val="0"/>
          <w:sz w:val="44"/>
          <w:szCs w:val="44"/>
        </w:rPr>
      </w:pPr>
      <w:bookmarkStart w:id="0" w:name="_Toc31038"/>
      <w:bookmarkStart w:id="1" w:name="_Toc4798"/>
    </w:p>
    <w:bookmarkEnd w:id="0"/>
    <w:bookmarkEnd w:id="1"/>
    <w:p>
      <w:pPr>
        <w:pStyle w:val="45"/>
        <w:numPr>
          <w:ilvl w:val="0"/>
          <w:numId w:val="0"/>
        </w:numPr>
        <w:autoSpaceDE w:val="0"/>
        <w:autoSpaceDN w:val="0"/>
        <w:spacing w:before="0" w:after="160" w:line="240" w:lineRule="auto"/>
        <w:ind w:right="0" w:firstLine="0"/>
        <w:jc w:val="left"/>
        <w:rPr>
          <w:rFonts w:hint="default" w:ascii="宋体" w:hAnsi="宋体" w:eastAsia="宋体"/>
          <w:color w:val="000000"/>
          <w:position w:val="0"/>
          <w:sz w:val="24"/>
          <w:szCs w:val="24"/>
        </w:rPr>
      </w:pPr>
    </w:p>
    <w:p>
      <w:pPr>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r>
        <w:rPr>
          <w:rFonts w:hint="default" w:ascii="宋体" w:hAnsi="宋体" w:eastAsia="宋体"/>
          <w:b/>
          <w:color w:val="auto"/>
          <w:position w:val="0"/>
          <w:sz w:val="24"/>
          <w:szCs w:val="24"/>
        </w:rPr>
        <w:t>建设单位法人代表:</w:t>
      </w:r>
      <w:r>
        <w:rPr>
          <w:rFonts w:hint="default" w:ascii="宋体" w:hAnsi="宋体" w:eastAsia="宋体"/>
          <w:color w:val="auto"/>
          <w:position w:val="0"/>
          <w:sz w:val="24"/>
          <w:szCs w:val="24"/>
        </w:rPr>
        <w:tab/>
      </w:r>
      <w:r>
        <w:rPr>
          <w:rFonts w:hint="default" w:ascii="宋体" w:hAnsi="宋体" w:eastAsia="宋体"/>
          <w:color w:val="auto"/>
          <w:position w:val="0"/>
          <w:sz w:val="24"/>
          <w:szCs w:val="24"/>
        </w:rPr>
        <w:t xml:space="preserve"> </w:t>
      </w:r>
      <w:r>
        <w:rPr>
          <w:rFonts w:hint="eastAsia" w:ascii="宋体" w:hAnsi="宋体" w:eastAsia="宋体"/>
          <w:color w:val="auto"/>
          <w:position w:val="0"/>
          <w:sz w:val="24"/>
          <w:szCs w:val="24"/>
          <w:lang w:val="en-US" w:eastAsia="zh-CN"/>
        </w:rPr>
        <w:t>叶欣</w:t>
      </w:r>
      <w:r>
        <w:rPr>
          <w:rFonts w:hint="default" w:ascii="宋体" w:hAnsi="宋体" w:eastAsia="宋体"/>
          <w:color w:val="auto"/>
          <w:position w:val="0"/>
          <w:sz w:val="24"/>
          <w:szCs w:val="24"/>
        </w:rPr>
        <w:t xml:space="preserve">         （签字）</w:t>
      </w:r>
    </w:p>
    <w:p>
      <w:pPr>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r>
        <w:rPr>
          <w:rFonts w:hint="default" w:ascii="宋体" w:hAnsi="宋体" w:eastAsia="宋体"/>
          <w:b/>
          <w:color w:val="auto"/>
          <w:position w:val="0"/>
          <w:sz w:val="24"/>
          <w:szCs w:val="24"/>
        </w:rPr>
        <w:t>编制单位法人代表:</w:t>
      </w:r>
      <w:r>
        <w:rPr>
          <w:rFonts w:hint="default" w:ascii="宋体" w:hAnsi="宋体" w:eastAsia="宋体"/>
          <w:color w:val="auto"/>
          <w:position w:val="0"/>
          <w:sz w:val="24"/>
          <w:szCs w:val="24"/>
        </w:rPr>
        <w:tab/>
      </w:r>
      <w:r>
        <w:rPr>
          <w:rFonts w:hint="default" w:ascii="宋体" w:hAnsi="宋体" w:eastAsia="宋体"/>
          <w:color w:val="auto"/>
          <w:position w:val="0"/>
          <w:sz w:val="24"/>
          <w:szCs w:val="24"/>
        </w:rPr>
        <w:t xml:space="preserve"> </w:t>
      </w:r>
      <w:r>
        <w:rPr>
          <w:rFonts w:hint="eastAsia" w:ascii="宋体" w:hAnsi="宋体" w:eastAsia="宋体"/>
          <w:color w:val="auto"/>
          <w:position w:val="0"/>
          <w:sz w:val="24"/>
          <w:szCs w:val="24"/>
          <w:lang w:val="en-US" w:eastAsia="zh-CN"/>
        </w:rPr>
        <w:t>叶欣</w:t>
      </w:r>
      <w:r>
        <w:rPr>
          <w:rFonts w:hint="default" w:ascii="宋体" w:hAnsi="宋体" w:eastAsia="宋体"/>
          <w:color w:val="auto"/>
          <w:position w:val="0"/>
          <w:sz w:val="24"/>
          <w:szCs w:val="24"/>
        </w:rPr>
        <w:t xml:space="preserve">       </w:t>
      </w:r>
      <w:r>
        <w:rPr>
          <w:rFonts w:hint="eastAsia" w:ascii="宋体" w:hAnsi="宋体" w:eastAsia="宋体"/>
          <w:color w:val="auto"/>
          <w:position w:val="0"/>
          <w:sz w:val="24"/>
          <w:szCs w:val="24"/>
          <w:lang w:val="en-US" w:eastAsia="zh-CN"/>
        </w:rPr>
        <w:t xml:space="preserve">  </w:t>
      </w:r>
      <w:r>
        <w:rPr>
          <w:rFonts w:hint="default" w:ascii="宋体" w:hAnsi="宋体" w:eastAsia="宋体"/>
          <w:color w:val="auto"/>
          <w:position w:val="0"/>
          <w:sz w:val="24"/>
          <w:szCs w:val="24"/>
        </w:rPr>
        <w:t>（签字）</w:t>
      </w:r>
    </w:p>
    <w:p>
      <w:pPr>
        <w:pageBreakBefore w:val="0"/>
        <w:numPr>
          <w:ilvl w:val="0"/>
          <w:numId w:val="0"/>
        </w:numPr>
        <w:autoSpaceDE/>
        <w:autoSpaceDN/>
        <w:bidi w:val="0"/>
        <w:snapToGrid/>
        <w:spacing w:before="0" w:after="0" w:line="360" w:lineRule="auto"/>
        <w:ind w:right="0" w:firstLine="0"/>
        <w:jc w:val="left"/>
        <w:rPr>
          <w:rFonts w:hint="default" w:ascii="宋体" w:hAnsi="宋体" w:eastAsia="宋体"/>
          <w:b/>
          <w:color w:val="auto"/>
          <w:spacing w:val="7"/>
          <w:w w:val="79"/>
          <w:position w:val="0"/>
          <w:sz w:val="24"/>
          <w:szCs w:val="24"/>
        </w:rPr>
      </w:pPr>
      <w:r>
        <w:rPr>
          <w:rFonts w:hint="default" w:ascii="宋体" w:hAnsi="宋体" w:eastAsia="宋体"/>
          <w:b/>
          <w:color w:val="auto"/>
          <w:spacing w:val="20"/>
          <w:w w:val="79"/>
          <w:position w:val="0"/>
          <w:sz w:val="24"/>
          <w:szCs w:val="24"/>
        </w:rPr>
        <w:t>项  目  负 责  人</w:t>
      </w:r>
      <w:r>
        <w:rPr>
          <w:rFonts w:hint="default" w:ascii="宋体" w:hAnsi="宋体" w:eastAsia="宋体"/>
          <w:b/>
          <w:color w:val="auto"/>
          <w:spacing w:val="10"/>
          <w:w w:val="79"/>
          <w:position w:val="0"/>
          <w:sz w:val="24"/>
          <w:szCs w:val="24"/>
        </w:rPr>
        <w:t>:</w:t>
      </w:r>
      <w:r>
        <w:rPr>
          <w:rFonts w:hint="default" w:ascii="宋体" w:hAnsi="宋体" w:eastAsia="宋体"/>
          <w:b/>
          <w:color w:val="auto"/>
          <w:spacing w:val="7"/>
          <w:w w:val="79"/>
          <w:position w:val="0"/>
          <w:sz w:val="24"/>
          <w:szCs w:val="24"/>
        </w:rPr>
        <w:t xml:space="preserve"> </w:t>
      </w:r>
    </w:p>
    <w:p>
      <w:pPr>
        <w:pageBreakBefore w:val="0"/>
        <w:numPr>
          <w:ilvl w:val="0"/>
          <w:numId w:val="0"/>
        </w:numPr>
        <w:autoSpaceDE/>
        <w:autoSpaceDN/>
        <w:bidi w:val="0"/>
        <w:snapToGrid/>
        <w:spacing w:before="0" w:after="0" w:line="360" w:lineRule="auto"/>
        <w:ind w:right="0" w:firstLine="0"/>
        <w:jc w:val="left"/>
        <w:rPr>
          <w:rFonts w:hint="default" w:ascii="宋体" w:hAnsi="宋体" w:eastAsia="宋体"/>
          <w:b/>
          <w:color w:val="auto"/>
          <w:spacing w:val="7"/>
          <w:w w:val="79"/>
          <w:position w:val="0"/>
          <w:sz w:val="24"/>
          <w:szCs w:val="24"/>
        </w:rPr>
      </w:pPr>
      <w:r>
        <w:rPr>
          <w:rFonts w:hint="default" w:ascii="宋体" w:hAnsi="宋体" w:eastAsia="宋体"/>
          <w:b/>
          <w:color w:val="auto"/>
          <w:spacing w:val="141"/>
          <w:w w:val="79"/>
          <w:position w:val="0"/>
          <w:sz w:val="24"/>
          <w:szCs w:val="24"/>
        </w:rPr>
        <w:t>填表人</w:t>
      </w:r>
      <w:r>
        <w:rPr>
          <w:rFonts w:hint="default" w:ascii="宋体" w:hAnsi="宋体" w:eastAsia="宋体"/>
          <w:b/>
          <w:color w:val="auto"/>
          <w:spacing w:val="2"/>
          <w:w w:val="79"/>
          <w:position w:val="0"/>
          <w:sz w:val="24"/>
          <w:szCs w:val="24"/>
        </w:rPr>
        <w:t>：</w:t>
      </w:r>
    </w:p>
    <w:p>
      <w:pPr>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r>
        <w:rPr>
          <w:rFonts w:hint="default" w:ascii="宋体" w:hAnsi="宋体" w:eastAsia="宋体"/>
          <w:color w:val="auto"/>
          <w:position w:val="0"/>
          <w:sz w:val="24"/>
          <w:szCs w:val="24"/>
        </w:rPr>
        <w:tab/>
      </w:r>
    </w:p>
    <w:p>
      <w:pPr>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ageBreakBefore w:val="0"/>
        <w:numPr>
          <w:ilvl w:val="0"/>
          <w:numId w:val="0"/>
        </w:numPr>
        <w:tabs>
          <w:tab w:val="left" w:pos="984"/>
        </w:tabs>
        <w:autoSpaceDE/>
        <w:autoSpaceDN/>
        <w:bidi w:val="0"/>
        <w:snapToGrid/>
        <w:spacing w:before="0" w:after="0" w:line="360" w:lineRule="auto"/>
        <w:ind w:right="0" w:firstLine="0"/>
        <w:jc w:val="left"/>
        <w:rPr>
          <w:rFonts w:hint="default" w:ascii="宋体" w:hAnsi="宋体" w:eastAsia="宋体"/>
          <w:color w:val="auto"/>
          <w:position w:val="0"/>
          <w:sz w:val="24"/>
          <w:szCs w:val="24"/>
        </w:rPr>
      </w:pPr>
      <w:r>
        <w:rPr>
          <w:rFonts w:hint="default" w:ascii="宋体" w:hAnsi="宋体" w:eastAsia="宋体"/>
          <w:color w:val="auto"/>
          <w:position w:val="0"/>
          <w:sz w:val="24"/>
          <w:szCs w:val="24"/>
        </w:rPr>
        <w:tab/>
      </w:r>
    </w:p>
    <w:p>
      <w:pPr>
        <w:pStyle w:val="45"/>
        <w:numPr>
          <w:ilvl w:val="0"/>
          <w:numId w:val="0"/>
        </w:numPr>
        <w:autoSpaceDE w:val="0"/>
        <w:autoSpaceDN w:val="0"/>
        <w:spacing w:before="0" w:after="160" w:line="240" w:lineRule="auto"/>
        <w:ind w:right="0" w:firstLine="0"/>
        <w:jc w:val="left"/>
        <w:rPr>
          <w:rFonts w:hint="default" w:ascii="宋体" w:hAnsi="宋体" w:eastAsia="宋体"/>
          <w:color w:val="auto"/>
          <w:position w:val="0"/>
          <w:sz w:val="24"/>
          <w:szCs w:val="24"/>
        </w:rPr>
      </w:pPr>
    </w:p>
    <w:p>
      <w:pPr>
        <w:pStyle w:val="45"/>
        <w:numPr>
          <w:ilvl w:val="0"/>
          <w:numId w:val="0"/>
        </w:numPr>
        <w:autoSpaceDE w:val="0"/>
        <w:autoSpaceDN w:val="0"/>
        <w:spacing w:before="0" w:after="160" w:line="240" w:lineRule="auto"/>
        <w:ind w:right="0" w:firstLine="0"/>
        <w:jc w:val="left"/>
        <w:rPr>
          <w:rFonts w:hint="default" w:ascii="宋体" w:hAnsi="宋体" w:eastAsia="宋体"/>
          <w:color w:val="auto"/>
          <w:position w:val="0"/>
          <w:sz w:val="24"/>
          <w:szCs w:val="24"/>
        </w:rPr>
      </w:pPr>
    </w:p>
    <w:p>
      <w:pPr>
        <w:pStyle w:val="45"/>
        <w:numPr>
          <w:ilvl w:val="0"/>
          <w:numId w:val="0"/>
        </w:numPr>
        <w:autoSpaceDE w:val="0"/>
        <w:autoSpaceDN w:val="0"/>
        <w:spacing w:before="0" w:after="160" w:line="240" w:lineRule="auto"/>
        <w:ind w:right="0" w:firstLine="0"/>
        <w:jc w:val="left"/>
        <w:rPr>
          <w:rFonts w:hint="default" w:ascii="宋体" w:hAnsi="宋体" w:eastAsia="宋体"/>
          <w:color w:val="auto"/>
          <w:position w:val="0"/>
          <w:sz w:val="24"/>
          <w:szCs w:val="24"/>
        </w:rPr>
      </w:pPr>
    </w:p>
    <w:p>
      <w:pPr>
        <w:pStyle w:val="45"/>
        <w:numPr>
          <w:ilvl w:val="0"/>
          <w:numId w:val="0"/>
        </w:numPr>
        <w:autoSpaceDE w:val="0"/>
        <w:autoSpaceDN w:val="0"/>
        <w:spacing w:before="0" w:after="160" w:line="240" w:lineRule="auto"/>
        <w:ind w:right="0" w:firstLine="0"/>
        <w:jc w:val="left"/>
        <w:rPr>
          <w:rFonts w:hint="default" w:ascii="宋体" w:hAnsi="宋体" w:eastAsia="宋体"/>
          <w:color w:val="auto"/>
          <w:position w:val="0"/>
          <w:sz w:val="24"/>
          <w:szCs w:val="24"/>
        </w:rPr>
      </w:pPr>
    </w:p>
    <w:p>
      <w:pPr>
        <w:pStyle w:val="45"/>
        <w:numPr>
          <w:ilvl w:val="0"/>
          <w:numId w:val="0"/>
        </w:numPr>
        <w:autoSpaceDE w:val="0"/>
        <w:autoSpaceDN w:val="0"/>
        <w:spacing w:before="0" w:after="160" w:line="240" w:lineRule="auto"/>
        <w:ind w:right="0" w:firstLine="0"/>
        <w:jc w:val="left"/>
        <w:rPr>
          <w:rFonts w:hint="default" w:ascii="宋体" w:hAnsi="宋体" w:eastAsia="宋体"/>
          <w:color w:val="auto"/>
          <w:position w:val="0"/>
          <w:sz w:val="24"/>
          <w:szCs w:val="24"/>
        </w:rPr>
      </w:pPr>
    </w:p>
    <w:p>
      <w:pPr>
        <w:pStyle w:val="45"/>
        <w:numPr>
          <w:ilvl w:val="0"/>
          <w:numId w:val="0"/>
        </w:numPr>
        <w:autoSpaceDE w:val="0"/>
        <w:autoSpaceDN w:val="0"/>
        <w:spacing w:before="0" w:after="160" w:line="240" w:lineRule="auto"/>
        <w:ind w:right="0" w:firstLine="0"/>
        <w:jc w:val="left"/>
        <w:rPr>
          <w:rFonts w:hint="default" w:ascii="宋体" w:hAnsi="宋体" w:eastAsia="宋体"/>
          <w:color w:val="auto"/>
          <w:position w:val="0"/>
          <w:sz w:val="24"/>
          <w:szCs w:val="24"/>
        </w:rPr>
      </w:pPr>
    </w:p>
    <w:p>
      <w:pPr>
        <w:pStyle w:val="45"/>
        <w:numPr>
          <w:ilvl w:val="0"/>
          <w:numId w:val="0"/>
        </w:numPr>
        <w:autoSpaceDE w:val="0"/>
        <w:autoSpaceDN w:val="0"/>
        <w:spacing w:before="0" w:after="160" w:line="240" w:lineRule="auto"/>
        <w:ind w:right="0" w:firstLine="0"/>
        <w:jc w:val="left"/>
        <w:rPr>
          <w:rFonts w:hint="default" w:ascii="宋体" w:hAnsi="宋体" w:eastAsia="宋体"/>
          <w:color w:val="auto"/>
          <w:position w:val="0"/>
          <w:sz w:val="24"/>
          <w:szCs w:val="24"/>
        </w:rPr>
      </w:pPr>
    </w:p>
    <w:p>
      <w:pPr>
        <w:pageBreakBefore w:val="0"/>
        <w:numPr>
          <w:ilvl w:val="0"/>
          <w:numId w:val="0"/>
        </w:numPr>
        <w:tabs>
          <w:tab w:val="left" w:pos="984"/>
        </w:tabs>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pPr>
    </w:p>
    <w:tbl>
      <w:tblPr>
        <w:tblStyle w:val="39"/>
        <w:tblpPr w:leftFromText="180" w:rightFromText="180" w:vertAnchor="text" w:horzAnchor="page" w:tblpX="1790" w:tblpY="478"/>
        <w:tblOverlap w:val="never"/>
        <w:tblW w:w="80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10"/>
        <w:gridCol w:w="40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010" w:type="dxa"/>
            <w:vAlign w:val="top"/>
          </w:tcPr>
          <w:p>
            <w:pPr>
              <w:pageBreakBefore w:val="0"/>
              <w:numPr>
                <w:ilvl w:val="0"/>
                <w:numId w:val="0"/>
              </w:numPr>
              <w:autoSpaceDE/>
              <w:autoSpaceDN/>
              <w:bidi w:val="0"/>
              <w:snapToGrid/>
              <w:spacing w:before="0" w:after="0" w:line="360" w:lineRule="auto"/>
              <w:ind w:right="0" w:firstLine="0"/>
              <w:jc w:val="both"/>
              <w:rPr>
                <w:rFonts w:hint="eastAsia" w:ascii="宋体" w:hAnsi="宋体" w:eastAsia="宋体"/>
                <w:color w:val="auto"/>
                <w:position w:val="0"/>
                <w:sz w:val="24"/>
                <w:szCs w:val="24"/>
                <w:lang w:eastAsia="zh-CN"/>
              </w:rPr>
            </w:pPr>
            <w:r>
              <w:rPr>
                <w:rFonts w:hint="default" w:ascii="宋体" w:hAnsi="宋体" w:eastAsia="宋体"/>
                <w:color w:val="auto"/>
                <w:position w:val="0"/>
                <w:sz w:val="24"/>
                <w:szCs w:val="24"/>
              </w:rPr>
              <w:t>建设单位：</w:t>
            </w:r>
            <w:bookmarkStart w:id="2" w:name="_Hlk520296673"/>
            <w:r>
              <w:rPr>
                <w:rFonts w:hint="eastAsia" w:ascii="宋体" w:hAnsi="宋体" w:eastAsia="宋体"/>
                <w:color w:val="auto"/>
                <w:position w:val="0"/>
                <w:sz w:val="24"/>
                <w:szCs w:val="24"/>
                <w:lang w:val="en-US" w:eastAsia="zh-CN"/>
              </w:rPr>
              <w:t>鄄城龙欣宝典发制品有限公司</w:t>
            </w:r>
          </w:p>
          <w:p>
            <w:pPr>
              <w:pageBreakBefore w:val="0"/>
              <w:numPr>
                <w:ilvl w:val="0"/>
                <w:numId w:val="0"/>
              </w:numPr>
              <w:autoSpaceDE/>
              <w:autoSpaceDN/>
              <w:bidi w:val="0"/>
              <w:snapToGrid/>
              <w:spacing w:before="0" w:after="0" w:line="360" w:lineRule="auto"/>
              <w:ind w:right="0" w:firstLine="0"/>
              <w:jc w:val="both"/>
              <w:rPr>
                <w:rFonts w:hint="default" w:ascii="宋体" w:hAnsi="宋体" w:eastAsia="宋体"/>
                <w:color w:val="auto"/>
                <w:position w:val="0"/>
                <w:sz w:val="24"/>
                <w:szCs w:val="24"/>
              </w:rPr>
            </w:pPr>
            <w:r>
              <w:rPr>
                <w:rFonts w:hint="default" w:ascii="宋体" w:hAnsi="宋体" w:eastAsia="宋体"/>
                <w:color w:val="auto"/>
                <w:position w:val="0"/>
                <w:sz w:val="24"/>
                <w:szCs w:val="24"/>
              </w:rPr>
              <w:t>（盖章）</w:t>
            </w:r>
            <w:bookmarkEnd w:id="2"/>
          </w:p>
          <w:p>
            <w:pPr>
              <w:pageBreakBefore w:val="0"/>
              <w:numPr>
                <w:ilvl w:val="0"/>
                <w:numId w:val="0"/>
              </w:numPr>
              <w:autoSpaceDE/>
              <w:autoSpaceDN/>
              <w:bidi w:val="0"/>
              <w:snapToGrid/>
              <w:spacing w:before="0" w:after="0" w:line="360" w:lineRule="auto"/>
              <w:ind w:right="0" w:firstLine="0"/>
              <w:jc w:val="both"/>
              <w:rPr>
                <w:rFonts w:hint="eastAsia" w:ascii="宋体" w:hAnsi="宋体" w:eastAsia="宋体"/>
                <w:color w:val="auto"/>
                <w:position w:val="0"/>
                <w:sz w:val="24"/>
                <w:szCs w:val="24"/>
                <w:lang w:val="en-US" w:eastAsia="zh-CN"/>
              </w:rPr>
            </w:pPr>
            <w:r>
              <w:rPr>
                <w:rFonts w:hint="default" w:ascii="宋体" w:hAnsi="宋体" w:eastAsia="宋体"/>
                <w:color w:val="auto"/>
                <w:position w:val="0"/>
                <w:sz w:val="24"/>
                <w:szCs w:val="24"/>
              </w:rPr>
              <w:t>电话:</w:t>
            </w:r>
            <w:r>
              <w:rPr>
                <w:rFonts w:hint="eastAsia" w:ascii="宋体" w:hAnsi="宋体" w:eastAsia="宋体"/>
                <w:color w:val="auto"/>
                <w:position w:val="0"/>
                <w:sz w:val="24"/>
                <w:szCs w:val="24"/>
                <w:lang w:val="en-US" w:eastAsia="zh-CN"/>
              </w:rPr>
              <w:t>15865588812</w:t>
            </w:r>
          </w:p>
          <w:p>
            <w:pPr>
              <w:pageBreakBefore w:val="0"/>
              <w:numPr>
                <w:ilvl w:val="0"/>
                <w:numId w:val="0"/>
              </w:numPr>
              <w:autoSpaceDE/>
              <w:autoSpaceDN/>
              <w:bidi w:val="0"/>
              <w:snapToGrid/>
              <w:spacing w:before="0" w:after="0" w:line="360" w:lineRule="auto"/>
              <w:ind w:right="0" w:firstLine="0"/>
              <w:jc w:val="both"/>
              <w:rPr>
                <w:rFonts w:hint="default" w:ascii="宋体" w:hAnsi="宋体" w:eastAsia="宋体"/>
                <w:color w:val="auto"/>
                <w:position w:val="0"/>
                <w:sz w:val="24"/>
                <w:szCs w:val="24"/>
              </w:rPr>
            </w:pPr>
            <w:r>
              <w:rPr>
                <w:rFonts w:hint="default" w:ascii="宋体" w:hAnsi="宋体" w:eastAsia="宋体"/>
                <w:color w:val="auto"/>
                <w:position w:val="0"/>
                <w:sz w:val="24"/>
                <w:szCs w:val="24"/>
              </w:rPr>
              <w:t>邮编:274</w:t>
            </w:r>
            <w:r>
              <w:rPr>
                <w:rFonts w:hint="eastAsia" w:ascii="宋体" w:hAnsi="宋体" w:eastAsia="宋体"/>
                <w:color w:val="auto"/>
                <w:position w:val="0"/>
                <w:sz w:val="24"/>
                <w:szCs w:val="24"/>
                <w:lang w:val="en-US" w:eastAsia="zh-CN"/>
              </w:rPr>
              <w:t>6</w:t>
            </w:r>
            <w:r>
              <w:rPr>
                <w:rFonts w:hint="default" w:ascii="宋体" w:hAnsi="宋体" w:eastAsia="宋体"/>
                <w:color w:val="auto"/>
                <w:position w:val="0"/>
                <w:sz w:val="24"/>
                <w:szCs w:val="24"/>
              </w:rPr>
              <w:t xml:space="preserve">00   </w:t>
            </w:r>
          </w:p>
          <w:p>
            <w:pPr>
              <w:pageBreakBefore w:val="0"/>
              <w:numPr>
                <w:ilvl w:val="0"/>
                <w:numId w:val="0"/>
              </w:numPr>
              <w:autoSpaceDE/>
              <w:autoSpaceDN/>
              <w:bidi w:val="0"/>
              <w:snapToGrid/>
              <w:spacing w:before="0" w:after="0" w:line="360" w:lineRule="auto"/>
              <w:ind w:right="0" w:firstLine="0"/>
              <w:jc w:val="both"/>
              <w:rPr>
                <w:rFonts w:hint="default" w:ascii="宋体" w:hAnsi="宋体" w:eastAsia="宋体"/>
                <w:color w:val="auto"/>
                <w:position w:val="0"/>
                <w:sz w:val="24"/>
                <w:szCs w:val="24"/>
                <w:lang w:val="en-US"/>
              </w:rPr>
            </w:pPr>
            <w:r>
              <w:rPr>
                <w:rFonts w:hint="default" w:ascii="宋体" w:hAnsi="宋体" w:eastAsia="宋体"/>
                <w:color w:val="auto"/>
                <w:position w:val="0"/>
                <w:sz w:val="24"/>
                <w:szCs w:val="24"/>
              </w:rPr>
              <w:t>地址:</w:t>
            </w:r>
            <w:r>
              <w:rPr>
                <w:rFonts w:hint="eastAsia" w:ascii="宋体" w:hAnsi="宋体" w:eastAsia="宋体"/>
                <w:color w:val="auto"/>
                <w:position w:val="0"/>
                <w:sz w:val="24"/>
                <w:szCs w:val="24"/>
                <w:lang w:val="en-US" w:eastAsia="zh-CN"/>
              </w:rPr>
              <w:t>山东省菏泽市鄄城县永定路东、亿城街南、朱庄村西</w:t>
            </w:r>
          </w:p>
        </w:tc>
        <w:tc>
          <w:tcPr>
            <w:tcW w:w="4010" w:type="dxa"/>
            <w:vAlign w:val="top"/>
          </w:tcPr>
          <w:p>
            <w:pPr>
              <w:pageBreakBefore w:val="0"/>
              <w:numPr>
                <w:ilvl w:val="0"/>
                <w:numId w:val="0"/>
              </w:numPr>
              <w:autoSpaceDE/>
              <w:autoSpaceDN/>
              <w:bidi w:val="0"/>
              <w:snapToGrid/>
              <w:spacing w:before="0" w:after="0" w:line="360" w:lineRule="auto"/>
              <w:ind w:right="0" w:firstLine="0"/>
              <w:jc w:val="both"/>
              <w:rPr>
                <w:rFonts w:hint="eastAsia" w:ascii="宋体" w:hAnsi="宋体" w:eastAsia="宋体"/>
                <w:color w:val="auto"/>
                <w:position w:val="0"/>
                <w:sz w:val="24"/>
                <w:szCs w:val="24"/>
                <w:lang w:eastAsia="zh-CN"/>
              </w:rPr>
            </w:pPr>
            <w:r>
              <w:rPr>
                <w:rFonts w:hint="eastAsia" w:ascii="宋体" w:hAnsi="宋体" w:eastAsia="宋体"/>
                <w:color w:val="auto"/>
                <w:position w:val="0"/>
                <w:sz w:val="24"/>
                <w:szCs w:val="24"/>
                <w:lang w:val="en-US" w:eastAsia="zh-CN"/>
              </w:rPr>
              <w:t>编制</w:t>
            </w:r>
            <w:r>
              <w:rPr>
                <w:rFonts w:hint="default" w:ascii="宋体" w:hAnsi="宋体" w:eastAsia="宋体"/>
                <w:color w:val="auto"/>
                <w:position w:val="0"/>
                <w:sz w:val="24"/>
                <w:szCs w:val="24"/>
              </w:rPr>
              <w:t>单位：</w:t>
            </w:r>
            <w:r>
              <w:rPr>
                <w:rFonts w:hint="eastAsia" w:ascii="宋体" w:hAnsi="宋体" w:eastAsia="宋体"/>
                <w:color w:val="auto"/>
                <w:position w:val="0"/>
                <w:sz w:val="24"/>
                <w:szCs w:val="24"/>
                <w:lang w:val="en-US" w:eastAsia="zh-CN"/>
              </w:rPr>
              <w:t>鄄城龙欣宝典发制品有限公司</w:t>
            </w:r>
          </w:p>
          <w:p>
            <w:pPr>
              <w:pageBreakBefore w:val="0"/>
              <w:numPr>
                <w:ilvl w:val="0"/>
                <w:numId w:val="0"/>
              </w:numPr>
              <w:autoSpaceDE/>
              <w:autoSpaceDN/>
              <w:bidi w:val="0"/>
              <w:snapToGrid/>
              <w:spacing w:before="0" w:after="0" w:line="360" w:lineRule="auto"/>
              <w:ind w:right="0" w:firstLine="0"/>
              <w:jc w:val="both"/>
              <w:rPr>
                <w:rFonts w:hint="default" w:ascii="宋体" w:hAnsi="宋体" w:eastAsia="宋体"/>
                <w:color w:val="auto"/>
                <w:position w:val="0"/>
                <w:sz w:val="24"/>
                <w:szCs w:val="24"/>
              </w:rPr>
            </w:pPr>
            <w:r>
              <w:rPr>
                <w:rFonts w:hint="default" w:ascii="宋体" w:hAnsi="宋体" w:eastAsia="宋体"/>
                <w:color w:val="auto"/>
                <w:position w:val="0"/>
                <w:sz w:val="24"/>
                <w:szCs w:val="24"/>
              </w:rPr>
              <w:t>（盖章）</w:t>
            </w:r>
          </w:p>
          <w:p>
            <w:pPr>
              <w:pageBreakBefore w:val="0"/>
              <w:numPr>
                <w:ilvl w:val="0"/>
                <w:numId w:val="0"/>
              </w:numPr>
              <w:autoSpaceDE/>
              <w:autoSpaceDN/>
              <w:bidi w:val="0"/>
              <w:snapToGrid/>
              <w:spacing w:before="0" w:after="0" w:line="360" w:lineRule="auto"/>
              <w:ind w:right="0" w:firstLine="0"/>
              <w:jc w:val="both"/>
              <w:rPr>
                <w:rFonts w:hint="eastAsia" w:ascii="宋体" w:hAnsi="宋体" w:eastAsia="宋体"/>
                <w:color w:val="auto"/>
                <w:position w:val="0"/>
                <w:sz w:val="24"/>
                <w:szCs w:val="24"/>
                <w:lang w:val="en-US" w:eastAsia="zh-CN"/>
              </w:rPr>
            </w:pPr>
            <w:r>
              <w:rPr>
                <w:rFonts w:hint="default" w:ascii="宋体" w:hAnsi="宋体" w:eastAsia="宋体"/>
                <w:color w:val="auto"/>
                <w:position w:val="0"/>
                <w:sz w:val="24"/>
                <w:szCs w:val="24"/>
              </w:rPr>
              <w:t>电话:</w:t>
            </w:r>
            <w:r>
              <w:rPr>
                <w:rFonts w:hint="eastAsia" w:ascii="宋体" w:hAnsi="宋体" w:eastAsia="宋体"/>
                <w:color w:val="auto"/>
                <w:position w:val="0"/>
                <w:sz w:val="24"/>
                <w:szCs w:val="24"/>
                <w:lang w:val="en-US" w:eastAsia="zh-CN"/>
              </w:rPr>
              <w:t>15865588812</w:t>
            </w:r>
          </w:p>
          <w:p>
            <w:pPr>
              <w:pageBreakBefore w:val="0"/>
              <w:numPr>
                <w:ilvl w:val="0"/>
                <w:numId w:val="0"/>
              </w:numPr>
              <w:autoSpaceDE/>
              <w:autoSpaceDN/>
              <w:bidi w:val="0"/>
              <w:snapToGrid/>
              <w:spacing w:before="0" w:after="0" w:line="360" w:lineRule="auto"/>
              <w:ind w:right="0" w:firstLine="0"/>
              <w:jc w:val="both"/>
              <w:rPr>
                <w:rFonts w:hint="default" w:ascii="宋体" w:hAnsi="宋体" w:eastAsia="宋体"/>
                <w:color w:val="auto"/>
                <w:position w:val="0"/>
                <w:sz w:val="24"/>
                <w:szCs w:val="24"/>
              </w:rPr>
            </w:pPr>
            <w:r>
              <w:rPr>
                <w:rFonts w:hint="default" w:ascii="宋体" w:hAnsi="宋体" w:eastAsia="宋体"/>
                <w:color w:val="auto"/>
                <w:position w:val="0"/>
                <w:sz w:val="24"/>
                <w:szCs w:val="24"/>
              </w:rPr>
              <w:t>邮编:274</w:t>
            </w:r>
            <w:r>
              <w:rPr>
                <w:rFonts w:hint="eastAsia" w:ascii="宋体" w:hAnsi="宋体" w:eastAsia="宋体"/>
                <w:color w:val="auto"/>
                <w:position w:val="0"/>
                <w:sz w:val="24"/>
                <w:szCs w:val="24"/>
                <w:lang w:val="en-US" w:eastAsia="zh-CN"/>
              </w:rPr>
              <w:t>6</w:t>
            </w:r>
            <w:r>
              <w:rPr>
                <w:rFonts w:hint="default" w:ascii="宋体" w:hAnsi="宋体" w:eastAsia="宋体"/>
                <w:color w:val="auto"/>
                <w:position w:val="0"/>
                <w:sz w:val="24"/>
                <w:szCs w:val="24"/>
              </w:rPr>
              <w:t xml:space="preserve">00   </w:t>
            </w:r>
          </w:p>
          <w:p>
            <w:pPr>
              <w:pageBreakBefore w:val="0"/>
              <w:numPr>
                <w:ilvl w:val="0"/>
                <w:numId w:val="0"/>
              </w:numPr>
              <w:autoSpaceDE/>
              <w:autoSpaceDN/>
              <w:bidi w:val="0"/>
              <w:snapToGrid/>
              <w:spacing w:before="0" w:after="0" w:line="360" w:lineRule="auto"/>
              <w:ind w:right="0" w:firstLine="0"/>
              <w:jc w:val="both"/>
              <w:rPr>
                <w:rFonts w:hint="default" w:ascii="宋体" w:hAnsi="宋体" w:eastAsia="宋体"/>
                <w:color w:val="auto"/>
                <w:position w:val="0"/>
                <w:sz w:val="24"/>
                <w:szCs w:val="24"/>
                <w:lang w:val="en-US" w:eastAsia="zh-CN"/>
              </w:rPr>
            </w:pPr>
            <w:r>
              <w:rPr>
                <w:rFonts w:hint="default" w:ascii="宋体" w:hAnsi="宋体" w:eastAsia="宋体"/>
                <w:color w:val="auto"/>
                <w:position w:val="0"/>
                <w:sz w:val="24"/>
                <w:szCs w:val="24"/>
              </w:rPr>
              <w:t>地址:</w:t>
            </w:r>
            <w:r>
              <w:rPr>
                <w:rFonts w:hint="eastAsia" w:ascii="宋体" w:hAnsi="宋体" w:eastAsia="宋体"/>
                <w:color w:val="auto"/>
                <w:position w:val="0"/>
                <w:sz w:val="24"/>
                <w:szCs w:val="24"/>
                <w:lang w:val="en-US" w:eastAsia="zh-CN"/>
              </w:rPr>
              <w:t>山东省菏泽市鄄城县永定路东、亿城街南、朱庄村西</w:t>
            </w:r>
          </w:p>
          <w:p>
            <w:pPr>
              <w:pageBreakBefore w:val="0"/>
              <w:numPr>
                <w:ilvl w:val="0"/>
                <w:numId w:val="0"/>
              </w:numPr>
              <w:autoSpaceDE/>
              <w:autoSpaceDN/>
              <w:bidi w:val="0"/>
              <w:snapToGrid/>
              <w:spacing w:before="0" w:after="0" w:line="360" w:lineRule="auto"/>
              <w:ind w:right="0" w:firstLine="0"/>
              <w:jc w:val="both"/>
              <w:rPr>
                <w:rFonts w:hint="default" w:ascii="宋体" w:hAnsi="宋体" w:eastAsia="宋体"/>
                <w:color w:val="auto"/>
                <w:position w:val="0"/>
                <w:sz w:val="24"/>
                <w:szCs w:val="24"/>
              </w:rPr>
            </w:pPr>
            <w:r>
              <w:rPr>
                <w:rFonts w:hint="default" w:ascii="宋体" w:hAnsi="宋体" w:eastAsia="宋体"/>
                <w:color w:val="auto"/>
                <w:position w:val="0"/>
                <w:sz w:val="24"/>
                <w:szCs w:val="24"/>
              </w:rPr>
              <w:t xml:space="preserve">    </w:t>
            </w:r>
          </w:p>
        </w:tc>
      </w:tr>
    </w:tbl>
    <w:p>
      <w:pPr>
        <w:pageBreakBefore w:val="0"/>
        <w:numPr>
          <w:ilvl w:val="0"/>
          <w:numId w:val="0"/>
        </w:numPr>
        <w:autoSpaceDE/>
        <w:autoSpaceDN/>
        <w:bidi w:val="0"/>
        <w:snapToGrid/>
        <w:spacing w:before="0" w:after="0" w:line="360" w:lineRule="auto"/>
        <w:ind w:right="0" w:firstLine="0"/>
        <w:jc w:val="left"/>
        <w:rPr>
          <w:rFonts w:hint="default" w:ascii="宋体" w:hAnsi="宋体" w:eastAsia="宋体"/>
          <w:b/>
          <w:color w:val="auto"/>
          <w:position w:val="0"/>
          <w:sz w:val="24"/>
          <w:szCs w:val="24"/>
        </w:rPr>
        <w:sectPr>
          <w:footerReference r:id="rId3" w:type="default"/>
          <w:pgSz w:w="11906" w:h="16838"/>
          <w:pgMar w:top="1440" w:right="1800" w:bottom="1440" w:left="1800" w:header="708" w:footer="708" w:gutter="0"/>
          <w:pgNumType w:fmt="upperRoman"/>
          <w:cols w:space="720" w:num="1"/>
          <w:docGrid w:linePitch="360" w:charSpace="0"/>
        </w:sectPr>
      </w:pPr>
    </w:p>
    <w:p>
      <w:pPr>
        <w:pageBreakBefore w:val="0"/>
        <w:numPr>
          <w:ilvl w:val="0"/>
          <w:numId w:val="0"/>
        </w:numPr>
        <w:autoSpaceDE/>
        <w:autoSpaceDN/>
        <w:bidi w:val="0"/>
        <w:snapToGrid/>
        <w:spacing w:before="0" w:after="0" w:line="360" w:lineRule="auto"/>
        <w:ind w:right="0" w:firstLine="0"/>
        <w:jc w:val="left"/>
        <w:outlineLvl w:val="0"/>
        <w:rPr>
          <w:rFonts w:hint="default" w:ascii="Times New Roman" w:hAnsi="Times New Roman" w:eastAsia="Times New Roman"/>
          <w:b/>
          <w:color w:val="auto"/>
          <w:position w:val="0"/>
          <w:sz w:val="24"/>
          <w:szCs w:val="24"/>
        </w:rPr>
      </w:pPr>
      <w:bookmarkStart w:id="3" w:name="_Toc8126"/>
      <w:r>
        <w:rPr>
          <w:rFonts w:hint="default" w:ascii="Times New Roman" w:hAnsi="Times New Roman" w:eastAsia="Times New Roman"/>
          <w:b/>
          <w:color w:val="auto"/>
          <w:position w:val="0"/>
          <w:sz w:val="24"/>
          <w:szCs w:val="24"/>
        </w:rPr>
        <w:t>表一</w:t>
      </w:r>
      <w:bookmarkEnd w:id="3"/>
    </w:p>
    <w:tbl>
      <w:tblPr>
        <w:tblStyle w:val="38"/>
        <w:tblW w:w="8522"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672"/>
        <w:gridCol w:w="2308"/>
        <w:gridCol w:w="2220"/>
        <w:gridCol w:w="825"/>
        <w:gridCol w:w="679"/>
        <w:gridCol w:w="818"/>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建设项目名称</w:t>
            </w:r>
          </w:p>
        </w:tc>
        <w:tc>
          <w:tcPr>
            <w:tcW w:w="6850" w:type="dxa"/>
            <w:gridSpan w:val="5"/>
            <w:vAlign w:val="center"/>
          </w:tcPr>
          <w:p>
            <w:pPr>
              <w:pageBreakBefore w:val="0"/>
              <w:numPr>
                <w:ilvl w:val="0"/>
                <w:numId w:val="0"/>
              </w:numPr>
              <w:autoSpaceDE/>
              <w:autoSpaceDN/>
              <w:bidi w:val="0"/>
              <w:snapToGrid/>
              <w:spacing w:before="0" w:after="0" w:line="360" w:lineRule="auto"/>
              <w:ind w:right="0" w:firstLine="0"/>
              <w:jc w:val="center"/>
              <w:rPr>
                <w:rFonts w:hint="eastAsia" w:ascii="Times New Roman" w:hAnsi="宋体" w:eastAsia="宋体" w:cs="宋体"/>
                <w:color w:val="auto"/>
                <w:position w:val="0"/>
                <w:sz w:val="24"/>
                <w:szCs w:val="24"/>
                <w:lang w:val="en-US" w:eastAsia="zh-CN"/>
              </w:rPr>
            </w:pPr>
            <w:r>
              <w:rPr>
                <w:rFonts w:hint="eastAsia" w:ascii="宋体" w:hAnsi="宋体" w:eastAsia="宋体"/>
                <w:color w:val="auto"/>
                <w:position w:val="0"/>
                <w:sz w:val="24"/>
                <w:szCs w:val="24"/>
                <w:lang w:val="en-US" w:eastAsia="zh-CN"/>
              </w:rPr>
              <w:t>鄄城龙欣宝典发制品有限公司</w:t>
            </w:r>
            <w:r>
              <w:rPr>
                <w:rFonts w:hint="eastAsia" w:ascii="Times New Roman" w:hAnsi="宋体" w:eastAsia="宋体" w:cs="宋体"/>
                <w:color w:val="auto"/>
                <w:position w:val="0"/>
                <w:sz w:val="24"/>
                <w:szCs w:val="24"/>
                <w:lang w:val="en-US" w:eastAsia="zh-CN"/>
              </w:rPr>
              <w:t xml:space="preserve">年产800万件人发制品项目 </w:t>
            </w:r>
          </w:p>
          <w:p>
            <w:pPr>
              <w:pageBreakBefore w:val="0"/>
              <w:numPr>
                <w:ilvl w:val="0"/>
                <w:numId w:val="0"/>
              </w:numPr>
              <w:autoSpaceDE/>
              <w:autoSpaceDN/>
              <w:bidi w:val="0"/>
              <w:snapToGrid/>
              <w:spacing w:before="0" w:after="0" w:line="360" w:lineRule="auto"/>
              <w:ind w:right="0" w:firstLine="0"/>
              <w:jc w:val="center"/>
              <w:rPr>
                <w:rFonts w:hint="eastAsia" w:ascii="Times New Roman" w:hAnsi="宋体" w:eastAsia="宋体"/>
                <w:color w:val="auto"/>
                <w:position w:val="0"/>
                <w:sz w:val="24"/>
                <w:szCs w:val="24"/>
                <w:lang w:eastAsia="zh-CN"/>
              </w:rPr>
            </w:pPr>
            <w:r>
              <w:rPr>
                <w:rFonts w:hint="eastAsia" w:ascii="Times New Roman" w:hAnsi="宋体" w:eastAsia="宋体" w:cs="宋体"/>
                <w:color w:val="auto"/>
                <w:position w:val="0"/>
                <w:sz w:val="24"/>
                <w:szCs w:val="24"/>
                <w:lang w:val="en-US" w:eastAsia="zh-CN"/>
              </w:rPr>
              <w:t>（二期）</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建设单位名称</w:t>
            </w:r>
          </w:p>
        </w:tc>
        <w:tc>
          <w:tcPr>
            <w:tcW w:w="6850" w:type="dxa"/>
            <w:gridSpan w:val="5"/>
            <w:vAlign w:val="center"/>
          </w:tcPr>
          <w:p>
            <w:pPr>
              <w:pageBreakBefore w:val="0"/>
              <w:numPr>
                <w:ilvl w:val="0"/>
                <w:numId w:val="0"/>
              </w:numPr>
              <w:autoSpaceDE/>
              <w:autoSpaceDN/>
              <w:bidi w:val="0"/>
              <w:snapToGrid/>
              <w:spacing w:before="0" w:after="0" w:line="360" w:lineRule="auto"/>
              <w:ind w:right="0" w:firstLine="1680" w:firstLineChars="700"/>
              <w:jc w:val="both"/>
              <w:rPr>
                <w:rFonts w:hint="default" w:ascii="Times New Roman" w:hAnsi="宋体" w:eastAsia="宋体"/>
                <w:color w:val="auto"/>
                <w:position w:val="0"/>
                <w:sz w:val="24"/>
                <w:szCs w:val="24"/>
              </w:rPr>
            </w:pPr>
            <w:r>
              <w:rPr>
                <w:rFonts w:hint="eastAsia" w:ascii="宋体" w:hAnsi="宋体" w:eastAsia="宋体"/>
                <w:color w:val="auto"/>
                <w:position w:val="0"/>
                <w:sz w:val="24"/>
                <w:szCs w:val="24"/>
                <w:lang w:val="en-US" w:eastAsia="zh-CN"/>
              </w:rPr>
              <w:t>鄄城龙欣宝典发制品有限公司</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建设项目性质</w:t>
            </w:r>
          </w:p>
        </w:tc>
        <w:tc>
          <w:tcPr>
            <w:tcW w:w="6850" w:type="dxa"/>
            <w:gridSpan w:val="5"/>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Wingdings 2" w:hAnsi="宋体" w:eastAsia="宋体"/>
                <w:color w:val="auto"/>
                <w:position w:val="0"/>
                <w:sz w:val="24"/>
                <w:szCs w:val="24"/>
              </w:rPr>
              <w:t>R</w:t>
            </w:r>
            <w:r>
              <w:rPr>
                <w:rFonts w:hint="default" w:ascii="Times New Roman" w:hAnsi="宋体" w:eastAsia="宋体"/>
                <w:color w:val="auto"/>
                <w:position w:val="0"/>
                <w:sz w:val="24"/>
                <w:szCs w:val="24"/>
              </w:rPr>
              <w:t xml:space="preserve">新建 </w:t>
            </w:r>
            <w:r>
              <w:rPr>
                <w:rFonts w:hint="default" w:ascii="Wingdings 2" w:hAnsi="宋体" w:eastAsia="宋体"/>
                <w:color w:val="auto"/>
                <w:position w:val="0"/>
                <w:sz w:val="24"/>
                <w:szCs w:val="24"/>
              </w:rPr>
              <w:t>£</w:t>
            </w:r>
            <w:r>
              <w:rPr>
                <w:rFonts w:hint="default" w:ascii="Times New Roman" w:hAnsi="宋体" w:eastAsia="宋体"/>
                <w:color w:val="auto"/>
                <w:position w:val="0"/>
                <w:sz w:val="24"/>
                <w:szCs w:val="24"/>
              </w:rPr>
              <w:t xml:space="preserve">改扩建  </w:t>
            </w:r>
            <w:r>
              <w:rPr>
                <w:rFonts w:hint="default" w:ascii="Wingdings 2" w:hAnsi="宋体" w:eastAsia="宋体"/>
                <w:color w:val="auto"/>
                <w:position w:val="0"/>
                <w:sz w:val="24"/>
                <w:szCs w:val="24"/>
              </w:rPr>
              <w:t>£</w:t>
            </w:r>
            <w:r>
              <w:rPr>
                <w:rFonts w:hint="default" w:ascii="Times New Roman" w:hAnsi="宋体" w:eastAsia="宋体"/>
                <w:color w:val="auto"/>
                <w:position w:val="0"/>
                <w:sz w:val="24"/>
                <w:szCs w:val="24"/>
              </w:rPr>
              <w:t xml:space="preserve">技改  </w:t>
            </w:r>
            <w:r>
              <w:rPr>
                <w:rFonts w:hint="default" w:ascii="Wingdings 2" w:hAnsi="宋体" w:eastAsia="宋体"/>
                <w:color w:val="auto"/>
                <w:position w:val="0"/>
                <w:sz w:val="24"/>
                <w:szCs w:val="24"/>
              </w:rPr>
              <w:t>£</w:t>
            </w:r>
            <w:r>
              <w:rPr>
                <w:rFonts w:hint="default" w:ascii="Times New Roman" w:hAnsi="宋体" w:eastAsia="宋体"/>
                <w:color w:val="auto"/>
                <w:position w:val="0"/>
                <w:sz w:val="24"/>
                <w:szCs w:val="24"/>
              </w:rPr>
              <w:t>迁建</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建设地点</w:t>
            </w:r>
          </w:p>
        </w:tc>
        <w:tc>
          <w:tcPr>
            <w:tcW w:w="6850" w:type="dxa"/>
            <w:gridSpan w:val="5"/>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eastAsia" w:ascii="宋体" w:hAnsi="宋体" w:eastAsia="宋体"/>
                <w:color w:val="auto"/>
                <w:position w:val="0"/>
                <w:sz w:val="24"/>
                <w:szCs w:val="24"/>
                <w:lang w:val="en-US" w:eastAsia="zh-CN"/>
              </w:rPr>
              <w:t>山东省菏泽市鄄城县永定路东、亿城街南、朱庄村西</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75"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主要产品名称</w:t>
            </w:r>
          </w:p>
        </w:tc>
        <w:tc>
          <w:tcPr>
            <w:tcW w:w="6850" w:type="dxa"/>
            <w:gridSpan w:val="5"/>
            <w:vAlign w:val="center"/>
          </w:tcPr>
          <w:p>
            <w:pPr>
              <w:pageBreakBefore w:val="0"/>
              <w:numPr>
                <w:ilvl w:val="0"/>
                <w:numId w:val="0"/>
              </w:numPr>
              <w:autoSpaceDE/>
              <w:autoSpaceDN/>
              <w:bidi w:val="0"/>
              <w:snapToGrid/>
              <w:spacing w:before="0" w:after="0" w:line="360" w:lineRule="auto"/>
              <w:ind w:right="0" w:firstLine="0"/>
              <w:jc w:val="center"/>
              <w:rPr>
                <w:rFonts w:hint="eastAsia" w:ascii="Times New Roman" w:hAnsi="宋体" w:eastAsia="宋体"/>
                <w:color w:val="auto"/>
                <w:position w:val="0"/>
                <w:sz w:val="24"/>
                <w:szCs w:val="24"/>
                <w:lang w:val="en-US" w:eastAsia="zh-CN"/>
              </w:rPr>
            </w:pPr>
            <w:r>
              <w:rPr>
                <w:rFonts w:hint="eastAsia" w:ascii="Times New Roman" w:hAnsi="宋体" w:eastAsia="宋体" w:cs="宋体"/>
                <w:color w:val="auto"/>
                <w:position w:val="0"/>
                <w:sz w:val="24"/>
                <w:szCs w:val="24"/>
                <w:lang w:val="en-US" w:eastAsia="zh-CN"/>
              </w:rPr>
              <w:t>发制品</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设计生产能力</w:t>
            </w:r>
          </w:p>
        </w:tc>
        <w:tc>
          <w:tcPr>
            <w:tcW w:w="6850" w:type="dxa"/>
            <w:gridSpan w:val="5"/>
            <w:shd w:val="clear" w:color="auto" w:fill="auto"/>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C00000"/>
                <w:position w:val="0"/>
                <w:sz w:val="24"/>
                <w:szCs w:val="24"/>
              </w:rPr>
            </w:pPr>
            <w:r>
              <w:rPr>
                <w:rFonts w:hint="eastAsia" w:ascii="Times New Roman" w:hAnsi="宋体" w:eastAsia="宋体" w:cs="宋体"/>
                <w:color w:val="auto"/>
                <w:position w:val="0"/>
                <w:sz w:val="24"/>
                <w:szCs w:val="24"/>
                <w:lang w:val="en-US" w:eastAsia="zh-CN"/>
              </w:rPr>
              <w:t xml:space="preserve">年产800万件人发制品项目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实际生产能力</w:t>
            </w:r>
          </w:p>
        </w:tc>
        <w:tc>
          <w:tcPr>
            <w:tcW w:w="6850" w:type="dxa"/>
            <w:gridSpan w:val="5"/>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C00000"/>
                <w:position w:val="0"/>
                <w:sz w:val="24"/>
                <w:szCs w:val="24"/>
              </w:rPr>
            </w:pPr>
            <w:r>
              <w:rPr>
                <w:rFonts w:hint="eastAsia" w:ascii="Times New Roman" w:hAnsi="宋体" w:eastAsia="宋体" w:cs="宋体"/>
                <w:color w:val="auto"/>
                <w:position w:val="0"/>
                <w:sz w:val="24"/>
                <w:szCs w:val="24"/>
                <w:lang w:val="en-US" w:eastAsia="zh-CN"/>
              </w:rPr>
              <w:t xml:space="preserve">年产200万件人发制品项目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893"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建设项目环评时间</w:t>
            </w:r>
          </w:p>
        </w:tc>
        <w:tc>
          <w:tcPr>
            <w:tcW w:w="2308"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lang w:val="en-US" w:eastAsia="zh-CN"/>
              </w:rPr>
            </w:pPr>
            <w:r>
              <w:rPr>
                <w:rFonts w:hint="eastAsia" w:ascii="Times New Roman" w:hAnsi="宋体" w:eastAsia="宋体"/>
                <w:color w:val="auto"/>
                <w:position w:val="0"/>
                <w:sz w:val="24"/>
                <w:szCs w:val="24"/>
                <w:lang w:val="en-US" w:eastAsia="zh-CN"/>
              </w:rPr>
              <w:t>2020.7</w:t>
            </w:r>
          </w:p>
        </w:tc>
        <w:tc>
          <w:tcPr>
            <w:tcW w:w="2220"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开工建设时间</w:t>
            </w:r>
          </w:p>
        </w:tc>
        <w:tc>
          <w:tcPr>
            <w:tcW w:w="2322" w:type="dxa"/>
            <w:gridSpan w:val="3"/>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lang w:val="en-US" w:eastAsia="zh-CN"/>
              </w:rPr>
            </w:pPr>
            <w:r>
              <w:rPr>
                <w:rFonts w:hint="eastAsia" w:ascii="Times New Roman" w:hAnsi="宋体" w:eastAsia="宋体"/>
                <w:color w:val="auto"/>
                <w:position w:val="0"/>
                <w:sz w:val="24"/>
                <w:szCs w:val="24"/>
                <w:lang w:val="en-US" w:eastAsia="zh-CN"/>
              </w:rPr>
              <w:t>2021.5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调试时间</w:t>
            </w:r>
          </w:p>
        </w:tc>
        <w:tc>
          <w:tcPr>
            <w:tcW w:w="2308"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lang w:val="en-US" w:eastAsia="zh-CN"/>
              </w:rPr>
            </w:pPr>
            <w:r>
              <w:rPr>
                <w:rFonts w:hint="eastAsia" w:ascii="Times New Roman" w:hAnsi="宋体" w:eastAsia="宋体"/>
                <w:color w:val="auto"/>
                <w:position w:val="0"/>
                <w:sz w:val="24"/>
                <w:szCs w:val="24"/>
                <w:lang w:val="en-US" w:eastAsia="zh-CN"/>
              </w:rPr>
              <w:t>2021.7</w:t>
            </w:r>
          </w:p>
        </w:tc>
        <w:tc>
          <w:tcPr>
            <w:tcW w:w="2220"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验收现场监测时间</w:t>
            </w:r>
          </w:p>
        </w:tc>
        <w:tc>
          <w:tcPr>
            <w:tcW w:w="2322" w:type="dxa"/>
            <w:gridSpan w:val="3"/>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lang w:val="en-US" w:eastAsia="zh-CN"/>
              </w:rPr>
            </w:pPr>
            <w:r>
              <w:rPr>
                <w:rFonts w:hint="eastAsia" w:ascii="Times New Roman" w:hAnsi="宋体" w:eastAsia="宋体"/>
                <w:color w:val="auto"/>
                <w:position w:val="0"/>
                <w:sz w:val="24"/>
                <w:szCs w:val="24"/>
                <w:lang w:val="en-US" w:eastAsia="zh-CN"/>
              </w:rPr>
              <w:t>2021.7.13-7.14</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环评报告表</w:t>
            </w: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审批部门</w:t>
            </w:r>
          </w:p>
        </w:tc>
        <w:tc>
          <w:tcPr>
            <w:tcW w:w="2308"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lang w:val="en-US" w:eastAsia="zh-CN"/>
              </w:rPr>
            </w:pPr>
            <w:r>
              <w:rPr>
                <w:rFonts w:hint="default" w:ascii="Times New Roman" w:hAnsi="Times New Roman" w:cs="Times New Roman"/>
                <w:color w:val="auto"/>
                <w:spacing w:val="-6"/>
                <w:sz w:val="24"/>
                <w:szCs w:val="24"/>
                <w:lang w:val="en-US" w:eastAsia="zh-CN"/>
              </w:rPr>
              <w:t>鄄城县</w:t>
            </w:r>
            <w:r>
              <w:rPr>
                <w:rFonts w:hint="eastAsia" w:ascii="Times New Roman" w:hAnsi="Times New Roman" w:cs="Times New Roman"/>
                <w:color w:val="auto"/>
                <w:spacing w:val="-6"/>
                <w:sz w:val="24"/>
                <w:szCs w:val="24"/>
                <w:lang w:val="en-US" w:eastAsia="zh-CN"/>
              </w:rPr>
              <w:t>审批服务局</w:t>
            </w:r>
          </w:p>
        </w:tc>
        <w:tc>
          <w:tcPr>
            <w:tcW w:w="2220"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环评报告表</w:t>
            </w: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编制单位</w:t>
            </w:r>
          </w:p>
        </w:tc>
        <w:tc>
          <w:tcPr>
            <w:tcW w:w="2322" w:type="dxa"/>
            <w:gridSpan w:val="3"/>
            <w:vAlign w:val="center"/>
          </w:tcPr>
          <w:p>
            <w:pPr>
              <w:pageBreakBefore w:val="0"/>
              <w:numPr>
                <w:ilvl w:val="0"/>
                <w:numId w:val="0"/>
              </w:numPr>
              <w:autoSpaceDE/>
              <w:autoSpaceDN/>
              <w:bidi w:val="0"/>
              <w:snapToGrid/>
              <w:spacing w:before="0" w:after="0" w:line="360" w:lineRule="auto"/>
              <w:ind w:right="0" w:firstLine="0"/>
              <w:jc w:val="both"/>
              <w:rPr>
                <w:rFonts w:hint="default" w:ascii="Times New Roman" w:hAnsi="宋体" w:eastAsia="宋体"/>
                <w:color w:val="auto"/>
                <w:position w:val="0"/>
                <w:sz w:val="24"/>
                <w:szCs w:val="24"/>
                <w:lang w:val="en-US" w:eastAsia="zh-CN"/>
              </w:rPr>
            </w:pPr>
            <w:r>
              <w:rPr>
                <w:rFonts w:hint="eastAsia" w:ascii="Times New Roman" w:hAnsi="宋体" w:eastAsia="宋体"/>
                <w:color w:val="auto"/>
                <w:position w:val="0"/>
                <w:sz w:val="24"/>
                <w:szCs w:val="24"/>
                <w:lang w:val="en-US" w:eastAsia="zh-CN"/>
              </w:rPr>
              <w:t>山东省宏略环保科技有限公司</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38"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环保设施设计单位</w:t>
            </w:r>
          </w:p>
        </w:tc>
        <w:tc>
          <w:tcPr>
            <w:tcW w:w="2308" w:type="dxa"/>
            <w:shd w:val="clear" w:color="auto" w:fill="auto"/>
            <w:vAlign w:val="center"/>
          </w:tcPr>
          <w:p>
            <w:pPr>
              <w:pageBreakBefore w:val="0"/>
              <w:numPr>
                <w:ilvl w:val="0"/>
                <w:numId w:val="0"/>
              </w:numPr>
              <w:autoSpaceDE/>
              <w:autoSpaceDN/>
              <w:bidi w:val="0"/>
              <w:snapToGrid/>
              <w:spacing w:before="0" w:after="0" w:line="360" w:lineRule="auto"/>
              <w:ind w:right="0" w:firstLine="0"/>
              <w:jc w:val="center"/>
              <w:rPr>
                <w:rFonts w:hint="eastAsia" w:ascii="Times New Roman" w:hAnsi="宋体" w:eastAsia="宋体"/>
                <w:color w:val="auto"/>
                <w:position w:val="0"/>
                <w:sz w:val="24"/>
                <w:szCs w:val="24"/>
                <w:lang w:eastAsia="zh-CN"/>
              </w:rPr>
            </w:pPr>
            <w:r>
              <w:rPr>
                <w:rFonts w:hint="eastAsia" w:ascii="Times New Roman" w:hAnsi="宋体" w:eastAsia="宋体"/>
                <w:color w:val="auto"/>
                <w:position w:val="0"/>
                <w:sz w:val="24"/>
                <w:szCs w:val="24"/>
                <w:lang w:val="en-US" w:eastAsia="zh-CN"/>
              </w:rPr>
              <w:t>/</w:t>
            </w:r>
          </w:p>
        </w:tc>
        <w:tc>
          <w:tcPr>
            <w:tcW w:w="2220"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环保设施施工单位</w:t>
            </w:r>
          </w:p>
        </w:tc>
        <w:tc>
          <w:tcPr>
            <w:tcW w:w="2322" w:type="dxa"/>
            <w:gridSpan w:val="3"/>
            <w:vAlign w:val="center"/>
          </w:tcPr>
          <w:p>
            <w:pPr>
              <w:pageBreakBefore w:val="0"/>
              <w:numPr>
                <w:ilvl w:val="0"/>
                <w:numId w:val="0"/>
              </w:numPr>
              <w:autoSpaceDE/>
              <w:autoSpaceDN/>
              <w:bidi w:val="0"/>
              <w:snapToGrid/>
              <w:spacing w:before="0" w:after="0" w:line="360" w:lineRule="auto"/>
              <w:ind w:right="0" w:firstLine="0"/>
              <w:jc w:val="center"/>
              <w:rPr>
                <w:rFonts w:hint="eastAsia" w:ascii="Times New Roman" w:hAnsi="宋体" w:eastAsia="宋体"/>
                <w:color w:val="auto"/>
                <w:position w:val="0"/>
                <w:sz w:val="24"/>
                <w:szCs w:val="24"/>
                <w:lang w:eastAsia="zh-CN"/>
              </w:rPr>
            </w:pPr>
            <w:r>
              <w:rPr>
                <w:rFonts w:hint="eastAsia" w:ascii="Times New Roman" w:hAnsi="宋体" w:eastAsia="宋体"/>
                <w:color w:val="auto"/>
                <w:position w:val="0"/>
                <w:sz w:val="24"/>
                <w:szCs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投资总概算</w:t>
            </w:r>
          </w:p>
        </w:tc>
        <w:tc>
          <w:tcPr>
            <w:tcW w:w="2308"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eastAsia" w:ascii="Times New Roman" w:hAnsi="宋体" w:eastAsia="宋体"/>
                <w:color w:val="auto"/>
                <w:position w:val="0"/>
                <w:sz w:val="24"/>
                <w:szCs w:val="24"/>
                <w:lang w:val="en-US" w:eastAsia="zh-CN"/>
              </w:rPr>
              <w:t>1200</w:t>
            </w:r>
            <w:r>
              <w:rPr>
                <w:rFonts w:hint="default" w:ascii="Times New Roman" w:hAnsi="宋体" w:eastAsia="宋体"/>
                <w:color w:val="auto"/>
                <w:position w:val="0"/>
                <w:sz w:val="24"/>
                <w:szCs w:val="24"/>
              </w:rPr>
              <w:t>万</w:t>
            </w:r>
          </w:p>
        </w:tc>
        <w:tc>
          <w:tcPr>
            <w:tcW w:w="2220"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环保投资总概算</w:t>
            </w:r>
          </w:p>
        </w:tc>
        <w:tc>
          <w:tcPr>
            <w:tcW w:w="825"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eastAsia" w:ascii="Times New Roman" w:hAnsi="宋体" w:eastAsia="宋体"/>
                <w:color w:val="auto"/>
                <w:position w:val="0"/>
                <w:sz w:val="24"/>
                <w:szCs w:val="24"/>
                <w:lang w:val="en-US" w:eastAsia="zh-CN"/>
              </w:rPr>
              <w:t>120</w:t>
            </w:r>
            <w:r>
              <w:rPr>
                <w:rFonts w:hint="default" w:ascii="Times New Roman" w:hAnsi="宋体" w:eastAsia="宋体"/>
                <w:color w:val="auto"/>
                <w:position w:val="0"/>
                <w:sz w:val="24"/>
                <w:szCs w:val="24"/>
              </w:rPr>
              <w:t>万</w:t>
            </w:r>
          </w:p>
        </w:tc>
        <w:tc>
          <w:tcPr>
            <w:tcW w:w="679" w:type="dxa"/>
            <w:vAlign w:val="center"/>
          </w:tcPr>
          <w:p>
            <w:pPr>
              <w:pageBreakBefore w:val="0"/>
              <w:numPr>
                <w:ilvl w:val="0"/>
                <w:numId w:val="0"/>
              </w:numPr>
              <w:autoSpaceDE/>
              <w:autoSpaceDN/>
              <w:bidi w:val="0"/>
              <w:snapToGrid/>
              <w:spacing w:before="0" w:after="0" w:line="360" w:lineRule="auto"/>
              <w:ind w:right="0" w:firstLine="0"/>
              <w:jc w:val="center"/>
              <w:rPr>
                <w:rFonts w:hint="eastAsia" w:ascii="Times New Roman" w:hAnsi="宋体" w:eastAsia="宋体"/>
                <w:color w:val="auto"/>
                <w:position w:val="0"/>
                <w:sz w:val="24"/>
                <w:szCs w:val="24"/>
                <w:lang w:val="en-US" w:eastAsia="zh-CN"/>
              </w:rPr>
            </w:pPr>
            <w:r>
              <w:rPr>
                <w:rFonts w:hint="default" w:ascii="Times New Roman" w:hAnsi="宋体" w:eastAsia="宋体"/>
                <w:color w:val="000000" w:themeColor="text1"/>
                <w:position w:val="0"/>
                <w:sz w:val="24"/>
                <w:szCs w:val="24"/>
                <w14:textFill>
                  <w14:solidFill>
                    <w14:schemeClr w14:val="tx1"/>
                  </w14:solidFill>
                </w14:textFill>
              </w:rPr>
              <w:t>比例</w:t>
            </w:r>
          </w:p>
        </w:tc>
        <w:tc>
          <w:tcPr>
            <w:tcW w:w="818"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lang w:val="en-US" w:eastAsia="zh-CN"/>
              </w:rPr>
            </w:pPr>
            <w:r>
              <w:rPr>
                <w:rFonts w:hint="eastAsia" w:ascii="Times New Roman" w:hAnsi="宋体" w:eastAsia="宋体"/>
                <w:color w:val="auto"/>
                <w:position w:val="0"/>
                <w:sz w:val="24"/>
                <w:szCs w:val="24"/>
                <w:lang w:val="en-US" w:eastAsia="zh-CN"/>
              </w:rPr>
              <w:t xml:space="preserve"> 10%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000000" w:themeColor="text1"/>
                <w:position w:val="0"/>
                <w:sz w:val="24"/>
                <w:szCs w:val="24"/>
                <w14:textFill>
                  <w14:solidFill>
                    <w14:schemeClr w14:val="tx1"/>
                  </w14:solidFill>
                </w14:textFill>
              </w:rPr>
            </w:pPr>
            <w:r>
              <w:rPr>
                <w:rFonts w:hint="default" w:ascii="Times New Roman" w:hAnsi="宋体" w:eastAsia="宋体"/>
                <w:color w:val="000000" w:themeColor="text1"/>
                <w:position w:val="0"/>
                <w:sz w:val="24"/>
                <w:szCs w:val="24"/>
                <w14:textFill>
                  <w14:solidFill>
                    <w14:schemeClr w14:val="tx1"/>
                  </w14:solidFill>
                </w14:textFill>
              </w:rPr>
              <w:t>实际总概算</w:t>
            </w:r>
          </w:p>
        </w:tc>
        <w:tc>
          <w:tcPr>
            <w:tcW w:w="2308"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000000" w:themeColor="text1"/>
                <w:position w:val="0"/>
                <w:sz w:val="24"/>
                <w:szCs w:val="24"/>
                <w14:textFill>
                  <w14:solidFill>
                    <w14:schemeClr w14:val="tx1"/>
                  </w14:solidFill>
                </w14:textFill>
              </w:rPr>
            </w:pPr>
            <w:r>
              <w:rPr>
                <w:rFonts w:hint="eastAsia" w:ascii="Times New Roman" w:hAnsi="宋体" w:eastAsia="宋体"/>
                <w:color w:val="000000" w:themeColor="text1"/>
                <w:position w:val="0"/>
                <w:sz w:val="24"/>
                <w:szCs w:val="24"/>
                <w:lang w:val="en-US" w:eastAsia="zh-CN"/>
                <w14:textFill>
                  <w14:solidFill>
                    <w14:schemeClr w14:val="tx1"/>
                  </w14:solidFill>
                </w14:textFill>
              </w:rPr>
              <w:t>200</w:t>
            </w:r>
            <w:r>
              <w:rPr>
                <w:rFonts w:hint="default" w:ascii="Times New Roman" w:hAnsi="宋体" w:eastAsia="宋体"/>
                <w:color w:val="000000" w:themeColor="text1"/>
                <w:position w:val="0"/>
                <w:sz w:val="24"/>
                <w:szCs w:val="24"/>
                <w14:textFill>
                  <w14:solidFill>
                    <w14:schemeClr w14:val="tx1"/>
                  </w14:solidFill>
                </w14:textFill>
              </w:rPr>
              <w:t>万</w:t>
            </w:r>
          </w:p>
        </w:tc>
        <w:tc>
          <w:tcPr>
            <w:tcW w:w="2220"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000000" w:themeColor="text1"/>
                <w:position w:val="0"/>
                <w:sz w:val="24"/>
                <w:szCs w:val="24"/>
                <w14:textFill>
                  <w14:solidFill>
                    <w14:schemeClr w14:val="tx1"/>
                  </w14:solidFill>
                </w14:textFill>
              </w:rPr>
            </w:pPr>
            <w:r>
              <w:rPr>
                <w:rFonts w:hint="default" w:ascii="Times New Roman" w:hAnsi="宋体" w:eastAsia="宋体"/>
                <w:color w:val="000000" w:themeColor="text1"/>
                <w:position w:val="0"/>
                <w:sz w:val="24"/>
                <w:szCs w:val="24"/>
                <w14:textFill>
                  <w14:solidFill>
                    <w14:schemeClr w14:val="tx1"/>
                  </w14:solidFill>
                </w14:textFill>
              </w:rPr>
              <w:t>环保投资</w:t>
            </w:r>
          </w:p>
        </w:tc>
        <w:tc>
          <w:tcPr>
            <w:tcW w:w="825"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000000" w:themeColor="text1"/>
                <w:position w:val="0"/>
                <w:sz w:val="24"/>
                <w:szCs w:val="24"/>
                <w14:textFill>
                  <w14:solidFill>
                    <w14:schemeClr w14:val="tx1"/>
                  </w14:solidFill>
                </w14:textFill>
              </w:rPr>
            </w:pPr>
            <w:r>
              <w:rPr>
                <w:rFonts w:hint="eastAsia" w:ascii="Times New Roman" w:hAnsi="宋体" w:eastAsia="宋体"/>
                <w:color w:val="000000" w:themeColor="text1"/>
                <w:position w:val="0"/>
                <w:sz w:val="24"/>
                <w:szCs w:val="24"/>
                <w:lang w:val="en-US" w:eastAsia="zh-CN"/>
                <w14:textFill>
                  <w14:solidFill>
                    <w14:schemeClr w14:val="tx1"/>
                  </w14:solidFill>
                </w14:textFill>
              </w:rPr>
              <w:t>20</w:t>
            </w:r>
            <w:r>
              <w:rPr>
                <w:rFonts w:hint="default" w:ascii="Times New Roman" w:hAnsi="宋体" w:eastAsia="宋体"/>
                <w:color w:val="000000" w:themeColor="text1"/>
                <w:position w:val="0"/>
                <w:sz w:val="24"/>
                <w:szCs w:val="24"/>
                <w14:textFill>
                  <w14:solidFill>
                    <w14:schemeClr w14:val="tx1"/>
                  </w14:solidFill>
                </w14:textFill>
              </w:rPr>
              <w:t>万</w:t>
            </w:r>
          </w:p>
        </w:tc>
        <w:tc>
          <w:tcPr>
            <w:tcW w:w="679"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000000" w:themeColor="text1"/>
                <w:position w:val="0"/>
                <w:sz w:val="24"/>
                <w:szCs w:val="24"/>
                <w14:textFill>
                  <w14:solidFill>
                    <w14:schemeClr w14:val="tx1"/>
                  </w14:solidFill>
                </w14:textFill>
              </w:rPr>
            </w:pPr>
            <w:r>
              <w:rPr>
                <w:rFonts w:hint="default" w:ascii="Times New Roman" w:hAnsi="宋体" w:eastAsia="宋体"/>
                <w:color w:val="000000" w:themeColor="text1"/>
                <w:position w:val="0"/>
                <w:sz w:val="24"/>
                <w:szCs w:val="24"/>
                <w14:textFill>
                  <w14:solidFill>
                    <w14:schemeClr w14:val="tx1"/>
                  </w14:solidFill>
                </w14:textFill>
              </w:rPr>
              <w:t>比例</w:t>
            </w:r>
          </w:p>
        </w:tc>
        <w:tc>
          <w:tcPr>
            <w:tcW w:w="818" w:type="dxa"/>
            <w:vAlign w:val="center"/>
          </w:tcPr>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000000" w:themeColor="text1"/>
                <w:position w:val="0"/>
                <w:sz w:val="24"/>
                <w:szCs w:val="24"/>
                <w14:textFill>
                  <w14:solidFill>
                    <w14:schemeClr w14:val="tx1"/>
                  </w14:solidFill>
                </w14:textFill>
              </w:rPr>
            </w:pPr>
            <w:r>
              <w:rPr>
                <w:rFonts w:hint="eastAsia" w:ascii="Times New Roman" w:hAnsi="宋体" w:eastAsia="宋体"/>
                <w:color w:val="000000" w:themeColor="text1"/>
                <w:position w:val="0"/>
                <w:sz w:val="24"/>
                <w:szCs w:val="24"/>
                <w:lang w:val="en-US" w:eastAsia="zh-CN"/>
                <w14:textFill>
                  <w14:solidFill>
                    <w14:schemeClr w14:val="tx1"/>
                  </w14:solidFill>
                </w14:textFill>
              </w:rPr>
              <w:t>10</w:t>
            </w:r>
            <w:r>
              <w:rPr>
                <w:rFonts w:hint="default" w:ascii="Times New Roman" w:hAnsi="宋体" w:eastAsia="宋体"/>
                <w:color w:val="000000" w:themeColor="text1"/>
                <w:position w:val="0"/>
                <w:sz w:val="24"/>
                <w:szCs w:val="24"/>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both"/>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验收监测依据</w:t>
            </w: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p>
        </w:tc>
        <w:tc>
          <w:tcPr>
            <w:tcW w:w="6850" w:type="dxa"/>
            <w:gridSpan w:val="5"/>
            <w:vAlign w:val="center"/>
          </w:tcPr>
          <w:p>
            <w:pPr>
              <w:pageBreakBefore w:val="0"/>
              <w:numPr>
                <w:ilvl w:val="0"/>
                <w:numId w:val="0"/>
              </w:numPr>
              <w:autoSpaceDE/>
              <w:autoSpaceDN/>
              <w:bidi w:val="0"/>
              <w:snapToGrid/>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（1）国务院令（2017）第682号《国务院关于修改《建设项目环境保护管理条例》的决定》（2017.10）；</w:t>
            </w:r>
          </w:p>
          <w:p>
            <w:pPr>
              <w:pageBreakBefore w:val="0"/>
              <w:numPr>
                <w:ilvl w:val="0"/>
                <w:numId w:val="0"/>
              </w:numPr>
              <w:autoSpaceDE/>
              <w:autoSpaceDN/>
              <w:bidi w:val="0"/>
              <w:snapToGrid/>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（2）国环规环评[2017]4号《建设项目竣工环境保护验收暂行办法》（2017.11）；</w:t>
            </w:r>
          </w:p>
          <w:p>
            <w:pPr>
              <w:pageBreakBefore w:val="0"/>
              <w:numPr>
                <w:ilvl w:val="0"/>
                <w:numId w:val="0"/>
              </w:numPr>
              <w:autoSpaceDE/>
              <w:autoSpaceDN/>
              <w:bidi w:val="0"/>
              <w:snapToGrid/>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（3）《建设项目竣工环境保护验收技术指南 污染影响类》；</w:t>
            </w:r>
          </w:p>
          <w:p>
            <w:pPr>
              <w:pageBreakBefore w:val="0"/>
              <w:numPr>
                <w:ilvl w:val="0"/>
                <w:numId w:val="0"/>
              </w:numPr>
              <w:autoSpaceDE/>
              <w:autoSpaceDN/>
              <w:bidi w:val="0"/>
              <w:snapToGrid/>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（4）《</w:t>
            </w:r>
            <w:r>
              <w:rPr>
                <w:rFonts w:hint="eastAsia" w:ascii="宋体" w:hAnsi="宋体" w:eastAsia="宋体"/>
                <w:color w:val="auto"/>
                <w:position w:val="0"/>
                <w:sz w:val="24"/>
                <w:szCs w:val="24"/>
                <w:lang w:val="en-US" w:eastAsia="zh-CN"/>
              </w:rPr>
              <w:t>鄄城龙欣宝典发制品有限公司</w:t>
            </w:r>
            <w:r>
              <w:rPr>
                <w:rFonts w:hint="eastAsia" w:ascii="Times New Roman" w:hAnsi="宋体" w:eastAsia="宋体" w:cs="宋体"/>
                <w:color w:val="auto"/>
                <w:position w:val="0"/>
                <w:sz w:val="24"/>
                <w:szCs w:val="24"/>
                <w:lang w:val="en-US" w:eastAsia="zh-CN"/>
              </w:rPr>
              <w:t>年产800万件人发制品项目</w:t>
            </w:r>
            <w:r>
              <w:rPr>
                <w:rFonts w:hint="default" w:ascii="Times New Roman" w:hAnsi="宋体" w:eastAsia="宋体"/>
                <w:color w:val="auto"/>
                <w:position w:val="0"/>
                <w:sz w:val="24"/>
                <w:szCs w:val="24"/>
              </w:rPr>
              <w:t>境影响报告表》（20</w:t>
            </w:r>
            <w:r>
              <w:rPr>
                <w:rFonts w:hint="eastAsia" w:ascii="Times New Roman" w:hAnsi="宋体" w:eastAsia="宋体"/>
                <w:color w:val="auto"/>
                <w:position w:val="0"/>
                <w:sz w:val="24"/>
                <w:szCs w:val="24"/>
                <w:lang w:val="en-US" w:eastAsia="zh-CN"/>
              </w:rPr>
              <w:t>20.7</w:t>
            </w:r>
            <w:r>
              <w:rPr>
                <w:rFonts w:hint="default" w:ascii="Times New Roman" w:hAnsi="宋体" w:eastAsia="宋体"/>
                <w:color w:val="auto"/>
                <w:position w:val="0"/>
                <w:sz w:val="24"/>
                <w:szCs w:val="24"/>
              </w:rPr>
              <w:t>）；</w:t>
            </w:r>
          </w:p>
          <w:p>
            <w:pPr>
              <w:pageBreakBefore w:val="0"/>
              <w:numPr>
                <w:ilvl w:val="0"/>
                <w:numId w:val="0"/>
              </w:numPr>
              <w:autoSpaceDE/>
              <w:autoSpaceDN/>
              <w:bidi w:val="0"/>
              <w:snapToGrid/>
              <w:spacing w:before="0" w:after="0" w:line="360" w:lineRule="auto"/>
              <w:ind w:right="0" w:firstLine="480"/>
              <w:jc w:val="left"/>
              <w:rPr>
                <w:rFonts w:hint="default" w:ascii="宋体" w:hAnsi="宋体" w:eastAsia="宋体"/>
                <w:color w:val="auto"/>
                <w:position w:val="0"/>
                <w:sz w:val="20"/>
                <w:szCs w:val="20"/>
              </w:rPr>
            </w:pPr>
            <w:r>
              <w:rPr>
                <w:rFonts w:hint="default" w:ascii="Times New Roman" w:hAnsi="宋体" w:eastAsia="宋体"/>
                <w:color w:val="auto"/>
                <w:position w:val="0"/>
                <w:sz w:val="24"/>
                <w:szCs w:val="24"/>
              </w:rPr>
              <w:t>（5）《</w:t>
            </w:r>
            <w:r>
              <w:rPr>
                <w:rFonts w:hint="eastAsia" w:ascii="宋体" w:hAnsi="宋体" w:eastAsia="宋体"/>
                <w:color w:val="auto"/>
                <w:position w:val="0"/>
                <w:sz w:val="24"/>
                <w:szCs w:val="24"/>
                <w:lang w:val="en-US" w:eastAsia="zh-CN"/>
              </w:rPr>
              <w:t>鄄城龙欣宝典发制品有限公司</w:t>
            </w:r>
            <w:r>
              <w:rPr>
                <w:rFonts w:hint="eastAsia" w:ascii="Times New Roman" w:hAnsi="宋体" w:eastAsia="宋体" w:cs="宋体"/>
                <w:color w:val="auto"/>
                <w:position w:val="0"/>
                <w:sz w:val="24"/>
                <w:szCs w:val="24"/>
                <w:lang w:val="en-US" w:eastAsia="zh-CN"/>
              </w:rPr>
              <w:t xml:space="preserve">年产800万件人发制品项目 </w:t>
            </w:r>
            <w:r>
              <w:rPr>
                <w:rFonts w:hint="default" w:ascii="Times New Roman" w:hAnsi="宋体" w:eastAsia="宋体"/>
                <w:color w:val="auto"/>
                <w:position w:val="0"/>
                <w:sz w:val="24"/>
                <w:szCs w:val="24"/>
              </w:rPr>
              <w:t>环境影响报告表的批复》（</w:t>
            </w:r>
            <w:r>
              <w:rPr>
                <w:rFonts w:hint="eastAsia" w:ascii="宋体" w:hAnsi="宋体" w:eastAsia="宋体"/>
                <w:color w:val="000000"/>
                <w:sz w:val="21"/>
                <w:szCs w:val="21"/>
                <w:lang w:val="en-US" w:eastAsia="zh-CN"/>
              </w:rPr>
              <w:t>鄄行审社［2020］1号</w:t>
            </w:r>
            <w:r>
              <w:rPr>
                <w:rFonts w:hint="default" w:ascii="Times New Roman" w:hAnsi="宋体" w:eastAsia="宋体"/>
                <w:color w:val="auto"/>
                <w:position w:val="0"/>
                <w:sz w:val="24"/>
                <w:szCs w:val="24"/>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3605" w:hRule="atLeast"/>
          <w:jc w:val="center"/>
        </w:trPr>
        <w:tc>
          <w:tcPr>
            <w:tcW w:w="1672" w:type="dxa"/>
            <w:vAlign w:val="center"/>
          </w:tcPr>
          <w:p>
            <w:pPr>
              <w:pageBreakBefore w:val="0"/>
              <w:numPr>
                <w:ilvl w:val="0"/>
                <w:numId w:val="0"/>
              </w:numPr>
              <w:autoSpaceDE/>
              <w:autoSpaceDN/>
              <w:bidi w:val="0"/>
              <w:snapToGrid/>
              <w:spacing w:before="0" w:after="0" w:line="360" w:lineRule="auto"/>
              <w:ind w:right="0" w:firstLine="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验收监测评价标准、标号、级别、限值</w:t>
            </w:r>
          </w:p>
        </w:tc>
        <w:tc>
          <w:tcPr>
            <w:tcW w:w="6850" w:type="dxa"/>
            <w:gridSpan w:val="5"/>
            <w:vAlign w:val="top"/>
          </w:tcPr>
          <w:p>
            <w:pPr>
              <w:pageBreakBefore w:val="0"/>
              <w:numPr>
                <w:ilvl w:val="0"/>
                <w:numId w:val="0"/>
              </w:numPr>
              <w:autoSpaceDE/>
              <w:autoSpaceDN/>
              <w:bidi w:val="0"/>
              <w:snapToGrid/>
              <w:spacing w:before="0" w:after="0" w:line="360" w:lineRule="auto"/>
              <w:ind w:right="0" w:firstLine="482"/>
              <w:jc w:val="both"/>
              <w:outlineLvl w:val="2"/>
              <w:rPr>
                <w:rFonts w:hint="default"/>
              </w:rPr>
            </w:pPr>
            <w:bookmarkStart w:id="4" w:name="_Toc5054"/>
            <w:bookmarkStart w:id="5" w:name="_Toc23338"/>
            <w:bookmarkStart w:id="6" w:name="_Toc20644"/>
            <w:r>
              <w:rPr>
                <w:rFonts w:hint="default"/>
              </w:rPr>
              <w:t>1、废气</w:t>
            </w:r>
            <w:bookmarkEnd w:id="4"/>
            <w:bookmarkEnd w:id="5"/>
            <w:bookmarkEnd w:id="6"/>
          </w:p>
          <w:p>
            <w:pPr>
              <w:widowControl/>
              <w:spacing w:line="360" w:lineRule="auto"/>
              <w:ind w:firstLine="440" w:firstLineChars="200"/>
              <w:jc w:val="left"/>
              <w:rPr>
                <w:rFonts w:hint="eastAsia"/>
              </w:rPr>
            </w:pPr>
            <w:r>
              <w:rPr>
                <w:rFonts w:hint="default"/>
              </w:rPr>
              <w:t>有组织</w:t>
            </w:r>
            <w:r>
              <w:rPr>
                <w:rFonts w:hint="eastAsia"/>
                <w:lang w:val="en-US" w:eastAsia="zh-CN"/>
              </w:rPr>
              <w:t>硫酸雾执行《大气污染物综合排放标准》（GB16297-1996）表2中二级标准要求</w:t>
            </w:r>
            <w:r>
              <w:rPr>
                <w:rFonts w:hint="eastAsia"/>
              </w:rPr>
              <w:t>。</w:t>
            </w:r>
          </w:p>
          <w:tbl>
            <w:tblPr>
              <w:tblStyle w:val="39"/>
              <w:tblW w:w="6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236"/>
              <w:gridCol w:w="1204"/>
              <w:gridCol w:w="963"/>
              <w:gridCol w:w="2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37" w:type="dxa"/>
                  <w:shd w:val="clear" w:color="auto" w:fill="auto"/>
                  <w:vAlign w:val="center"/>
                </w:tcPr>
                <w:p>
                  <w:pPr>
                    <w:spacing w:line="240" w:lineRule="auto"/>
                    <w:jc w:val="center"/>
                    <w:rPr>
                      <w:rFonts w:hint="eastAsia"/>
                    </w:rPr>
                  </w:pPr>
                  <w:r>
                    <w:rPr>
                      <w:rFonts w:hint="eastAsia"/>
                    </w:rPr>
                    <w:t>污染物</w:t>
                  </w:r>
                </w:p>
              </w:tc>
              <w:tc>
                <w:tcPr>
                  <w:tcW w:w="1236" w:type="dxa"/>
                  <w:shd w:val="clear" w:color="auto" w:fill="auto"/>
                  <w:vAlign w:val="center"/>
                </w:tcPr>
                <w:p>
                  <w:pPr>
                    <w:spacing w:line="240" w:lineRule="auto"/>
                    <w:jc w:val="center"/>
                    <w:rPr>
                      <w:rFonts w:hint="eastAsia"/>
                    </w:rPr>
                  </w:pPr>
                  <w:r>
                    <w:rPr>
                      <w:rFonts w:hint="eastAsia"/>
                    </w:rPr>
                    <w:t>排放浓度（mg/m³）</w:t>
                  </w:r>
                </w:p>
              </w:tc>
              <w:tc>
                <w:tcPr>
                  <w:tcW w:w="1204" w:type="dxa"/>
                  <w:shd w:val="clear" w:color="auto" w:fill="auto"/>
                  <w:vAlign w:val="center"/>
                </w:tcPr>
                <w:p>
                  <w:pPr>
                    <w:spacing w:line="240" w:lineRule="auto"/>
                    <w:jc w:val="center"/>
                    <w:rPr>
                      <w:rFonts w:hint="eastAsia"/>
                    </w:rPr>
                  </w:pPr>
                  <w:r>
                    <w:rPr>
                      <w:rFonts w:hint="eastAsia"/>
                    </w:rPr>
                    <w:t>排放速率（kg/h）</w:t>
                  </w:r>
                </w:p>
              </w:tc>
              <w:tc>
                <w:tcPr>
                  <w:tcW w:w="963" w:type="dxa"/>
                  <w:shd w:val="clear" w:color="auto" w:fill="auto"/>
                  <w:vAlign w:val="center"/>
                </w:tcPr>
                <w:p>
                  <w:pPr>
                    <w:spacing w:line="240" w:lineRule="auto"/>
                    <w:jc w:val="center"/>
                    <w:rPr>
                      <w:rFonts w:hint="eastAsia"/>
                    </w:rPr>
                  </w:pPr>
                  <w:r>
                    <w:rPr>
                      <w:rFonts w:hint="eastAsia"/>
                    </w:rPr>
                    <w:t>排气筒高度（m）</w:t>
                  </w:r>
                </w:p>
              </w:tc>
              <w:tc>
                <w:tcPr>
                  <w:tcW w:w="2394" w:type="dxa"/>
                  <w:shd w:val="clear" w:color="auto" w:fill="auto"/>
                  <w:vAlign w:val="center"/>
                </w:tcPr>
                <w:p>
                  <w:pPr>
                    <w:spacing w:line="240" w:lineRule="auto"/>
                    <w:jc w:val="center"/>
                    <w:rPr>
                      <w:rFonts w:hint="eastAsia"/>
                    </w:rPr>
                  </w:pPr>
                  <w:r>
                    <w:rPr>
                      <w:rFonts w:hint="eastAsia"/>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37" w:type="dxa"/>
                  <w:shd w:val="clear" w:color="auto" w:fill="auto"/>
                  <w:vAlign w:val="center"/>
                </w:tcPr>
                <w:p>
                  <w:pPr>
                    <w:spacing w:line="240" w:lineRule="auto"/>
                    <w:jc w:val="center"/>
                    <w:rPr>
                      <w:rFonts w:hint="eastAsia"/>
                      <w:lang w:eastAsia="zh-CN"/>
                    </w:rPr>
                  </w:pPr>
                  <w:r>
                    <w:rPr>
                      <w:rFonts w:hint="eastAsia"/>
                      <w:lang w:val="en-US" w:eastAsia="zh-CN"/>
                    </w:rPr>
                    <w:t>有</w:t>
                  </w:r>
                  <w:r>
                    <w:rPr>
                      <w:rFonts w:hint="eastAsia"/>
                    </w:rPr>
                    <w:t>组织</w:t>
                  </w:r>
                  <w:r>
                    <w:rPr>
                      <w:rFonts w:hint="eastAsia"/>
                      <w:lang w:val="en-US" w:eastAsia="zh-CN"/>
                    </w:rPr>
                    <w:t>硫酸雾</w:t>
                  </w:r>
                </w:p>
              </w:tc>
              <w:tc>
                <w:tcPr>
                  <w:tcW w:w="1236" w:type="dxa"/>
                  <w:shd w:val="clear" w:color="auto" w:fill="auto"/>
                  <w:vAlign w:val="center"/>
                </w:tcPr>
                <w:p>
                  <w:pPr>
                    <w:spacing w:line="240" w:lineRule="auto"/>
                    <w:jc w:val="center"/>
                    <w:rPr>
                      <w:rFonts w:hint="default"/>
                      <w:lang w:val="en-US" w:eastAsia="zh-CN"/>
                    </w:rPr>
                  </w:pPr>
                  <w:r>
                    <w:rPr>
                      <w:rFonts w:hint="eastAsia"/>
                      <w:lang w:val="en-US" w:eastAsia="zh-CN"/>
                    </w:rPr>
                    <w:t>45</w:t>
                  </w:r>
                </w:p>
              </w:tc>
              <w:tc>
                <w:tcPr>
                  <w:tcW w:w="1204" w:type="dxa"/>
                  <w:shd w:val="clear" w:color="auto" w:fill="auto"/>
                  <w:vAlign w:val="center"/>
                </w:tcPr>
                <w:p>
                  <w:pPr>
                    <w:spacing w:line="240" w:lineRule="auto"/>
                    <w:jc w:val="center"/>
                    <w:rPr>
                      <w:rFonts w:hint="default"/>
                      <w:lang w:val="en-US" w:eastAsia="zh-CN"/>
                    </w:rPr>
                  </w:pPr>
                  <w:r>
                    <w:rPr>
                      <w:rFonts w:hint="eastAsia"/>
                      <w:lang w:val="en-US" w:eastAsia="zh-CN"/>
                    </w:rPr>
                    <w:t>1.5</w:t>
                  </w:r>
                </w:p>
              </w:tc>
              <w:tc>
                <w:tcPr>
                  <w:tcW w:w="963" w:type="dxa"/>
                  <w:shd w:val="clear" w:color="auto" w:fill="auto"/>
                  <w:vAlign w:val="center"/>
                </w:tcPr>
                <w:p>
                  <w:pPr>
                    <w:spacing w:line="240" w:lineRule="auto"/>
                    <w:jc w:val="center"/>
                    <w:rPr>
                      <w:rFonts w:hint="default"/>
                      <w:lang w:val="en-US" w:eastAsia="zh-CN"/>
                    </w:rPr>
                  </w:pPr>
                  <w:r>
                    <w:rPr>
                      <w:rFonts w:hint="eastAsia"/>
                      <w:lang w:val="en-US" w:eastAsia="zh-CN"/>
                    </w:rPr>
                    <w:t>15</w:t>
                  </w:r>
                </w:p>
              </w:tc>
              <w:tc>
                <w:tcPr>
                  <w:tcW w:w="2394" w:type="dxa"/>
                  <w:shd w:val="clear" w:color="auto" w:fill="auto"/>
                  <w:vAlign w:val="center"/>
                </w:tcPr>
                <w:p>
                  <w:pPr>
                    <w:widowControl/>
                    <w:spacing w:line="360" w:lineRule="auto"/>
                    <w:jc w:val="left"/>
                    <w:rPr>
                      <w:rFonts w:hint="eastAsia"/>
                    </w:rPr>
                  </w:pPr>
                  <w:r>
                    <w:rPr>
                      <w:rFonts w:hint="eastAsia"/>
                      <w:lang w:val="en-US" w:eastAsia="zh-CN"/>
                    </w:rPr>
                    <w:t>排放满足《大气污染物综合排放标准》（GB16297-1996）表2中二级标准要求。</w:t>
                  </w:r>
                </w:p>
                <w:p>
                  <w:pPr>
                    <w:spacing w:line="240" w:lineRule="auto"/>
                    <w:jc w:val="center"/>
                    <w:rPr>
                      <w:rFonts w:hint="eastAsia"/>
                    </w:rPr>
                  </w:pPr>
                </w:p>
              </w:tc>
            </w:tr>
          </w:tbl>
          <w:p>
            <w:pPr>
              <w:pageBreakBefore w:val="0"/>
              <w:numPr>
                <w:ilvl w:val="0"/>
                <w:numId w:val="0"/>
              </w:numPr>
              <w:autoSpaceDE/>
              <w:autoSpaceDN/>
              <w:bidi w:val="0"/>
              <w:snapToGrid/>
              <w:spacing w:before="0" w:after="0" w:line="360" w:lineRule="auto"/>
              <w:ind w:right="0" w:firstLine="480"/>
              <w:jc w:val="left"/>
              <w:rPr>
                <w:rFonts w:hint="eastAsia"/>
                <w:lang w:val="en-US" w:eastAsia="zh-CN"/>
              </w:rPr>
            </w:pPr>
            <w:r>
              <w:rPr>
                <w:rFonts w:hint="eastAsia"/>
                <w:lang w:val="en-US" w:eastAsia="zh-CN"/>
              </w:rPr>
              <w:t>有组织氨执行《恶臭污染物排放标准》（GB14554-93）二级新建标准要求。</w:t>
            </w:r>
          </w:p>
          <w:tbl>
            <w:tblPr>
              <w:tblStyle w:val="39"/>
              <w:tblW w:w="6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463"/>
              <w:gridCol w:w="1171"/>
              <w:gridCol w:w="2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017" w:type="dxa"/>
                  <w:shd w:val="clear" w:color="auto" w:fill="auto"/>
                  <w:vAlign w:val="center"/>
                </w:tcPr>
                <w:p>
                  <w:pPr>
                    <w:spacing w:line="240" w:lineRule="auto"/>
                    <w:jc w:val="center"/>
                    <w:rPr>
                      <w:rFonts w:hint="eastAsia"/>
                    </w:rPr>
                  </w:pPr>
                  <w:r>
                    <w:rPr>
                      <w:rFonts w:hint="eastAsia"/>
                    </w:rPr>
                    <w:t>污染物</w:t>
                  </w:r>
                </w:p>
              </w:tc>
              <w:tc>
                <w:tcPr>
                  <w:tcW w:w="1463" w:type="dxa"/>
                  <w:shd w:val="clear" w:color="auto" w:fill="auto"/>
                  <w:vAlign w:val="center"/>
                </w:tcPr>
                <w:p>
                  <w:pPr>
                    <w:spacing w:line="240" w:lineRule="auto"/>
                    <w:jc w:val="center"/>
                    <w:rPr>
                      <w:rFonts w:hint="eastAsia"/>
                    </w:rPr>
                  </w:pPr>
                  <w:r>
                    <w:rPr>
                      <w:rFonts w:hint="eastAsia"/>
                    </w:rPr>
                    <w:t>排放</w:t>
                  </w:r>
                  <w:r>
                    <w:rPr>
                      <w:rFonts w:hint="eastAsia"/>
                      <w:lang w:val="en-US" w:eastAsia="zh-CN"/>
                    </w:rPr>
                    <w:t>量</w:t>
                  </w:r>
                  <w:r>
                    <w:rPr>
                      <w:rFonts w:hint="eastAsia"/>
                    </w:rPr>
                    <w:t>（kg/h）</w:t>
                  </w:r>
                </w:p>
              </w:tc>
              <w:tc>
                <w:tcPr>
                  <w:tcW w:w="1171" w:type="dxa"/>
                  <w:shd w:val="clear" w:color="auto" w:fill="auto"/>
                  <w:vAlign w:val="center"/>
                </w:tcPr>
                <w:p>
                  <w:pPr>
                    <w:spacing w:line="240" w:lineRule="auto"/>
                    <w:jc w:val="center"/>
                    <w:rPr>
                      <w:rFonts w:hint="eastAsia"/>
                    </w:rPr>
                  </w:pPr>
                  <w:r>
                    <w:rPr>
                      <w:rFonts w:hint="eastAsia"/>
                    </w:rPr>
                    <w:t>排气筒高度（m）</w:t>
                  </w:r>
                </w:p>
              </w:tc>
              <w:tc>
                <w:tcPr>
                  <w:tcW w:w="2909" w:type="dxa"/>
                  <w:shd w:val="clear" w:color="auto" w:fill="auto"/>
                  <w:vAlign w:val="center"/>
                </w:tcPr>
                <w:p>
                  <w:pPr>
                    <w:spacing w:line="240" w:lineRule="auto"/>
                    <w:jc w:val="center"/>
                    <w:rPr>
                      <w:rFonts w:hint="eastAsia"/>
                    </w:rPr>
                  </w:pPr>
                  <w:r>
                    <w:rPr>
                      <w:rFonts w:hint="eastAsia"/>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atLeast"/>
              </w:trPr>
              <w:tc>
                <w:tcPr>
                  <w:tcW w:w="1017" w:type="dxa"/>
                  <w:shd w:val="clear" w:color="auto" w:fill="auto"/>
                  <w:vAlign w:val="center"/>
                </w:tcPr>
                <w:p>
                  <w:pPr>
                    <w:spacing w:line="240" w:lineRule="auto"/>
                    <w:jc w:val="center"/>
                    <w:rPr>
                      <w:rFonts w:hint="eastAsia"/>
                      <w:lang w:eastAsia="zh-CN"/>
                    </w:rPr>
                  </w:pPr>
                  <w:r>
                    <w:rPr>
                      <w:rFonts w:hint="eastAsia"/>
                      <w:lang w:val="en-US" w:eastAsia="zh-CN"/>
                    </w:rPr>
                    <w:t>有</w:t>
                  </w:r>
                  <w:r>
                    <w:rPr>
                      <w:rFonts w:hint="eastAsia"/>
                    </w:rPr>
                    <w:t>组织</w:t>
                  </w:r>
                  <w:r>
                    <w:rPr>
                      <w:rFonts w:hint="eastAsia"/>
                      <w:lang w:val="en-US" w:eastAsia="zh-CN"/>
                    </w:rPr>
                    <w:t>氨</w:t>
                  </w:r>
                </w:p>
              </w:tc>
              <w:tc>
                <w:tcPr>
                  <w:tcW w:w="1463" w:type="dxa"/>
                  <w:shd w:val="clear" w:color="auto" w:fill="auto"/>
                  <w:vAlign w:val="center"/>
                </w:tcPr>
                <w:p>
                  <w:pPr>
                    <w:spacing w:line="240" w:lineRule="auto"/>
                    <w:jc w:val="center"/>
                    <w:rPr>
                      <w:rFonts w:hint="default"/>
                      <w:lang w:val="en-US" w:eastAsia="zh-CN"/>
                    </w:rPr>
                  </w:pPr>
                  <w:r>
                    <w:rPr>
                      <w:rFonts w:hint="eastAsia"/>
                      <w:lang w:val="en-US" w:eastAsia="zh-CN"/>
                    </w:rPr>
                    <w:t>4.9</w:t>
                  </w:r>
                </w:p>
              </w:tc>
              <w:tc>
                <w:tcPr>
                  <w:tcW w:w="1171" w:type="dxa"/>
                  <w:shd w:val="clear" w:color="auto" w:fill="auto"/>
                  <w:vAlign w:val="center"/>
                </w:tcPr>
                <w:p>
                  <w:pPr>
                    <w:spacing w:line="240" w:lineRule="auto"/>
                    <w:jc w:val="center"/>
                    <w:rPr>
                      <w:rFonts w:hint="default"/>
                      <w:lang w:val="en-US" w:eastAsia="zh-CN"/>
                    </w:rPr>
                  </w:pPr>
                  <w:r>
                    <w:rPr>
                      <w:rFonts w:hint="eastAsia"/>
                      <w:lang w:val="en-US" w:eastAsia="zh-CN"/>
                    </w:rPr>
                    <w:t>15</w:t>
                  </w:r>
                </w:p>
              </w:tc>
              <w:tc>
                <w:tcPr>
                  <w:tcW w:w="2909" w:type="dxa"/>
                  <w:shd w:val="clear" w:color="auto" w:fill="auto"/>
                  <w:vAlign w:val="center"/>
                </w:tcPr>
                <w:p>
                  <w:pPr>
                    <w:widowControl/>
                    <w:spacing w:line="360" w:lineRule="auto"/>
                    <w:jc w:val="left"/>
                    <w:rPr>
                      <w:rFonts w:hint="eastAsia"/>
                    </w:rPr>
                  </w:pPr>
                  <w:r>
                    <w:rPr>
                      <w:rFonts w:hint="eastAsia"/>
                      <w:lang w:val="en-US" w:eastAsia="zh-CN"/>
                    </w:rPr>
                    <w:t>排放满足《恶臭污染物排放标准》（GB14554-93）二级新建标准要求。</w:t>
                  </w:r>
                </w:p>
                <w:p>
                  <w:pPr>
                    <w:spacing w:line="240" w:lineRule="auto"/>
                    <w:jc w:val="center"/>
                    <w:rPr>
                      <w:rFonts w:hint="eastAsia"/>
                    </w:rPr>
                  </w:pPr>
                </w:p>
              </w:tc>
            </w:tr>
          </w:tbl>
          <w:p>
            <w:pPr>
              <w:pStyle w:val="9"/>
              <w:ind w:left="0" w:leftChars="0" w:firstLine="0" w:firstLineChars="0"/>
              <w:rPr>
                <w:rFonts w:hint="default"/>
                <w:lang w:val="en-US" w:eastAsia="zh-CN"/>
              </w:rPr>
            </w:pPr>
          </w:p>
          <w:p>
            <w:pPr>
              <w:rPr>
                <w:rFonts w:hint="default"/>
                <w:lang w:val="en-US" w:eastAsia="zh-CN"/>
              </w:rPr>
            </w:pPr>
            <w:r>
              <w:rPr>
                <w:rFonts w:hint="eastAsia"/>
                <w:lang w:val="en-US" w:eastAsia="zh-CN"/>
              </w:rPr>
              <w:t xml:space="preserve">   有组织臭气浓度、硫化氢、氨执行</w:t>
            </w:r>
          </w:p>
          <w:p>
            <w:pPr>
              <w:rPr>
                <w:rFonts w:hint="eastAsia"/>
                <w:lang w:val="en-US" w:eastAsia="zh-CN"/>
              </w:rPr>
            </w:pPr>
            <w:r>
              <w:rPr>
                <w:rFonts w:hint="eastAsia"/>
                <w:lang w:val="en-US" w:eastAsia="zh-CN"/>
              </w:rPr>
              <w:t>《恶臭污染物排放标准》（GB14554-93）二级新建标准要求。</w:t>
            </w:r>
          </w:p>
          <w:p>
            <w:pPr>
              <w:pStyle w:val="2"/>
              <w:rPr>
                <w:rFonts w:hint="eastAsia"/>
                <w:lang w:val="en-US" w:eastAsia="zh-CN"/>
              </w:rPr>
            </w:pPr>
          </w:p>
          <w:tbl>
            <w:tblPr>
              <w:tblStyle w:val="39"/>
              <w:tblW w:w="6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463"/>
              <w:gridCol w:w="1171"/>
              <w:gridCol w:w="2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017" w:type="dxa"/>
                  <w:shd w:val="clear" w:color="auto" w:fill="auto"/>
                  <w:vAlign w:val="center"/>
                </w:tcPr>
                <w:p>
                  <w:pPr>
                    <w:spacing w:line="240" w:lineRule="auto"/>
                    <w:jc w:val="center"/>
                    <w:rPr>
                      <w:rFonts w:hint="eastAsia"/>
                    </w:rPr>
                  </w:pPr>
                  <w:r>
                    <w:rPr>
                      <w:rFonts w:hint="eastAsia"/>
                    </w:rPr>
                    <w:t>污染物</w:t>
                  </w:r>
                </w:p>
              </w:tc>
              <w:tc>
                <w:tcPr>
                  <w:tcW w:w="1463" w:type="dxa"/>
                  <w:shd w:val="clear" w:color="auto" w:fill="auto"/>
                  <w:vAlign w:val="center"/>
                </w:tcPr>
                <w:p>
                  <w:pPr>
                    <w:spacing w:line="240" w:lineRule="auto"/>
                    <w:jc w:val="center"/>
                    <w:rPr>
                      <w:rFonts w:hint="eastAsia"/>
                    </w:rPr>
                  </w:pPr>
                  <w:r>
                    <w:rPr>
                      <w:rFonts w:hint="eastAsia"/>
                    </w:rPr>
                    <w:t>排放</w:t>
                  </w:r>
                  <w:r>
                    <w:rPr>
                      <w:rFonts w:hint="eastAsia"/>
                      <w:lang w:val="en-US" w:eastAsia="zh-CN"/>
                    </w:rPr>
                    <w:t>量</w:t>
                  </w:r>
                </w:p>
              </w:tc>
              <w:tc>
                <w:tcPr>
                  <w:tcW w:w="1171" w:type="dxa"/>
                  <w:shd w:val="clear" w:color="auto" w:fill="auto"/>
                  <w:vAlign w:val="center"/>
                </w:tcPr>
                <w:p>
                  <w:pPr>
                    <w:spacing w:line="240" w:lineRule="auto"/>
                    <w:jc w:val="center"/>
                    <w:rPr>
                      <w:rFonts w:hint="eastAsia"/>
                    </w:rPr>
                  </w:pPr>
                  <w:r>
                    <w:rPr>
                      <w:rFonts w:hint="eastAsia"/>
                    </w:rPr>
                    <w:t>排气筒高度（m）</w:t>
                  </w:r>
                </w:p>
              </w:tc>
              <w:tc>
                <w:tcPr>
                  <w:tcW w:w="2909" w:type="dxa"/>
                  <w:shd w:val="clear" w:color="auto" w:fill="auto"/>
                  <w:vAlign w:val="center"/>
                </w:tcPr>
                <w:p>
                  <w:pPr>
                    <w:spacing w:line="240" w:lineRule="auto"/>
                    <w:jc w:val="center"/>
                    <w:rPr>
                      <w:rFonts w:hint="eastAsia"/>
                    </w:rPr>
                  </w:pPr>
                  <w:r>
                    <w:rPr>
                      <w:rFonts w:hint="eastAsia"/>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atLeast"/>
              </w:trPr>
              <w:tc>
                <w:tcPr>
                  <w:tcW w:w="1017" w:type="dxa"/>
                  <w:shd w:val="clear" w:color="auto" w:fill="auto"/>
                  <w:vAlign w:val="center"/>
                </w:tcPr>
                <w:p>
                  <w:pPr>
                    <w:spacing w:line="240" w:lineRule="auto"/>
                    <w:jc w:val="center"/>
                    <w:rPr>
                      <w:rFonts w:hint="default"/>
                      <w:lang w:val="en-US" w:eastAsia="zh-CN"/>
                    </w:rPr>
                  </w:pPr>
                  <w:r>
                    <w:rPr>
                      <w:rFonts w:hint="eastAsia"/>
                      <w:lang w:val="en-US" w:eastAsia="zh-CN"/>
                    </w:rPr>
                    <w:t>臭气浓度</w:t>
                  </w:r>
                </w:p>
              </w:tc>
              <w:tc>
                <w:tcPr>
                  <w:tcW w:w="1463" w:type="dxa"/>
                  <w:shd w:val="clear" w:color="auto" w:fill="auto"/>
                  <w:vAlign w:val="center"/>
                </w:tcPr>
                <w:p>
                  <w:pPr>
                    <w:spacing w:line="240" w:lineRule="auto"/>
                    <w:jc w:val="center"/>
                    <w:rPr>
                      <w:rFonts w:hint="default"/>
                      <w:lang w:val="en-US" w:eastAsia="zh-CN"/>
                    </w:rPr>
                  </w:pPr>
                  <w:r>
                    <w:rPr>
                      <w:rFonts w:hint="eastAsia"/>
                      <w:lang w:val="en-US" w:eastAsia="zh-CN"/>
                    </w:rPr>
                    <w:t>2000（无量纲）</w:t>
                  </w:r>
                </w:p>
              </w:tc>
              <w:tc>
                <w:tcPr>
                  <w:tcW w:w="1171" w:type="dxa"/>
                  <w:shd w:val="clear" w:color="auto" w:fill="auto"/>
                  <w:vAlign w:val="center"/>
                </w:tcPr>
                <w:p>
                  <w:pPr>
                    <w:spacing w:line="240" w:lineRule="auto"/>
                    <w:jc w:val="center"/>
                    <w:rPr>
                      <w:rFonts w:hint="default"/>
                      <w:lang w:val="en-US" w:eastAsia="zh-CN"/>
                    </w:rPr>
                  </w:pPr>
                  <w:r>
                    <w:rPr>
                      <w:rFonts w:hint="eastAsia"/>
                      <w:lang w:val="en-US" w:eastAsia="zh-CN"/>
                    </w:rPr>
                    <w:t>15</w:t>
                  </w:r>
                </w:p>
              </w:tc>
              <w:tc>
                <w:tcPr>
                  <w:tcW w:w="2909" w:type="dxa"/>
                  <w:vMerge w:val="restart"/>
                  <w:shd w:val="clear" w:color="auto" w:fill="auto"/>
                  <w:vAlign w:val="center"/>
                </w:tcPr>
                <w:p>
                  <w:pPr>
                    <w:widowControl/>
                    <w:spacing w:line="360" w:lineRule="auto"/>
                    <w:jc w:val="left"/>
                    <w:rPr>
                      <w:rFonts w:hint="eastAsia"/>
                    </w:rPr>
                  </w:pPr>
                  <w:r>
                    <w:rPr>
                      <w:rFonts w:hint="eastAsia"/>
                      <w:lang w:val="en-US" w:eastAsia="zh-CN"/>
                    </w:rPr>
                    <w:t>排放满足《恶臭污染物排放标准》（GB14554-93）二级新建标准要求。</w:t>
                  </w:r>
                </w:p>
                <w:p>
                  <w:pPr>
                    <w:spacing w:line="240" w:lineRule="auto"/>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1017" w:type="dxa"/>
                  <w:shd w:val="clear" w:color="auto" w:fill="auto"/>
                  <w:vAlign w:val="center"/>
                </w:tcPr>
                <w:p>
                  <w:pPr>
                    <w:spacing w:line="240" w:lineRule="auto"/>
                    <w:jc w:val="center"/>
                    <w:rPr>
                      <w:rFonts w:hint="default"/>
                      <w:lang w:val="en-US" w:eastAsia="zh-CN"/>
                    </w:rPr>
                  </w:pPr>
                  <w:r>
                    <w:rPr>
                      <w:rFonts w:hint="eastAsia"/>
                      <w:lang w:val="en-US" w:eastAsia="zh-CN"/>
                    </w:rPr>
                    <w:t>硫化氢</w:t>
                  </w:r>
                </w:p>
              </w:tc>
              <w:tc>
                <w:tcPr>
                  <w:tcW w:w="1463" w:type="dxa"/>
                  <w:shd w:val="clear" w:color="auto" w:fill="auto"/>
                  <w:vAlign w:val="center"/>
                </w:tcPr>
                <w:p>
                  <w:pPr>
                    <w:spacing w:line="240" w:lineRule="auto"/>
                    <w:jc w:val="center"/>
                    <w:rPr>
                      <w:rFonts w:hint="default"/>
                      <w:lang w:val="en-US" w:eastAsia="zh-CN"/>
                    </w:rPr>
                  </w:pPr>
                  <w:r>
                    <w:rPr>
                      <w:rFonts w:hint="eastAsia"/>
                      <w:lang w:val="en-US" w:eastAsia="zh-CN"/>
                    </w:rPr>
                    <w:t>0.33</w:t>
                  </w:r>
                  <w:r>
                    <w:rPr>
                      <w:rFonts w:hint="eastAsia"/>
                    </w:rPr>
                    <w:t>（kg/h）</w:t>
                  </w:r>
                </w:p>
              </w:tc>
              <w:tc>
                <w:tcPr>
                  <w:tcW w:w="1171" w:type="dxa"/>
                  <w:shd w:val="clear" w:color="auto" w:fill="auto"/>
                  <w:vAlign w:val="center"/>
                </w:tcPr>
                <w:p>
                  <w:pPr>
                    <w:spacing w:line="240" w:lineRule="auto"/>
                    <w:jc w:val="center"/>
                    <w:rPr>
                      <w:rFonts w:hint="default"/>
                      <w:lang w:val="en-US" w:eastAsia="zh-CN"/>
                    </w:rPr>
                  </w:pPr>
                  <w:r>
                    <w:rPr>
                      <w:rFonts w:hint="eastAsia"/>
                      <w:lang w:val="en-US" w:eastAsia="zh-CN"/>
                    </w:rPr>
                    <w:t>15</w:t>
                  </w:r>
                </w:p>
              </w:tc>
              <w:tc>
                <w:tcPr>
                  <w:tcW w:w="2909" w:type="dxa"/>
                  <w:vMerge w:val="continue"/>
                  <w:shd w:val="clear" w:color="auto" w:fill="auto"/>
                  <w:vAlign w:val="center"/>
                </w:tcPr>
                <w:p>
                  <w:pPr>
                    <w:spacing w:line="240" w:lineRule="auto"/>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atLeast"/>
              </w:trPr>
              <w:tc>
                <w:tcPr>
                  <w:tcW w:w="1017" w:type="dxa"/>
                  <w:shd w:val="clear" w:color="auto" w:fill="auto"/>
                  <w:vAlign w:val="center"/>
                </w:tcPr>
                <w:p>
                  <w:pPr>
                    <w:spacing w:line="240" w:lineRule="auto"/>
                    <w:jc w:val="center"/>
                    <w:rPr>
                      <w:rFonts w:hint="default"/>
                      <w:lang w:val="en-US" w:eastAsia="zh-CN"/>
                    </w:rPr>
                  </w:pPr>
                  <w:r>
                    <w:rPr>
                      <w:rFonts w:hint="eastAsia"/>
                      <w:lang w:val="en-US" w:eastAsia="zh-CN"/>
                    </w:rPr>
                    <w:t>氨</w:t>
                  </w:r>
                </w:p>
              </w:tc>
              <w:tc>
                <w:tcPr>
                  <w:tcW w:w="1463" w:type="dxa"/>
                  <w:shd w:val="clear" w:color="auto" w:fill="auto"/>
                  <w:vAlign w:val="center"/>
                </w:tcPr>
                <w:p>
                  <w:pPr>
                    <w:spacing w:line="240" w:lineRule="auto"/>
                    <w:jc w:val="center"/>
                    <w:rPr>
                      <w:rFonts w:hint="eastAsia"/>
                      <w:lang w:val="en-US" w:eastAsia="zh-CN"/>
                    </w:rPr>
                  </w:pPr>
                  <w:r>
                    <w:rPr>
                      <w:rFonts w:hint="eastAsia"/>
                      <w:lang w:val="en-US" w:eastAsia="zh-CN"/>
                    </w:rPr>
                    <w:t>4.9</w:t>
                  </w:r>
                  <w:r>
                    <w:rPr>
                      <w:rFonts w:hint="eastAsia"/>
                    </w:rPr>
                    <w:t>（kg/h）</w:t>
                  </w:r>
                </w:p>
              </w:tc>
              <w:tc>
                <w:tcPr>
                  <w:tcW w:w="1171" w:type="dxa"/>
                  <w:shd w:val="clear" w:color="auto" w:fill="auto"/>
                  <w:vAlign w:val="center"/>
                </w:tcPr>
                <w:p>
                  <w:pPr>
                    <w:spacing w:line="240" w:lineRule="auto"/>
                    <w:jc w:val="center"/>
                    <w:rPr>
                      <w:rFonts w:hint="default"/>
                      <w:lang w:val="en-US" w:eastAsia="zh-CN"/>
                    </w:rPr>
                  </w:pPr>
                  <w:r>
                    <w:rPr>
                      <w:rFonts w:hint="eastAsia"/>
                      <w:lang w:val="en-US" w:eastAsia="zh-CN"/>
                    </w:rPr>
                    <w:t>15</w:t>
                  </w:r>
                </w:p>
              </w:tc>
              <w:tc>
                <w:tcPr>
                  <w:tcW w:w="2909" w:type="dxa"/>
                  <w:vMerge w:val="continue"/>
                  <w:shd w:val="clear" w:color="auto" w:fill="auto"/>
                  <w:vAlign w:val="center"/>
                </w:tcPr>
                <w:p>
                  <w:pPr>
                    <w:spacing w:line="240" w:lineRule="auto"/>
                    <w:jc w:val="center"/>
                    <w:rPr>
                      <w:rFonts w:hint="eastAsia"/>
                    </w:rPr>
                  </w:pPr>
                </w:p>
              </w:tc>
            </w:tr>
          </w:tbl>
          <w:p>
            <w:pPr>
              <w:rPr>
                <w:rFonts w:hint="eastAsia"/>
                <w:lang w:val="en-US" w:eastAsia="zh-CN"/>
              </w:rPr>
            </w:pPr>
          </w:p>
          <w:p>
            <w:pPr>
              <w:spacing w:line="360" w:lineRule="auto"/>
              <w:ind w:firstLine="440" w:firstLineChars="200"/>
              <w:rPr>
                <w:rFonts w:hint="eastAsia"/>
                <w:lang w:val="en-US" w:eastAsia="zh-CN"/>
              </w:rPr>
            </w:pPr>
            <w:r>
              <w:rPr>
                <w:rFonts w:hint="eastAsia"/>
                <w:lang w:val="en-US" w:eastAsia="zh-CN"/>
              </w:rPr>
              <w:t>无</w:t>
            </w:r>
            <w:r>
              <w:rPr>
                <w:rFonts w:hint="default"/>
              </w:rPr>
              <w:t>组织</w:t>
            </w:r>
            <w:r>
              <w:rPr>
                <w:rFonts w:hint="eastAsia"/>
                <w:lang w:val="en-US" w:eastAsia="zh-CN"/>
              </w:rPr>
              <w:t>硫酸雾执行《大气污染物综合排放标准》（GB16297-1996）表2中无组织硫酸雾排放小于1.2mg/g要求。</w:t>
            </w:r>
          </w:p>
          <w:p>
            <w:pPr>
              <w:pStyle w:val="9"/>
              <w:spacing w:line="360" w:lineRule="auto"/>
              <w:ind w:left="0" w:leftChars="0" w:firstLine="220" w:firstLineChars="100"/>
              <w:rPr>
                <w:rFonts w:hint="eastAsia" w:ascii="Tahoma" w:hAnsi="Tahoma" w:eastAsia="Times New Roman" w:cs="宋体"/>
                <w:b w:val="0"/>
                <w:w w:val="100"/>
                <w:sz w:val="22"/>
                <w:szCs w:val="22"/>
                <w:shd w:val="clear"/>
                <w:lang w:val="en-US" w:eastAsia="zh-CN"/>
              </w:rPr>
            </w:pPr>
            <w:r>
              <w:rPr>
                <w:rFonts w:hint="eastAsia" w:ascii="Tahoma" w:hAnsi="Tahoma" w:eastAsia="Times New Roman" w:cs="宋体"/>
                <w:b w:val="0"/>
                <w:w w:val="100"/>
                <w:sz w:val="22"/>
                <w:szCs w:val="22"/>
                <w:shd w:val="clear"/>
                <w:lang w:val="en-US" w:eastAsia="zh-CN"/>
              </w:rPr>
              <w:t>无组织氨执行《恶臭污染物排放标准》（GB14554-93）二级新建标准,即氨小于1.5mg/m3.</w:t>
            </w:r>
          </w:p>
          <w:p>
            <w:pPr>
              <w:spacing w:line="360" w:lineRule="auto"/>
              <w:ind w:firstLine="440" w:firstLineChars="200"/>
              <w:rPr>
                <w:rFonts w:hint="eastAsia"/>
                <w:lang w:val="en-US" w:eastAsia="zh-CN"/>
              </w:rPr>
            </w:pPr>
            <w:r>
              <w:rPr>
                <w:rFonts w:hint="eastAsia"/>
                <w:lang w:val="en-US" w:eastAsia="zh-CN"/>
              </w:rPr>
              <w:t>无组织硫化氢执行《恶臭污染物排放标准》（GB14554-93）二级新建标准,即氨小于0.06mg/m3</w:t>
            </w:r>
          </w:p>
          <w:p>
            <w:pPr>
              <w:spacing w:line="360" w:lineRule="auto"/>
              <w:ind w:firstLine="440" w:firstLineChars="200"/>
              <w:rPr>
                <w:rFonts w:hint="default"/>
                <w:lang w:val="en-US" w:eastAsia="zh-CN"/>
              </w:rPr>
            </w:pPr>
            <w:r>
              <w:rPr>
                <w:rFonts w:hint="eastAsia"/>
                <w:lang w:val="en-US" w:eastAsia="zh-CN"/>
              </w:rPr>
              <w:t>无组织臭气浓度执行《恶臭污染物排放标准》（GB14554-93）二级新建标准,即氨小于20无量纲</w:t>
            </w:r>
          </w:p>
          <w:p>
            <w:pPr>
              <w:pStyle w:val="2"/>
              <w:ind w:left="0" w:leftChars="0" w:firstLine="0" w:firstLineChars="0"/>
              <w:rPr>
                <w:rFonts w:hint="default"/>
                <w:lang w:val="en-US" w:eastAsia="zh-CN"/>
              </w:rPr>
            </w:pPr>
          </w:p>
          <w:p>
            <w:pPr>
              <w:pStyle w:val="9"/>
              <w:ind w:left="0" w:leftChars="0" w:firstLine="0" w:firstLineChars="0"/>
              <w:rPr>
                <w:rFonts w:hint="eastAsia"/>
                <w:lang w:val="en-US" w:eastAsia="zh-CN"/>
              </w:rPr>
            </w:pPr>
          </w:p>
          <w:p>
            <w:pPr>
              <w:pStyle w:val="58"/>
              <w:pageBreakBefore w:val="0"/>
              <w:numPr>
                <w:ilvl w:val="0"/>
                <w:numId w:val="0"/>
              </w:numPr>
              <w:autoSpaceDE/>
              <w:autoSpaceDN/>
              <w:bidi w:val="0"/>
              <w:snapToGrid w:val="0"/>
              <w:spacing w:before="0" w:after="0" w:line="360" w:lineRule="auto"/>
              <w:ind w:right="0" w:firstLine="482"/>
              <w:jc w:val="left"/>
              <w:rPr>
                <w:rFonts w:hint="default"/>
              </w:rPr>
            </w:pPr>
            <w:r>
              <w:rPr>
                <w:rFonts w:hint="default"/>
              </w:rPr>
              <w:t>2、噪声</w:t>
            </w:r>
          </w:p>
          <w:p>
            <w:pPr>
              <w:pageBreakBefore w:val="0"/>
              <w:numPr>
                <w:ilvl w:val="0"/>
                <w:numId w:val="0"/>
              </w:numPr>
              <w:autoSpaceDE/>
              <w:autoSpaceDN/>
              <w:bidi w:val="0"/>
              <w:snapToGrid/>
              <w:spacing w:before="0" w:after="0" w:line="360" w:lineRule="auto"/>
              <w:ind w:right="0" w:firstLine="480"/>
              <w:jc w:val="left"/>
              <w:rPr>
                <w:rFonts w:hint="default"/>
              </w:rPr>
            </w:pPr>
            <w:r>
              <w:rPr>
                <w:rFonts w:hint="default"/>
              </w:rPr>
              <w:t>营运期厂界噪声执行《工业企业厂界环境噪声排放标准》(GB12348-2008)中的</w:t>
            </w:r>
            <w:r>
              <w:rPr>
                <w:rFonts w:hint="eastAsia"/>
                <w:lang w:val="en-US" w:eastAsia="zh-CN"/>
              </w:rPr>
              <w:t>3</w:t>
            </w:r>
            <w:r>
              <w:rPr>
                <w:rFonts w:hint="default"/>
              </w:rPr>
              <w:t>类标准。</w:t>
            </w:r>
          </w:p>
          <w:p>
            <w:pPr>
              <w:numPr>
                <w:ilvl w:val="0"/>
                <w:numId w:val="0"/>
              </w:numPr>
              <w:autoSpaceDE/>
              <w:autoSpaceDN/>
              <w:snapToGrid w:val="0"/>
              <w:spacing w:before="0" w:after="0" w:line="360" w:lineRule="auto"/>
              <w:ind w:right="0" w:firstLine="0"/>
              <w:jc w:val="center"/>
              <w:rPr>
                <w:rFonts w:hint="default"/>
              </w:rPr>
            </w:pPr>
            <w:r>
              <w:rPr>
                <w:rFonts w:hint="default"/>
              </w:rPr>
              <w:t xml:space="preserve">表1-2工业企业厂界环境噪声排放标准（摘录） </w:t>
            </w:r>
          </w:p>
          <w:tbl>
            <w:tblPr>
              <w:tblStyle w:val="38"/>
              <w:tblW w:w="66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5"/>
              <w:gridCol w:w="1137"/>
              <w:gridCol w:w="1117"/>
              <w:gridCol w:w="1158"/>
              <w:gridCol w:w="25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625" w:type="dxa"/>
                  <w:vAlign w:val="center"/>
                </w:tcPr>
                <w:p>
                  <w:pPr>
                    <w:pStyle w:val="59"/>
                    <w:numPr>
                      <w:ilvl w:val="0"/>
                      <w:numId w:val="0"/>
                    </w:numPr>
                    <w:autoSpaceDE/>
                    <w:autoSpaceDN/>
                    <w:snapToGrid w:val="0"/>
                    <w:spacing w:before="0" w:after="200" w:line="360" w:lineRule="auto"/>
                    <w:ind w:right="0" w:firstLine="0"/>
                    <w:jc w:val="center"/>
                    <w:rPr>
                      <w:rFonts w:hint="default"/>
                    </w:rPr>
                  </w:pPr>
                  <w:r>
                    <w:rPr>
                      <w:rFonts w:hint="default"/>
                    </w:rPr>
                    <w:t>时段</w:t>
                  </w:r>
                </w:p>
              </w:tc>
              <w:tc>
                <w:tcPr>
                  <w:tcW w:w="1137" w:type="dxa"/>
                  <w:vAlign w:val="center"/>
                </w:tcPr>
                <w:p>
                  <w:pPr>
                    <w:pStyle w:val="59"/>
                    <w:numPr>
                      <w:ilvl w:val="0"/>
                      <w:numId w:val="0"/>
                    </w:numPr>
                    <w:autoSpaceDE/>
                    <w:autoSpaceDN/>
                    <w:snapToGrid w:val="0"/>
                    <w:spacing w:before="0" w:after="200" w:line="360" w:lineRule="auto"/>
                    <w:ind w:right="0" w:firstLine="0"/>
                    <w:jc w:val="center"/>
                    <w:rPr>
                      <w:rFonts w:hint="default"/>
                    </w:rPr>
                  </w:pPr>
                  <w:r>
                    <w:rPr>
                      <w:rFonts w:hint="default"/>
                    </w:rPr>
                    <w:t>昼间[dB(A)]</w:t>
                  </w:r>
                </w:p>
              </w:tc>
              <w:tc>
                <w:tcPr>
                  <w:tcW w:w="1117" w:type="dxa"/>
                  <w:tcBorders>
                    <w:top w:val="single" w:color="000000" w:sz="4" w:space="0"/>
                  </w:tcBorders>
                  <w:vAlign w:val="center"/>
                </w:tcPr>
                <w:p>
                  <w:pPr>
                    <w:pStyle w:val="59"/>
                    <w:numPr>
                      <w:ilvl w:val="0"/>
                      <w:numId w:val="0"/>
                    </w:numPr>
                    <w:autoSpaceDE/>
                    <w:autoSpaceDN/>
                    <w:snapToGrid w:val="0"/>
                    <w:spacing w:before="0" w:after="200" w:line="360" w:lineRule="auto"/>
                    <w:ind w:right="0" w:firstLine="0"/>
                    <w:jc w:val="center"/>
                    <w:rPr>
                      <w:rFonts w:hint="default"/>
                    </w:rPr>
                  </w:pPr>
                  <w:r>
                    <w:rPr>
                      <w:rFonts w:hint="default"/>
                    </w:rPr>
                    <w:t>夜间[dB(A)]</w:t>
                  </w:r>
                </w:p>
              </w:tc>
              <w:tc>
                <w:tcPr>
                  <w:tcW w:w="1158" w:type="dxa"/>
                  <w:tcBorders>
                    <w:top w:val="single" w:color="000000" w:sz="4" w:space="0"/>
                  </w:tcBorders>
                  <w:vAlign w:val="center"/>
                </w:tcPr>
                <w:p>
                  <w:pPr>
                    <w:pStyle w:val="59"/>
                    <w:numPr>
                      <w:ilvl w:val="0"/>
                      <w:numId w:val="0"/>
                    </w:numPr>
                    <w:autoSpaceDE/>
                    <w:autoSpaceDN/>
                    <w:snapToGrid w:val="0"/>
                    <w:spacing w:before="0" w:after="200" w:line="360" w:lineRule="auto"/>
                    <w:ind w:right="0" w:firstLine="0"/>
                    <w:jc w:val="center"/>
                    <w:rPr>
                      <w:rFonts w:hint="default"/>
                    </w:rPr>
                  </w:pPr>
                  <w:r>
                    <w:rPr>
                      <w:rFonts w:hint="default"/>
                    </w:rPr>
                    <w:t>适用区域(范围)</w:t>
                  </w:r>
                </w:p>
              </w:tc>
              <w:tc>
                <w:tcPr>
                  <w:tcW w:w="2587" w:type="dxa"/>
                  <w:tcBorders>
                    <w:top w:val="single" w:color="000000" w:sz="4" w:space="0"/>
                  </w:tcBorders>
                  <w:vAlign w:val="center"/>
                </w:tcPr>
                <w:p>
                  <w:pPr>
                    <w:pStyle w:val="59"/>
                    <w:numPr>
                      <w:ilvl w:val="0"/>
                      <w:numId w:val="0"/>
                    </w:numPr>
                    <w:autoSpaceDE/>
                    <w:autoSpaceDN/>
                    <w:snapToGrid w:val="0"/>
                    <w:spacing w:before="0" w:after="200" w:line="360" w:lineRule="auto"/>
                    <w:ind w:right="0" w:firstLine="0"/>
                    <w:jc w:val="center"/>
                    <w:rPr>
                      <w:rFonts w:hint="default"/>
                    </w:rPr>
                  </w:pPr>
                  <w:r>
                    <w:rPr>
                      <w:rFonts w:hint="default"/>
                    </w:rPr>
                    <w:t>采用标准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7" w:hRule="atLeast"/>
                <w:jc w:val="center"/>
              </w:trPr>
              <w:tc>
                <w:tcPr>
                  <w:tcW w:w="625" w:type="dxa"/>
                  <w:vAlign w:val="center"/>
                </w:tcPr>
                <w:p>
                  <w:pPr>
                    <w:pStyle w:val="59"/>
                    <w:pageBreakBefore w:val="0"/>
                    <w:numPr>
                      <w:ilvl w:val="0"/>
                      <w:numId w:val="0"/>
                    </w:numPr>
                    <w:autoSpaceDE/>
                    <w:autoSpaceDN/>
                    <w:bidi w:val="0"/>
                    <w:snapToGrid w:val="0"/>
                    <w:spacing w:before="0" w:after="0" w:line="360" w:lineRule="auto"/>
                    <w:ind w:right="0" w:firstLine="0"/>
                    <w:jc w:val="center"/>
                    <w:rPr>
                      <w:rFonts w:hint="default"/>
                    </w:rPr>
                  </w:pPr>
                  <w:r>
                    <w:rPr>
                      <w:rFonts w:hint="default"/>
                    </w:rPr>
                    <w:t>运营期</w:t>
                  </w:r>
                </w:p>
              </w:tc>
              <w:tc>
                <w:tcPr>
                  <w:tcW w:w="1137" w:type="dxa"/>
                  <w:vAlign w:val="center"/>
                </w:tcPr>
                <w:p>
                  <w:pPr>
                    <w:pStyle w:val="59"/>
                    <w:numPr>
                      <w:ilvl w:val="0"/>
                      <w:numId w:val="0"/>
                    </w:numPr>
                    <w:autoSpaceDE/>
                    <w:autoSpaceDN/>
                    <w:snapToGrid w:val="0"/>
                    <w:spacing w:before="0" w:after="200" w:line="360" w:lineRule="auto"/>
                    <w:ind w:right="0" w:firstLine="0"/>
                    <w:jc w:val="center"/>
                    <w:rPr>
                      <w:rFonts w:hint="eastAsia"/>
                      <w:lang w:val="en-US" w:eastAsia="zh-CN"/>
                    </w:rPr>
                  </w:pPr>
                  <w:r>
                    <w:rPr>
                      <w:rFonts w:hint="default"/>
                    </w:rPr>
                    <w:t>6</w:t>
                  </w:r>
                  <w:r>
                    <w:rPr>
                      <w:rFonts w:hint="eastAsia"/>
                      <w:lang w:val="en-US" w:eastAsia="zh-CN"/>
                    </w:rPr>
                    <w:t>5</w:t>
                  </w:r>
                </w:p>
              </w:tc>
              <w:tc>
                <w:tcPr>
                  <w:tcW w:w="1117" w:type="dxa"/>
                  <w:vAlign w:val="center"/>
                </w:tcPr>
                <w:p>
                  <w:pPr>
                    <w:pStyle w:val="59"/>
                    <w:numPr>
                      <w:ilvl w:val="0"/>
                      <w:numId w:val="0"/>
                    </w:numPr>
                    <w:autoSpaceDE/>
                    <w:autoSpaceDN/>
                    <w:snapToGrid w:val="0"/>
                    <w:spacing w:before="0" w:after="200" w:line="360" w:lineRule="auto"/>
                    <w:ind w:right="0" w:firstLine="0"/>
                    <w:jc w:val="center"/>
                    <w:rPr>
                      <w:rFonts w:hint="eastAsia"/>
                      <w:lang w:val="en-US" w:eastAsia="zh-CN"/>
                    </w:rPr>
                  </w:pPr>
                  <w:r>
                    <w:rPr>
                      <w:rFonts w:hint="default"/>
                    </w:rPr>
                    <w:t>5</w:t>
                  </w:r>
                  <w:r>
                    <w:rPr>
                      <w:rFonts w:hint="eastAsia"/>
                      <w:lang w:val="en-US" w:eastAsia="zh-CN"/>
                    </w:rPr>
                    <w:t>5</w:t>
                  </w:r>
                </w:p>
              </w:tc>
              <w:tc>
                <w:tcPr>
                  <w:tcW w:w="1158" w:type="dxa"/>
                  <w:vAlign w:val="center"/>
                </w:tcPr>
                <w:p>
                  <w:pPr>
                    <w:pStyle w:val="59"/>
                    <w:numPr>
                      <w:ilvl w:val="0"/>
                      <w:numId w:val="0"/>
                    </w:numPr>
                    <w:autoSpaceDE/>
                    <w:autoSpaceDN/>
                    <w:snapToGrid w:val="0"/>
                    <w:spacing w:before="0" w:after="200" w:line="360" w:lineRule="auto"/>
                    <w:ind w:right="0" w:firstLine="0"/>
                    <w:jc w:val="center"/>
                    <w:rPr>
                      <w:rFonts w:hint="default"/>
                    </w:rPr>
                  </w:pPr>
                  <w:r>
                    <w:rPr>
                      <w:rFonts w:hint="eastAsia"/>
                      <w:lang w:val="en-US" w:eastAsia="zh-CN"/>
                    </w:rPr>
                    <w:t>3</w:t>
                  </w:r>
                  <w:r>
                    <w:rPr>
                      <w:rFonts w:hint="default"/>
                    </w:rPr>
                    <w:t>类区域</w:t>
                  </w:r>
                </w:p>
              </w:tc>
              <w:tc>
                <w:tcPr>
                  <w:tcW w:w="2587" w:type="dxa"/>
                  <w:vAlign w:val="center"/>
                </w:tcPr>
                <w:p>
                  <w:pPr>
                    <w:pStyle w:val="59"/>
                    <w:pageBreakBefore w:val="0"/>
                    <w:numPr>
                      <w:ilvl w:val="0"/>
                      <w:numId w:val="0"/>
                    </w:numPr>
                    <w:autoSpaceDE/>
                    <w:autoSpaceDN/>
                    <w:bidi w:val="0"/>
                    <w:snapToGrid w:val="0"/>
                    <w:spacing w:before="0" w:after="0" w:line="360" w:lineRule="auto"/>
                    <w:ind w:right="0" w:firstLine="0"/>
                    <w:jc w:val="center"/>
                    <w:rPr>
                      <w:rFonts w:hint="default"/>
                    </w:rPr>
                  </w:pPr>
                  <w:r>
                    <w:rPr>
                      <w:rFonts w:hint="default"/>
                    </w:rPr>
                    <w:t>《工业企业厂界环境噪声排放标准》(GB12348-2008</w:t>
                  </w:r>
                  <w:r>
                    <w:rPr>
                      <w:rFonts w:hint="eastAsia"/>
                      <w:lang w:val="en-US" w:eastAsia="zh-CN"/>
                    </w:rPr>
                    <w:t>)3</w:t>
                  </w:r>
                  <w:r>
                    <w:rPr>
                      <w:rFonts w:hint="default"/>
                    </w:rPr>
                    <w:t>类</w:t>
                  </w:r>
                </w:p>
              </w:tc>
            </w:tr>
          </w:tbl>
          <w:p>
            <w:pPr>
              <w:pStyle w:val="58"/>
              <w:pageBreakBefore w:val="0"/>
              <w:numPr>
                <w:ilvl w:val="0"/>
                <w:numId w:val="0"/>
              </w:numPr>
              <w:autoSpaceDE/>
              <w:autoSpaceDN/>
              <w:bidi w:val="0"/>
              <w:snapToGrid w:val="0"/>
              <w:spacing w:before="0" w:after="0" w:line="360" w:lineRule="auto"/>
              <w:ind w:right="0" w:firstLine="482"/>
              <w:jc w:val="left"/>
              <w:rPr>
                <w:rFonts w:hint="default"/>
              </w:rPr>
            </w:pPr>
            <w:r>
              <w:rPr>
                <w:rFonts w:hint="default"/>
              </w:rPr>
              <w:t>3、固废</w:t>
            </w:r>
          </w:p>
          <w:p>
            <w:pPr>
              <w:pageBreakBefore w:val="0"/>
              <w:numPr>
                <w:ilvl w:val="0"/>
                <w:numId w:val="0"/>
              </w:numPr>
              <w:autoSpaceDE/>
              <w:autoSpaceDN/>
              <w:bidi w:val="0"/>
              <w:snapToGrid w:val="0"/>
              <w:spacing w:before="0" w:after="0" w:line="360" w:lineRule="auto"/>
              <w:ind w:right="0" w:firstLine="480"/>
              <w:jc w:val="left"/>
              <w:rPr>
                <w:rFonts w:hint="default"/>
              </w:rPr>
            </w:pPr>
            <w:r>
              <w:rPr>
                <w:rFonts w:hint="default"/>
              </w:rPr>
              <w:t>本项目产生的固体废物执行《一般工业固体废物贮存、处置场污染控制标准》（GB18599-2001）及修改单（环境保护部公告2013年第36号）中的要求，危险废物执行《危险废物贮存污染控制标准》(GB18597-2001)及其修改单标准。</w:t>
            </w:r>
          </w:p>
          <w:p>
            <w:pPr>
              <w:pStyle w:val="45"/>
              <w:numPr>
                <w:ilvl w:val="0"/>
                <w:numId w:val="0"/>
              </w:numPr>
              <w:rPr>
                <w:rFonts w:hint="default" w:ascii="Times New Roman"/>
                <w:color w:val="auto"/>
                <w:position w:val="0"/>
                <w:sz w:val="24"/>
                <w:szCs w:val="24"/>
                <w:lang w:val="en-US" w:eastAsia="zh-CN"/>
              </w:rPr>
            </w:pPr>
            <w:r>
              <w:rPr>
                <w:rFonts w:hint="eastAsia" w:ascii="Times New Roman"/>
                <w:color w:val="auto"/>
                <w:position w:val="0"/>
                <w:sz w:val="24"/>
                <w:szCs w:val="24"/>
                <w:lang w:val="en-US" w:eastAsia="zh-CN"/>
              </w:rPr>
              <w:t>4、废水执行</w:t>
            </w:r>
            <w:r>
              <w:rPr>
                <w:rFonts w:hint="default" w:ascii="Times New Roman" w:hAnsi="宋体" w:eastAsia="宋体"/>
                <w:color w:val="auto"/>
                <w:position w:val="0"/>
                <w:sz w:val="24"/>
                <w:szCs w:val="24"/>
              </w:rPr>
              <w:t>《污水排入下城镇水道水质标准》（GB/T31962-2015）表1中B等级标准。</w:t>
            </w:r>
          </w:p>
        </w:tc>
      </w:tr>
    </w:tbl>
    <w:p>
      <w:pPr>
        <w:pageBreakBefore w:val="0"/>
        <w:numPr>
          <w:ilvl w:val="0"/>
          <w:numId w:val="0"/>
        </w:numPr>
        <w:autoSpaceDE/>
        <w:autoSpaceDN/>
        <w:bidi w:val="0"/>
        <w:snapToGrid/>
        <w:spacing w:before="0" w:after="0" w:line="360" w:lineRule="auto"/>
        <w:ind w:right="0" w:firstLine="0"/>
        <w:jc w:val="left"/>
        <w:rPr>
          <w:rFonts w:hint="default" w:ascii="Times New Roman" w:hAnsi="Times New Roman" w:eastAsia="Times New Roman"/>
          <w:b/>
          <w:color w:val="auto"/>
          <w:position w:val="0"/>
          <w:sz w:val="24"/>
          <w:szCs w:val="24"/>
        </w:rPr>
      </w:pPr>
    </w:p>
    <w:p>
      <w:pPr>
        <w:pageBreakBefore w:val="0"/>
        <w:numPr>
          <w:ilvl w:val="0"/>
          <w:numId w:val="0"/>
        </w:numPr>
        <w:autoSpaceDE/>
        <w:autoSpaceDN/>
        <w:bidi w:val="0"/>
        <w:snapToGrid/>
        <w:spacing w:before="0" w:after="0" w:line="360" w:lineRule="auto"/>
        <w:ind w:right="0" w:firstLine="0"/>
        <w:jc w:val="left"/>
        <w:outlineLvl w:val="0"/>
        <w:rPr>
          <w:rFonts w:hint="default" w:ascii="Times New Roman" w:hAnsi="Times New Roman" w:eastAsia="Times New Roman"/>
          <w:b/>
          <w:color w:val="auto"/>
          <w:position w:val="0"/>
          <w:sz w:val="24"/>
          <w:szCs w:val="24"/>
        </w:rPr>
      </w:pPr>
      <w:bookmarkStart w:id="7" w:name="_Toc28146"/>
      <w:r>
        <w:rPr>
          <w:rFonts w:hint="default" w:ascii="Times New Roman" w:hAnsi="Times New Roman" w:eastAsia="Times New Roman"/>
          <w:b/>
          <w:color w:val="auto"/>
          <w:position w:val="0"/>
          <w:sz w:val="24"/>
          <w:szCs w:val="24"/>
        </w:rPr>
        <w:t>表二</w:t>
      </w:r>
      <w:bookmarkEnd w:id="7"/>
    </w:p>
    <w:tbl>
      <w:tblPr>
        <w:tblStyle w:val="38"/>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3374" w:hRule="atLeast"/>
          <w:jc w:val="center"/>
        </w:trPr>
        <w:tc>
          <w:tcPr>
            <w:tcW w:w="5000" w:type="pct"/>
            <w:vAlign w:val="top"/>
          </w:tcPr>
          <w:p>
            <w:pPr>
              <w:pageBreakBefore w:val="0"/>
              <w:numPr>
                <w:ilvl w:val="0"/>
                <w:numId w:val="0"/>
              </w:numPr>
              <w:autoSpaceDE/>
              <w:autoSpaceDN/>
              <w:bidi w:val="0"/>
              <w:snapToGrid/>
              <w:spacing w:before="0" w:after="0" w:line="360" w:lineRule="auto"/>
              <w:ind w:right="0" w:firstLine="482"/>
              <w:jc w:val="left"/>
              <w:outlineLvl w:val="0"/>
              <w:rPr>
                <w:rFonts w:hint="default" w:ascii="Times New Roman" w:hAnsi="宋体" w:eastAsia="宋体"/>
                <w:b/>
                <w:color w:val="auto"/>
                <w:position w:val="0"/>
                <w:sz w:val="24"/>
                <w:szCs w:val="24"/>
              </w:rPr>
            </w:pPr>
            <w:bookmarkStart w:id="8" w:name="_Toc8813"/>
            <w:bookmarkStart w:id="9" w:name="_Toc28282"/>
            <w:bookmarkStart w:id="10" w:name="_Toc21578"/>
            <w:r>
              <w:rPr>
                <w:rFonts w:hint="default" w:ascii="Times New Roman" w:hAnsi="宋体" w:eastAsia="宋体"/>
                <w:b/>
                <w:color w:val="auto"/>
                <w:position w:val="0"/>
                <w:sz w:val="24"/>
                <w:szCs w:val="24"/>
              </w:rPr>
              <w:t>一、工程建设内容：</w:t>
            </w:r>
            <w:bookmarkEnd w:id="8"/>
            <w:bookmarkEnd w:id="9"/>
            <w:bookmarkEnd w:id="10"/>
          </w:p>
          <w:p>
            <w:pPr>
              <w:pageBreakBefore w:val="0"/>
              <w:numPr>
                <w:ilvl w:val="0"/>
                <w:numId w:val="0"/>
              </w:numPr>
              <w:autoSpaceDE/>
              <w:autoSpaceDN/>
              <w:bidi w:val="0"/>
              <w:snapToGrid/>
              <w:spacing w:before="0" w:after="0" w:line="360" w:lineRule="auto"/>
              <w:ind w:right="0" w:firstLine="480"/>
              <w:jc w:val="both"/>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本项目属于新建，</w:t>
            </w:r>
            <w:r>
              <w:rPr>
                <w:rFonts w:hint="eastAsia" w:ascii="Times New Roman" w:hAnsi="宋体" w:eastAsia="宋体" w:cs="宋体"/>
                <w:color w:val="auto"/>
                <w:position w:val="0"/>
                <w:sz w:val="24"/>
                <w:szCs w:val="24"/>
                <w:lang w:val="en-US" w:eastAsia="zh-CN"/>
              </w:rPr>
              <w:t xml:space="preserve">年产800万件人发制品项目（二期） </w:t>
            </w:r>
            <w:r>
              <w:rPr>
                <w:rFonts w:hint="default" w:ascii="Times New Roman" w:hAnsi="宋体" w:eastAsia="宋体"/>
                <w:color w:val="auto"/>
                <w:position w:val="0"/>
                <w:sz w:val="24"/>
                <w:szCs w:val="24"/>
              </w:rPr>
              <w:t>，</w:t>
            </w:r>
            <w:r>
              <w:rPr>
                <w:rFonts w:hint="eastAsia" w:ascii="宋体" w:hAnsi="宋体" w:eastAsia="宋体"/>
                <w:color w:val="auto"/>
                <w:position w:val="0"/>
                <w:sz w:val="24"/>
                <w:szCs w:val="24"/>
                <w:lang w:val="en-US" w:eastAsia="zh-CN"/>
              </w:rPr>
              <w:t>山东省菏泽市鄄城县永定路东、亿城街南、朱庄村西</w:t>
            </w:r>
            <w:r>
              <w:rPr>
                <w:rFonts w:hint="default" w:ascii="Times New Roman" w:hAnsi="宋体" w:eastAsia="宋体"/>
                <w:color w:val="auto"/>
                <w:position w:val="0"/>
                <w:sz w:val="24"/>
                <w:szCs w:val="24"/>
              </w:rPr>
              <w:t>。</w:t>
            </w:r>
            <w:r>
              <w:rPr>
                <w:rFonts w:hint="eastAsia" w:ascii="Times New Roman" w:hAnsi="宋体" w:eastAsia="宋体"/>
                <w:color w:val="auto"/>
                <w:position w:val="0"/>
                <w:sz w:val="24"/>
                <w:szCs w:val="24"/>
                <w:lang w:val="en-US" w:eastAsia="zh-CN"/>
              </w:rPr>
              <w:t xml:space="preserve">本项目通过租赁限制土地进行建设，租赁厂区中占地面积15400平方米，包括生产车间和生活办公区域。本项目定员170人， </w:t>
            </w:r>
            <w:r>
              <w:rPr>
                <w:rFonts w:hint="default" w:ascii="Times New Roman" w:hAnsi="宋体" w:eastAsia="宋体"/>
                <w:color w:val="auto"/>
                <w:position w:val="0"/>
                <w:sz w:val="24"/>
                <w:szCs w:val="24"/>
              </w:rPr>
              <w:t>每班8小时，年生产300天。</w:t>
            </w:r>
            <w:r>
              <w:rPr>
                <w:rFonts w:hint="eastAsia" w:ascii="Times New Roman" w:hAnsi="宋体" w:eastAsia="宋体"/>
                <w:color w:val="auto"/>
                <w:position w:val="0"/>
                <w:sz w:val="24"/>
                <w:szCs w:val="24"/>
                <w:lang w:eastAsia="zh-CN"/>
              </w:rPr>
              <w:t>（</w:t>
            </w:r>
            <w:r>
              <w:rPr>
                <w:rFonts w:hint="eastAsia" w:ascii="Times New Roman" w:hAnsi="宋体" w:eastAsia="宋体"/>
                <w:color w:val="auto"/>
                <w:position w:val="0"/>
                <w:sz w:val="24"/>
                <w:szCs w:val="24"/>
                <w:lang w:val="en-US" w:eastAsia="zh-CN"/>
              </w:rPr>
              <w:t>二期员工不新增</w:t>
            </w:r>
            <w:r>
              <w:rPr>
                <w:rFonts w:hint="eastAsia" w:ascii="Times New Roman" w:hAnsi="宋体" w:eastAsia="宋体"/>
                <w:color w:val="auto"/>
                <w:position w:val="0"/>
                <w:sz w:val="24"/>
                <w:szCs w:val="24"/>
                <w:lang w:eastAsia="zh-CN"/>
              </w:rPr>
              <w:t>）</w:t>
            </w:r>
            <w:r>
              <w:rPr>
                <w:rFonts w:hint="default" w:ascii="Times New Roman" w:hAnsi="宋体" w:eastAsia="宋体"/>
                <w:color w:val="auto"/>
                <w:position w:val="0"/>
                <w:sz w:val="24"/>
                <w:szCs w:val="24"/>
              </w:rPr>
              <w:t>工程建设内容及与环评建设内容对比见下表2-1。</w:t>
            </w:r>
          </w:p>
          <w:p>
            <w:pPr>
              <w:pageBreakBefore w:val="0"/>
              <w:numPr>
                <w:ilvl w:val="0"/>
                <w:numId w:val="0"/>
              </w:numPr>
              <w:autoSpaceDE/>
              <w:autoSpaceDN/>
              <w:bidi w:val="0"/>
              <w:snapToGrid/>
              <w:spacing w:before="0" w:after="0" w:line="360" w:lineRule="auto"/>
              <w:ind w:right="0" w:firstLine="48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表2-1 工程建设内容及与环评建设内容对比一览表</w:t>
            </w:r>
          </w:p>
          <w:tbl>
            <w:tblPr>
              <w:tblStyle w:val="38"/>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4"/>
              <w:gridCol w:w="986"/>
              <w:gridCol w:w="4744"/>
              <w:gridCol w:w="19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82" w:type="pc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名称</w:t>
                  </w:r>
                </w:p>
              </w:tc>
              <w:tc>
                <w:tcPr>
                  <w:tcW w:w="3453" w:type="pct"/>
                  <w:gridSpan w:val="2"/>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内容</w:t>
                  </w:r>
                </w:p>
              </w:tc>
              <w:tc>
                <w:tcPr>
                  <w:tcW w:w="1163" w:type="pct"/>
                  <w:tcBorders>
                    <w:tl2br w:val="nil"/>
                    <w:tr2bl w:val="nil"/>
                  </w:tcBorders>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82" w:type="pct"/>
                  <w:vMerge w:val="restar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主体工程</w:t>
                  </w:r>
                </w:p>
              </w:tc>
              <w:tc>
                <w:tcPr>
                  <w:tcW w:w="594" w:type="pct"/>
                  <w:tcBorders>
                    <w:tl2br w:val="nil"/>
                    <w:tr2bl w:val="nil"/>
                  </w:tcBorders>
                  <w:noWrap w:val="0"/>
                  <w:vAlign w:val="center"/>
                </w:tcPr>
                <w:p>
                  <w:pPr>
                    <w:jc w:val="center"/>
                    <w:rPr>
                      <w:rFonts w:hint="default" w:ascii="Times New Roman" w:hAnsi="Times New Roman" w:cs="Times New Roman"/>
                      <w:szCs w:val="21"/>
                    </w:rPr>
                  </w:pPr>
                  <w:r>
                    <w:rPr>
                      <w:rFonts w:hint="eastAsia" w:ascii="Times New Roman" w:hAnsi="Times New Roman" w:cs="Times New Roman"/>
                      <w:szCs w:val="21"/>
                      <w:lang w:eastAsia="zh-CN"/>
                    </w:rPr>
                    <w:t>东</w:t>
                  </w:r>
                  <w:r>
                    <w:rPr>
                      <w:rFonts w:hint="default" w:ascii="Times New Roman" w:hAnsi="Times New Roman" w:cs="Times New Roman"/>
                      <w:szCs w:val="21"/>
                    </w:rPr>
                    <w:t>生产车间</w:t>
                  </w:r>
                </w:p>
              </w:tc>
              <w:tc>
                <w:tcPr>
                  <w:tcW w:w="2858" w:type="pct"/>
                  <w:tcBorders>
                    <w:tl2br w:val="nil"/>
                    <w:tr2bl w:val="nil"/>
                  </w:tcBorders>
                  <w:noWrap w:val="0"/>
                  <w:vAlign w:val="center"/>
                </w:tcPr>
                <w:p>
                  <w:pPr>
                    <w:rPr>
                      <w:rFonts w:hint="default" w:ascii="Times New Roman" w:hAnsi="Times New Roman" w:cs="Times New Roman"/>
                      <w:spacing w:val="-4"/>
                      <w:szCs w:val="21"/>
                      <w:highlight w:val="yellow"/>
                    </w:rPr>
                  </w:pPr>
                  <w:r>
                    <w:rPr>
                      <w:rFonts w:hint="default" w:ascii="Times New Roman" w:hAnsi="Times New Roman" w:cs="Times New Roman"/>
                      <w:spacing w:val="-4"/>
                      <w:szCs w:val="21"/>
                      <w:highlight w:val="none"/>
                    </w:rPr>
                    <w:t>钢结构，建筑面积</w:t>
                  </w:r>
                  <w:r>
                    <w:rPr>
                      <w:rFonts w:hint="eastAsia" w:ascii="Times New Roman" w:hAnsi="Times New Roman" w:cs="Times New Roman"/>
                      <w:spacing w:val="-4"/>
                      <w:szCs w:val="21"/>
                      <w:highlight w:val="none"/>
                      <w:lang w:val="en-US" w:eastAsia="zh-CN"/>
                    </w:rPr>
                    <w:t>5000</w:t>
                  </w:r>
                  <w:r>
                    <w:rPr>
                      <w:rFonts w:hint="default" w:ascii="Times New Roman" w:hAnsi="Times New Roman" w:cs="Times New Roman"/>
                      <w:spacing w:val="-4"/>
                      <w:szCs w:val="21"/>
                      <w:highlight w:val="none"/>
                    </w:rPr>
                    <w:t>平方米，</w:t>
                  </w:r>
                  <w:r>
                    <w:rPr>
                      <w:rFonts w:hint="eastAsia" w:ascii="Times New Roman" w:hAnsi="Times New Roman" w:cs="Times New Roman"/>
                      <w:spacing w:val="-4"/>
                      <w:szCs w:val="21"/>
                      <w:highlight w:val="none"/>
                      <w:lang w:eastAsia="zh-CN"/>
                    </w:rPr>
                    <w:t>位于厂区北侧东部，</w:t>
                  </w:r>
                  <w:r>
                    <w:rPr>
                      <w:rFonts w:hint="default" w:ascii="Times New Roman" w:hAnsi="Times New Roman" w:cs="Times New Roman"/>
                      <w:spacing w:val="-4"/>
                      <w:szCs w:val="21"/>
                      <w:highlight w:val="none"/>
                      <w:lang w:eastAsia="zh-CN"/>
                    </w:rPr>
                    <w:t>安装</w:t>
                  </w:r>
                  <w:r>
                    <w:rPr>
                      <w:rFonts w:hint="eastAsia" w:ascii="Times New Roman" w:hAnsi="Times New Roman" w:cs="Times New Roman"/>
                      <w:spacing w:val="-4"/>
                      <w:szCs w:val="21"/>
                      <w:highlight w:val="none"/>
                      <w:lang w:eastAsia="zh-CN"/>
                    </w:rPr>
                    <w:t>人发生产线</w:t>
                  </w:r>
                  <w:r>
                    <w:rPr>
                      <w:rFonts w:hint="eastAsia" w:ascii="Times New Roman" w:hAnsi="Times New Roman" w:cs="Times New Roman"/>
                      <w:spacing w:val="-4"/>
                      <w:szCs w:val="21"/>
                      <w:highlight w:val="none"/>
                      <w:lang w:val="en-US" w:eastAsia="zh-CN"/>
                    </w:rPr>
                    <w:t>1条</w:t>
                  </w:r>
                  <w:r>
                    <w:rPr>
                      <w:rFonts w:hint="default" w:ascii="Times New Roman" w:hAnsi="Times New Roman" w:cs="Times New Roman"/>
                      <w:spacing w:val="-4"/>
                      <w:szCs w:val="21"/>
                      <w:highlight w:val="none"/>
                      <w:lang w:eastAsia="zh-CN"/>
                    </w:rPr>
                    <w:t>，</w:t>
                  </w:r>
                  <w:r>
                    <w:rPr>
                      <w:rFonts w:hint="eastAsia" w:ascii="Times New Roman" w:hAnsi="Times New Roman" w:cs="Times New Roman"/>
                      <w:spacing w:val="-4"/>
                      <w:szCs w:val="21"/>
                      <w:highlight w:val="none"/>
                      <w:lang w:eastAsia="zh-CN"/>
                    </w:rPr>
                    <w:t>具备生产人发的全套工艺</w:t>
                  </w:r>
                  <w:r>
                    <w:rPr>
                      <w:rFonts w:hint="default" w:ascii="Times New Roman" w:hAnsi="Times New Roman" w:cs="Times New Roman"/>
                      <w:spacing w:val="-4"/>
                      <w:szCs w:val="21"/>
                      <w:highlight w:val="none"/>
                    </w:rPr>
                    <w:t>。</w:t>
                  </w:r>
                </w:p>
              </w:tc>
              <w:tc>
                <w:tcPr>
                  <w:tcW w:w="1163" w:type="pct"/>
                  <w:tcBorders>
                    <w:tl2br w:val="nil"/>
                    <w:tr2bl w:val="nil"/>
                  </w:tcBorders>
                  <w:noWrap w:val="0"/>
                  <w:vAlign w:val="center"/>
                </w:tcPr>
                <w:p>
                  <w:pPr>
                    <w:rPr>
                      <w:rFonts w:hint="default" w:ascii="Times New Roman" w:hAnsi="Times New Roman" w:eastAsia="宋体" w:cs="Times New Roman"/>
                      <w:spacing w:val="-4"/>
                      <w:szCs w:val="21"/>
                      <w:highlight w:val="none"/>
                      <w:lang w:val="en-US" w:eastAsia="zh-CN"/>
                    </w:rPr>
                  </w:pPr>
                  <w:r>
                    <w:rPr>
                      <w:rFonts w:hint="eastAsia" w:ascii="Times New Roman" w:hAnsi="Times New Roman" w:eastAsia="宋体" w:cs="Times New Roman"/>
                      <w:spacing w:val="-4"/>
                      <w:szCs w:val="21"/>
                      <w:highlight w:val="none"/>
                      <w:lang w:val="en-US" w:eastAsia="zh-CN"/>
                    </w:rPr>
                    <w:t>（二期）一条生产线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82" w:type="pct"/>
                  <w:vMerge w:val="continue"/>
                  <w:tcBorders>
                    <w:tl2br w:val="nil"/>
                    <w:tr2bl w:val="nil"/>
                  </w:tcBorders>
                  <w:noWrap w:val="0"/>
                  <w:vAlign w:val="center"/>
                </w:tcPr>
                <w:p>
                  <w:pPr>
                    <w:jc w:val="center"/>
                    <w:rPr>
                      <w:rFonts w:hint="default" w:ascii="Times New Roman" w:hAnsi="Times New Roman" w:cs="Times New Roman"/>
                      <w:szCs w:val="21"/>
                    </w:rPr>
                  </w:pPr>
                </w:p>
              </w:tc>
              <w:tc>
                <w:tcPr>
                  <w:tcW w:w="594" w:type="pct"/>
                  <w:tcBorders>
                    <w:tl2br w:val="nil"/>
                    <w:tr2bl w:val="nil"/>
                  </w:tcBorders>
                  <w:noWrap w:val="0"/>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西生产车间</w:t>
                  </w:r>
                </w:p>
              </w:tc>
              <w:tc>
                <w:tcPr>
                  <w:tcW w:w="2858" w:type="pct"/>
                  <w:tcBorders>
                    <w:tl2br w:val="nil"/>
                    <w:tr2bl w:val="nil"/>
                  </w:tcBorders>
                  <w:noWrap w:val="0"/>
                  <w:vAlign w:val="center"/>
                </w:tcPr>
                <w:p>
                  <w:pPr>
                    <w:rPr>
                      <w:rFonts w:hint="default" w:ascii="Times New Roman" w:hAnsi="Times New Roman" w:cs="Times New Roman"/>
                      <w:spacing w:val="-4"/>
                      <w:szCs w:val="21"/>
                      <w:highlight w:val="none"/>
                    </w:rPr>
                  </w:pPr>
                  <w:r>
                    <w:rPr>
                      <w:rFonts w:hint="default" w:ascii="Times New Roman" w:hAnsi="Times New Roman" w:cs="Times New Roman"/>
                      <w:spacing w:val="-4"/>
                      <w:szCs w:val="21"/>
                      <w:highlight w:val="none"/>
                    </w:rPr>
                    <w:t>钢结构，建筑面积</w:t>
                  </w:r>
                  <w:r>
                    <w:rPr>
                      <w:rFonts w:hint="eastAsia" w:ascii="Times New Roman" w:hAnsi="Times New Roman" w:cs="Times New Roman"/>
                      <w:spacing w:val="-4"/>
                      <w:szCs w:val="21"/>
                      <w:highlight w:val="none"/>
                      <w:lang w:val="en-US" w:eastAsia="zh-CN"/>
                    </w:rPr>
                    <w:t>5000</w:t>
                  </w:r>
                  <w:r>
                    <w:rPr>
                      <w:rFonts w:hint="default" w:ascii="Times New Roman" w:hAnsi="Times New Roman" w:cs="Times New Roman"/>
                      <w:spacing w:val="-4"/>
                      <w:szCs w:val="21"/>
                      <w:highlight w:val="none"/>
                    </w:rPr>
                    <w:t>平方米，</w:t>
                  </w:r>
                  <w:r>
                    <w:rPr>
                      <w:rFonts w:hint="eastAsia" w:ascii="Times New Roman" w:hAnsi="Times New Roman" w:cs="Times New Roman"/>
                      <w:spacing w:val="-4"/>
                      <w:szCs w:val="21"/>
                      <w:highlight w:val="none"/>
                      <w:lang w:eastAsia="zh-CN"/>
                    </w:rPr>
                    <w:t>位于厂区北侧西部，</w:t>
                  </w:r>
                  <w:r>
                    <w:rPr>
                      <w:rFonts w:hint="default" w:ascii="Times New Roman" w:hAnsi="Times New Roman" w:cs="Times New Roman"/>
                      <w:spacing w:val="-4"/>
                      <w:szCs w:val="21"/>
                      <w:highlight w:val="none"/>
                      <w:lang w:eastAsia="zh-CN"/>
                    </w:rPr>
                    <w:t>安装</w:t>
                  </w:r>
                  <w:r>
                    <w:rPr>
                      <w:rFonts w:hint="eastAsia" w:ascii="Times New Roman" w:hAnsi="Times New Roman" w:cs="Times New Roman"/>
                      <w:spacing w:val="-4"/>
                      <w:szCs w:val="21"/>
                      <w:highlight w:val="none"/>
                      <w:lang w:eastAsia="zh-CN"/>
                    </w:rPr>
                    <w:t>人发生产线</w:t>
                  </w:r>
                  <w:r>
                    <w:rPr>
                      <w:rFonts w:hint="eastAsia" w:ascii="Times New Roman" w:hAnsi="Times New Roman" w:cs="Times New Roman"/>
                      <w:spacing w:val="-4"/>
                      <w:szCs w:val="21"/>
                      <w:highlight w:val="none"/>
                      <w:lang w:val="en-US" w:eastAsia="zh-CN"/>
                    </w:rPr>
                    <w:t>1条</w:t>
                  </w:r>
                  <w:r>
                    <w:rPr>
                      <w:rFonts w:hint="default" w:ascii="Times New Roman" w:hAnsi="Times New Roman" w:cs="Times New Roman"/>
                      <w:spacing w:val="-4"/>
                      <w:szCs w:val="21"/>
                      <w:highlight w:val="none"/>
                      <w:lang w:eastAsia="zh-CN"/>
                    </w:rPr>
                    <w:t>，</w:t>
                  </w:r>
                  <w:r>
                    <w:rPr>
                      <w:rFonts w:hint="eastAsia" w:ascii="Times New Roman" w:hAnsi="Times New Roman" w:cs="Times New Roman"/>
                      <w:spacing w:val="-4"/>
                      <w:szCs w:val="21"/>
                      <w:highlight w:val="none"/>
                      <w:lang w:eastAsia="zh-CN"/>
                    </w:rPr>
                    <w:t>具备生产人发的全套工艺</w:t>
                  </w:r>
                  <w:r>
                    <w:rPr>
                      <w:rFonts w:hint="default" w:ascii="Times New Roman" w:hAnsi="Times New Roman" w:cs="Times New Roman"/>
                      <w:spacing w:val="-4"/>
                      <w:szCs w:val="21"/>
                      <w:highlight w:val="none"/>
                    </w:rPr>
                    <w:t>。</w:t>
                  </w:r>
                </w:p>
              </w:tc>
              <w:tc>
                <w:tcPr>
                  <w:tcW w:w="1163" w:type="pct"/>
                  <w:tcBorders>
                    <w:tl2br w:val="nil"/>
                    <w:tr2bl w:val="nil"/>
                  </w:tcBorders>
                  <w:noWrap w:val="0"/>
                  <w:vAlign w:val="center"/>
                </w:tcPr>
                <w:p>
                  <w:pPr>
                    <w:rPr>
                      <w:rFonts w:hint="eastAsia" w:ascii="Times New Roman" w:hAnsi="Times New Roman" w:eastAsia="宋体" w:cs="Times New Roman"/>
                      <w:spacing w:val="-4"/>
                      <w:szCs w:val="21"/>
                      <w:highlight w:val="none"/>
                      <w:lang w:val="en-US" w:eastAsia="zh-CN"/>
                    </w:rPr>
                  </w:pPr>
                  <w:r>
                    <w:rPr>
                      <w:rFonts w:hint="eastAsia" w:ascii="Times New Roman" w:hAnsi="Times New Roman" w:eastAsia="宋体" w:cs="Times New Roman"/>
                      <w:spacing w:val="-4"/>
                      <w:szCs w:val="21"/>
                      <w:highlight w:val="none"/>
                      <w:lang w:val="en-US"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382" w:type="pct"/>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辅助工程</w:t>
                  </w:r>
                </w:p>
              </w:tc>
              <w:tc>
                <w:tcPr>
                  <w:tcW w:w="594" w:type="pct"/>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办公室</w:t>
                  </w:r>
                </w:p>
              </w:tc>
              <w:tc>
                <w:tcPr>
                  <w:tcW w:w="2858" w:type="pct"/>
                  <w:tcBorders>
                    <w:tl2br w:val="nil"/>
                    <w:tr2bl w:val="nil"/>
                  </w:tcBorders>
                  <w:noWrap w:val="0"/>
                  <w:vAlign w:val="center"/>
                </w:tcPr>
                <w:p>
                  <w:pPr>
                    <w:rPr>
                      <w:rFonts w:hint="default" w:ascii="Times New Roman" w:hAnsi="Times New Roman" w:cs="Times New Roman"/>
                      <w:spacing w:val="-4"/>
                      <w:szCs w:val="21"/>
                      <w:highlight w:val="none"/>
                    </w:rPr>
                  </w:pPr>
                  <w:r>
                    <w:rPr>
                      <w:rFonts w:hint="default" w:ascii="Times New Roman" w:hAnsi="Times New Roman" w:cs="Times New Roman"/>
                      <w:spacing w:val="-4"/>
                      <w:szCs w:val="21"/>
                      <w:highlight w:val="none"/>
                    </w:rPr>
                    <w:t>砖混结构，建筑面积</w:t>
                  </w:r>
                  <w:r>
                    <w:rPr>
                      <w:rFonts w:hint="eastAsia" w:ascii="Times New Roman" w:hAnsi="Times New Roman" w:cs="Times New Roman"/>
                      <w:spacing w:val="-4"/>
                      <w:szCs w:val="21"/>
                      <w:highlight w:val="none"/>
                      <w:lang w:val="en-US" w:eastAsia="zh-CN"/>
                    </w:rPr>
                    <w:t>20</w:t>
                  </w:r>
                  <w:r>
                    <w:rPr>
                      <w:rFonts w:hint="default" w:ascii="Times New Roman" w:hAnsi="Times New Roman" w:cs="Times New Roman"/>
                      <w:spacing w:val="-4"/>
                      <w:szCs w:val="21"/>
                      <w:highlight w:val="none"/>
                      <w:lang w:val="en-US" w:eastAsia="zh-CN"/>
                    </w:rPr>
                    <w:t>00</w:t>
                  </w:r>
                  <w:r>
                    <w:rPr>
                      <w:rFonts w:hint="default" w:ascii="Times New Roman" w:hAnsi="Times New Roman" w:cs="Times New Roman"/>
                      <w:spacing w:val="-4"/>
                      <w:szCs w:val="21"/>
                      <w:highlight w:val="none"/>
                    </w:rPr>
                    <w:t>平方米，</w:t>
                  </w:r>
                  <w:r>
                    <w:rPr>
                      <w:rFonts w:hint="eastAsia" w:ascii="Times New Roman" w:hAnsi="Times New Roman" w:cs="Times New Roman"/>
                      <w:spacing w:val="-4"/>
                      <w:szCs w:val="21"/>
                      <w:highlight w:val="none"/>
                      <w:lang w:eastAsia="zh-CN"/>
                    </w:rPr>
                    <w:t>位于厂区北侧中部，</w:t>
                  </w:r>
                  <w:r>
                    <w:rPr>
                      <w:rFonts w:hint="default" w:ascii="Times New Roman" w:hAnsi="Times New Roman" w:cs="Times New Roman"/>
                      <w:spacing w:val="-4"/>
                      <w:szCs w:val="21"/>
                      <w:highlight w:val="none"/>
                    </w:rPr>
                    <w:t>主要用于生活办公</w:t>
                  </w:r>
                  <w:r>
                    <w:rPr>
                      <w:rFonts w:hint="eastAsia" w:ascii="Times New Roman" w:hAnsi="Times New Roman" w:cs="Times New Roman"/>
                      <w:spacing w:val="-4"/>
                      <w:szCs w:val="21"/>
                      <w:highlight w:val="none"/>
                      <w:lang w:eastAsia="zh-CN"/>
                    </w:rPr>
                    <w:t>，内部设有食堂及宿舍</w:t>
                  </w:r>
                  <w:r>
                    <w:rPr>
                      <w:rFonts w:hint="default" w:ascii="Times New Roman" w:hAnsi="Times New Roman" w:cs="Times New Roman"/>
                      <w:spacing w:val="-4"/>
                      <w:szCs w:val="21"/>
                      <w:highlight w:val="none"/>
                    </w:rPr>
                    <w:t>。</w:t>
                  </w:r>
                </w:p>
              </w:tc>
              <w:tc>
                <w:tcPr>
                  <w:tcW w:w="1163" w:type="pct"/>
                  <w:tcBorders>
                    <w:tl2br w:val="nil"/>
                    <w:tr2bl w:val="nil"/>
                  </w:tcBorders>
                  <w:noWrap w:val="0"/>
                  <w:vAlign w:val="center"/>
                </w:tcPr>
                <w:p>
                  <w:pPr>
                    <w:rPr>
                      <w:rFonts w:hint="default" w:ascii="Times New Roman" w:hAnsi="Times New Roman" w:cs="Times New Roman"/>
                      <w:spacing w:val="-4"/>
                      <w:szCs w:val="21"/>
                      <w:highlight w:val="none"/>
                    </w:rPr>
                  </w:pPr>
                  <w:r>
                    <w:rPr>
                      <w:rFonts w:hint="eastAsia" w:ascii="Times New Roman" w:hAnsi="Times New Roman" w:eastAsia="宋体" w:cs="Times New Roman"/>
                      <w:spacing w:val="-4"/>
                      <w:szCs w:val="21"/>
                      <w:highlight w:val="none"/>
                      <w:lang w:val="en-US"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382" w:type="pct"/>
                  <w:vMerge w:val="restar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公用工程</w:t>
                  </w:r>
                </w:p>
              </w:tc>
              <w:tc>
                <w:tcPr>
                  <w:tcW w:w="594" w:type="pct"/>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color w:val="000000"/>
                      <w:szCs w:val="21"/>
                    </w:rPr>
                    <w:t>给水</w:t>
                  </w:r>
                </w:p>
              </w:tc>
              <w:tc>
                <w:tcPr>
                  <w:tcW w:w="2858" w:type="pct"/>
                  <w:tcBorders>
                    <w:tl2br w:val="nil"/>
                    <w:tr2bl w:val="nil"/>
                  </w:tcBorders>
                  <w:noWrap w:val="0"/>
                  <w:vAlign w:val="center"/>
                </w:tcPr>
                <w:p>
                  <w:pPr>
                    <w:adjustRightInd w:val="0"/>
                    <w:snapToGrid w:val="0"/>
                    <w:rPr>
                      <w:rFonts w:hint="default" w:ascii="Times New Roman" w:hAnsi="Times New Roman" w:cs="Times New Roman"/>
                      <w:spacing w:val="-4"/>
                      <w:szCs w:val="21"/>
                    </w:rPr>
                  </w:pPr>
                  <w:r>
                    <w:rPr>
                      <w:rFonts w:hint="default" w:ascii="Times New Roman" w:hAnsi="Times New Roman" w:cs="Times New Roman"/>
                      <w:szCs w:val="21"/>
                    </w:rPr>
                    <w:t>用水来自</w:t>
                  </w:r>
                  <w:r>
                    <w:rPr>
                      <w:rFonts w:hint="eastAsia" w:ascii="Times New Roman" w:hAnsi="Times New Roman" w:cs="Times New Roman"/>
                      <w:szCs w:val="21"/>
                      <w:lang w:eastAsia="zh-CN"/>
                    </w:rPr>
                    <w:t>鄄城县自来水公司</w:t>
                  </w:r>
                  <w:r>
                    <w:rPr>
                      <w:rFonts w:hint="default" w:ascii="Times New Roman" w:hAnsi="Times New Roman" w:cs="Times New Roman"/>
                      <w:szCs w:val="21"/>
                    </w:rPr>
                    <w:t>。</w:t>
                  </w:r>
                </w:p>
              </w:tc>
              <w:tc>
                <w:tcPr>
                  <w:tcW w:w="1163" w:type="pct"/>
                  <w:tcBorders>
                    <w:tl2br w:val="nil"/>
                    <w:tr2bl w:val="nil"/>
                  </w:tcBorders>
                  <w:noWrap w:val="0"/>
                  <w:vAlign w:val="center"/>
                </w:tcPr>
                <w:p>
                  <w:pPr>
                    <w:adjustRightInd w:val="0"/>
                    <w:snapToGrid w:val="0"/>
                    <w:rPr>
                      <w:rFonts w:hint="default" w:ascii="Times New Roman" w:hAnsi="Times New Roman" w:cs="Times New Roman"/>
                      <w:szCs w:val="21"/>
                    </w:rPr>
                  </w:pPr>
                  <w:r>
                    <w:rPr>
                      <w:rFonts w:hint="eastAsia" w:ascii="Times New Roman" w:hAnsi="Times New Roman" w:eastAsia="宋体" w:cs="Times New Roman"/>
                      <w:spacing w:val="-4"/>
                      <w:szCs w:val="21"/>
                      <w:highlight w:val="none"/>
                      <w:lang w:val="en-US"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jc w:val="center"/>
              </w:trPr>
              <w:tc>
                <w:tcPr>
                  <w:tcW w:w="382" w:type="pct"/>
                  <w:vMerge w:val="continue"/>
                  <w:tcBorders>
                    <w:tl2br w:val="nil"/>
                    <w:tr2bl w:val="nil"/>
                  </w:tcBorders>
                  <w:noWrap w:val="0"/>
                  <w:vAlign w:val="center"/>
                </w:tcPr>
                <w:p>
                  <w:pPr>
                    <w:jc w:val="center"/>
                    <w:rPr>
                      <w:rFonts w:hint="default" w:ascii="Times New Roman" w:hAnsi="Times New Roman" w:cs="Times New Roman"/>
                      <w:szCs w:val="21"/>
                    </w:rPr>
                  </w:pPr>
                </w:p>
              </w:tc>
              <w:tc>
                <w:tcPr>
                  <w:tcW w:w="594" w:type="pct"/>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color w:val="000000"/>
                      <w:szCs w:val="21"/>
                    </w:rPr>
                    <w:t>排水</w:t>
                  </w:r>
                </w:p>
              </w:tc>
              <w:tc>
                <w:tcPr>
                  <w:tcW w:w="2858" w:type="pct"/>
                  <w:tcBorders>
                    <w:tl2br w:val="nil"/>
                    <w:tr2bl w:val="nil"/>
                  </w:tcBorders>
                  <w:noWrap w:val="0"/>
                  <w:vAlign w:val="center"/>
                </w:tcPr>
                <w:p>
                  <w:pPr>
                    <w:adjustRightInd w:val="0"/>
                    <w:snapToGrid w:val="0"/>
                    <w:spacing w:line="240" w:lineRule="auto"/>
                    <w:jc w:val="left"/>
                    <w:rPr>
                      <w:rFonts w:hint="default" w:ascii="Times New Roman" w:hAnsi="Times New Roman" w:cs="Times New Roman"/>
                      <w:spacing w:val="-4"/>
                      <w:szCs w:val="21"/>
                    </w:rPr>
                  </w:pPr>
                  <w:r>
                    <w:rPr>
                      <w:rFonts w:hint="default" w:ascii="Times New Roman" w:hAnsi="Times New Roman" w:cs="Times New Roman"/>
                      <w:szCs w:val="21"/>
                    </w:rPr>
                    <w:t>项目排水采用雨污分流制。</w:t>
                  </w:r>
                  <w:r>
                    <w:rPr>
                      <w:rFonts w:hint="eastAsia" w:ascii="Times New Roman" w:hAnsi="Times New Roman" w:cs="Times New Roman"/>
                      <w:szCs w:val="21"/>
                      <w:lang w:eastAsia="zh-CN"/>
                    </w:rPr>
                    <w:t>废水由</w:t>
                  </w:r>
                  <w:r>
                    <w:rPr>
                      <w:rFonts w:hint="eastAsia" w:ascii="Times New Roman" w:hAnsi="Times New Roman" w:cs="Times New Roman"/>
                      <w:kern w:val="0"/>
                      <w:szCs w:val="21"/>
                      <w:highlight w:val="none"/>
                      <w:lang w:eastAsia="zh-CN"/>
                    </w:rPr>
                    <w:t>鄄城县第二污水处理厂</w:t>
                  </w:r>
                  <w:r>
                    <w:rPr>
                      <w:rFonts w:hint="default" w:ascii="Times New Roman" w:hAnsi="Times New Roman" w:cs="Times New Roman"/>
                      <w:szCs w:val="21"/>
                      <w:lang w:eastAsia="zh-CN"/>
                    </w:rPr>
                    <w:t>进行深度处理</w:t>
                  </w:r>
                  <w:r>
                    <w:rPr>
                      <w:rFonts w:hint="default" w:ascii="Times New Roman" w:hAnsi="Times New Roman" w:cs="Times New Roman"/>
                      <w:szCs w:val="21"/>
                    </w:rPr>
                    <w:t>。</w:t>
                  </w:r>
                </w:p>
              </w:tc>
              <w:tc>
                <w:tcPr>
                  <w:tcW w:w="1163" w:type="pct"/>
                  <w:tcBorders>
                    <w:tl2br w:val="nil"/>
                    <w:tr2bl w:val="nil"/>
                  </w:tcBorders>
                  <w:noWrap w:val="0"/>
                  <w:vAlign w:val="center"/>
                </w:tcPr>
                <w:p>
                  <w:pPr>
                    <w:adjustRightInd w:val="0"/>
                    <w:snapToGrid w:val="0"/>
                    <w:spacing w:line="240" w:lineRule="auto"/>
                    <w:jc w:val="left"/>
                    <w:rPr>
                      <w:rFonts w:hint="default" w:ascii="Times New Roman" w:hAnsi="Times New Roman" w:cs="Times New Roman"/>
                      <w:szCs w:val="21"/>
                    </w:rPr>
                  </w:pPr>
                  <w:r>
                    <w:rPr>
                      <w:rFonts w:hint="eastAsia" w:ascii="Times New Roman" w:hAnsi="Times New Roman" w:eastAsia="宋体" w:cs="Times New Roman"/>
                      <w:spacing w:val="-4"/>
                      <w:szCs w:val="21"/>
                      <w:highlight w:val="none"/>
                      <w:lang w:val="en-US"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382" w:type="pct"/>
                  <w:vMerge w:val="continue"/>
                  <w:tcBorders>
                    <w:tl2br w:val="nil"/>
                    <w:tr2bl w:val="nil"/>
                  </w:tcBorders>
                  <w:noWrap w:val="0"/>
                  <w:vAlign w:val="center"/>
                </w:tcPr>
                <w:p>
                  <w:pPr>
                    <w:jc w:val="center"/>
                    <w:rPr>
                      <w:rFonts w:hint="default" w:ascii="Times New Roman" w:hAnsi="Times New Roman" w:cs="Times New Roman"/>
                      <w:szCs w:val="21"/>
                    </w:rPr>
                  </w:pPr>
                </w:p>
              </w:tc>
              <w:tc>
                <w:tcPr>
                  <w:tcW w:w="594" w:type="pct"/>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color w:val="000000"/>
                      <w:szCs w:val="21"/>
                    </w:rPr>
                    <w:t>供电</w:t>
                  </w:r>
                </w:p>
              </w:tc>
              <w:tc>
                <w:tcPr>
                  <w:tcW w:w="2858" w:type="pct"/>
                  <w:tcBorders>
                    <w:tl2br w:val="nil"/>
                    <w:tr2bl w:val="nil"/>
                  </w:tcBorders>
                  <w:noWrap w:val="0"/>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由供电所提供，年用电量约</w:t>
                  </w:r>
                  <w:r>
                    <w:rPr>
                      <w:rFonts w:hint="eastAsia" w:ascii="Times New Roman" w:hAnsi="Times New Roman" w:cs="Times New Roman"/>
                      <w:szCs w:val="21"/>
                      <w:lang w:val="en-US" w:eastAsia="zh-CN"/>
                    </w:rPr>
                    <w:t>20</w:t>
                  </w:r>
                  <w:r>
                    <w:rPr>
                      <w:rFonts w:hint="default" w:ascii="Times New Roman" w:hAnsi="Times New Roman" w:cs="Times New Roman"/>
                      <w:szCs w:val="21"/>
                    </w:rPr>
                    <w:t>万kWh。</w:t>
                  </w:r>
                </w:p>
              </w:tc>
              <w:tc>
                <w:tcPr>
                  <w:tcW w:w="1163" w:type="pct"/>
                  <w:tcBorders>
                    <w:tl2br w:val="nil"/>
                    <w:tr2bl w:val="nil"/>
                  </w:tcBorders>
                  <w:noWrap w:val="0"/>
                  <w:vAlign w:val="center"/>
                </w:tcPr>
                <w:p>
                  <w:pPr>
                    <w:adjustRightInd w:val="0"/>
                    <w:snapToGrid w:val="0"/>
                    <w:rPr>
                      <w:rFonts w:hint="default" w:ascii="Times New Roman" w:hAnsi="Times New Roman" w:cs="Times New Roman"/>
                      <w:szCs w:val="21"/>
                    </w:rPr>
                  </w:pPr>
                  <w:r>
                    <w:rPr>
                      <w:rFonts w:hint="eastAsia" w:ascii="Times New Roman" w:hAnsi="Times New Roman" w:eastAsia="宋体" w:cs="Times New Roman"/>
                      <w:spacing w:val="-4"/>
                      <w:szCs w:val="21"/>
                      <w:highlight w:val="none"/>
                      <w:lang w:val="en-US"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382" w:type="pct"/>
                  <w:vMerge w:val="continue"/>
                  <w:tcBorders>
                    <w:tl2br w:val="nil"/>
                    <w:tr2bl w:val="nil"/>
                  </w:tcBorders>
                  <w:noWrap w:val="0"/>
                  <w:vAlign w:val="center"/>
                </w:tcPr>
                <w:p>
                  <w:pPr>
                    <w:jc w:val="center"/>
                    <w:rPr>
                      <w:rFonts w:hint="default" w:ascii="Times New Roman" w:hAnsi="Times New Roman" w:cs="Times New Roman"/>
                      <w:szCs w:val="21"/>
                    </w:rPr>
                  </w:pPr>
                </w:p>
              </w:tc>
              <w:tc>
                <w:tcPr>
                  <w:tcW w:w="594" w:type="pct"/>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color w:val="000000"/>
                      <w:szCs w:val="21"/>
                    </w:rPr>
                    <w:t>供热</w:t>
                  </w:r>
                </w:p>
              </w:tc>
              <w:tc>
                <w:tcPr>
                  <w:tcW w:w="2858" w:type="pct"/>
                  <w:tcBorders>
                    <w:tl2br w:val="nil"/>
                    <w:tr2bl w:val="nil"/>
                  </w:tcBorders>
                  <w:noWrap w:val="0"/>
                  <w:vAlign w:val="center"/>
                </w:tcPr>
                <w:p>
                  <w:pPr>
                    <w:adjustRightInd w:val="0"/>
                    <w:snapToGrid w:val="0"/>
                    <w:rPr>
                      <w:rFonts w:hint="default" w:ascii="Times New Roman" w:hAnsi="Times New Roman" w:cs="Times New Roman"/>
                      <w:szCs w:val="21"/>
                    </w:rPr>
                  </w:pPr>
                  <w:r>
                    <w:rPr>
                      <w:rFonts w:hint="eastAsia" w:ascii="Times New Roman" w:hAnsi="Times New Roman" w:cs="Times New Roman"/>
                      <w:szCs w:val="21"/>
                      <w:lang w:eastAsia="zh-CN"/>
                    </w:rPr>
                    <w:t>烘干</w:t>
                  </w:r>
                  <w:r>
                    <w:rPr>
                      <w:rFonts w:hint="default" w:ascii="Times New Roman" w:hAnsi="Times New Roman" w:cs="Times New Roman"/>
                      <w:szCs w:val="21"/>
                    </w:rPr>
                    <w:t>过程</w:t>
                  </w:r>
                  <w:r>
                    <w:rPr>
                      <w:rFonts w:hint="eastAsia" w:ascii="Times New Roman" w:hAnsi="Times New Roman" w:cs="Times New Roman"/>
                      <w:szCs w:val="21"/>
                      <w:lang w:eastAsia="zh-CN"/>
                    </w:rPr>
                    <w:t>热蒸汽由菏泽宁鲁供热有限公司供给</w:t>
                  </w:r>
                  <w:r>
                    <w:rPr>
                      <w:rFonts w:hint="default" w:ascii="Times New Roman" w:hAnsi="Times New Roman" w:cs="Times New Roman"/>
                      <w:szCs w:val="21"/>
                    </w:rPr>
                    <w:t>，生活取暖采用空调。</w:t>
                  </w:r>
                </w:p>
              </w:tc>
              <w:tc>
                <w:tcPr>
                  <w:tcW w:w="1163" w:type="pct"/>
                  <w:tcBorders>
                    <w:tl2br w:val="nil"/>
                    <w:tr2bl w:val="nil"/>
                  </w:tcBorders>
                  <w:noWrap w:val="0"/>
                  <w:vAlign w:val="center"/>
                </w:tcPr>
                <w:p>
                  <w:pPr>
                    <w:adjustRightInd w:val="0"/>
                    <w:snapToGrid w:val="0"/>
                    <w:rPr>
                      <w:rFonts w:hint="eastAsia" w:ascii="Times New Roman" w:hAnsi="Times New Roman" w:cs="Times New Roman"/>
                      <w:szCs w:val="21"/>
                      <w:lang w:eastAsia="zh-CN"/>
                    </w:rPr>
                  </w:pPr>
                  <w:r>
                    <w:rPr>
                      <w:rFonts w:hint="eastAsia" w:ascii="Times New Roman" w:hAnsi="Times New Roman" w:eastAsia="宋体" w:cs="Times New Roman"/>
                      <w:spacing w:val="-4"/>
                      <w:szCs w:val="21"/>
                      <w:highlight w:val="none"/>
                      <w:lang w:val="en-US"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82" w:type="pct"/>
                  <w:vMerge w:val="restar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环保工程</w:t>
                  </w:r>
                </w:p>
              </w:tc>
              <w:tc>
                <w:tcPr>
                  <w:tcW w:w="594" w:type="pc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highlight w:val="none"/>
                    </w:rPr>
                    <w:t>废气处理</w:t>
                  </w:r>
                </w:p>
              </w:tc>
              <w:tc>
                <w:tcPr>
                  <w:tcW w:w="2858" w:type="pct"/>
                  <w:tcBorders>
                    <w:tl2br w:val="nil"/>
                    <w:tr2bl w:val="nil"/>
                  </w:tcBorders>
                  <w:noWrap w:val="0"/>
                  <w:vAlign w:val="center"/>
                </w:tcPr>
                <w:p>
                  <w:pPr>
                    <w:spacing w:line="320" w:lineRule="exact"/>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eastAsia="zh-CN"/>
                    </w:rPr>
                    <w:t>酸性废气：</w:t>
                  </w:r>
                  <w:r>
                    <w:rPr>
                      <w:rFonts w:hint="eastAsia" w:ascii="Times New Roman" w:hAnsi="Times New Roman" w:cs="Times New Roman"/>
                      <w:bCs/>
                      <w:szCs w:val="21"/>
                      <w:highlight w:val="none"/>
                      <w:lang w:eastAsia="zh-CN"/>
                    </w:rPr>
                    <w:t>集气罩</w:t>
                  </w:r>
                  <w:r>
                    <w:rPr>
                      <w:rFonts w:hint="default" w:ascii="Times New Roman" w:hAnsi="Times New Roman" w:cs="Times New Roman"/>
                      <w:bCs/>
                      <w:szCs w:val="21"/>
                      <w:highlight w:val="none"/>
                    </w:rPr>
                    <w:t>+</w:t>
                  </w:r>
                  <w:r>
                    <w:rPr>
                      <w:rFonts w:hint="eastAsia" w:ascii="Times New Roman" w:hAnsi="Times New Roman" w:cs="Times New Roman"/>
                      <w:bCs/>
                      <w:szCs w:val="21"/>
                      <w:highlight w:val="none"/>
                      <w:lang w:eastAsia="zh-CN"/>
                    </w:rPr>
                    <w:t>碱式喷淋塔</w:t>
                  </w:r>
                  <w:r>
                    <w:rPr>
                      <w:rFonts w:hint="default" w:ascii="Times New Roman" w:hAnsi="Times New Roman" w:cs="Times New Roman"/>
                      <w:bCs/>
                      <w:szCs w:val="21"/>
                      <w:highlight w:val="none"/>
                    </w:rPr>
                    <w:t>+15m排气筒</w:t>
                  </w:r>
                  <w:r>
                    <w:rPr>
                      <w:rFonts w:hint="eastAsia" w:ascii="Times New Roman" w:hAnsi="Times New Roman" w:cs="Times New Roman"/>
                      <w:bCs/>
                      <w:szCs w:val="21"/>
                      <w:highlight w:val="none"/>
                      <w:lang w:val="en-US" w:eastAsia="zh-CN"/>
                    </w:rPr>
                    <w:t>P7、</w:t>
                  </w:r>
                  <w:r>
                    <w:rPr>
                      <w:rFonts w:hint="eastAsia" w:ascii="Times New Roman" w:hAnsi="Times New Roman" w:cs="Times New Roman"/>
                      <w:szCs w:val="21"/>
                      <w:highlight w:val="none"/>
                      <w:lang w:val="en-US" w:eastAsia="zh-CN"/>
                    </w:rPr>
                    <w:t>；</w:t>
                  </w:r>
                </w:p>
                <w:p>
                  <w:pPr>
                    <w:spacing w:line="320" w:lineRule="exact"/>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eastAsia="zh-CN"/>
                    </w:rPr>
                    <w:t>碱性废气：</w:t>
                  </w:r>
                  <w:r>
                    <w:rPr>
                      <w:rFonts w:hint="eastAsia" w:ascii="Times New Roman" w:hAnsi="Times New Roman" w:cs="Times New Roman"/>
                      <w:bCs/>
                      <w:szCs w:val="21"/>
                      <w:highlight w:val="none"/>
                      <w:lang w:eastAsia="zh-CN"/>
                    </w:rPr>
                    <w:t>集气罩</w:t>
                  </w:r>
                  <w:r>
                    <w:rPr>
                      <w:rFonts w:hint="default" w:ascii="Times New Roman" w:hAnsi="Times New Roman" w:cs="Times New Roman"/>
                      <w:bCs/>
                      <w:szCs w:val="21"/>
                      <w:highlight w:val="none"/>
                    </w:rPr>
                    <w:t>+</w:t>
                  </w:r>
                  <w:r>
                    <w:rPr>
                      <w:rFonts w:hint="eastAsia" w:ascii="Times New Roman" w:hAnsi="Times New Roman" w:cs="Times New Roman"/>
                      <w:bCs/>
                      <w:szCs w:val="21"/>
                      <w:highlight w:val="none"/>
                      <w:lang w:eastAsia="zh-CN"/>
                    </w:rPr>
                    <w:t>酸式喷淋塔</w:t>
                  </w:r>
                  <w:r>
                    <w:rPr>
                      <w:rFonts w:hint="default" w:ascii="Times New Roman" w:hAnsi="Times New Roman" w:cs="Times New Roman"/>
                      <w:bCs/>
                      <w:szCs w:val="21"/>
                      <w:highlight w:val="none"/>
                    </w:rPr>
                    <w:t>+15m排气筒</w:t>
                  </w:r>
                  <w:r>
                    <w:rPr>
                      <w:rFonts w:hint="eastAsia" w:ascii="Times New Roman" w:hAnsi="Times New Roman" w:cs="Times New Roman"/>
                      <w:bCs/>
                      <w:szCs w:val="21"/>
                      <w:highlight w:val="none"/>
                      <w:lang w:val="en-US" w:eastAsia="zh-CN"/>
                    </w:rPr>
                    <w:t>P8</w:t>
                  </w:r>
                  <w:r>
                    <w:rPr>
                      <w:rFonts w:hint="eastAsia" w:ascii="Times New Roman" w:hAnsi="Times New Roman" w:cs="Times New Roman"/>
                      <w:szCs w:val="21"/>
                      <w:highlight w:val="none"/>
                      <w:lang w:val="en-US" w:eastAsia="zh-CN"/>
                    </w:rPr>
                    <w:t>；</w:t>
                  </w:r>
                </w:p>
                <w:p>
                  <w:pPr>
                    <w:spacing w:line="320" w:lineRule="exact"/>
                    <w:rPr>
                      <w:rFonts w:hint="default" w:ascii="Times New Roman" w:hAnsi="Times New Roman" w:cs="Times New Roman"/>
                      <w:szCs w:val="21"/>
                      <w:highlight w:val="none"/>
                      <w:lang w:eastAsia="zh-CN"/>
                    </w:rPr>
                  </w:pPr>
                  <w:r>
                    <w:rPr>
                      <w:rFonts w:hint="eastAsia" w:ascii="Times New Roman" w:hAnsi="Times New Roman" w:cs="Times New Roman"/>
                      <w:szCs w:val="21"/>
                      <w:highlight w:val="none"/>
                      <w:lang w:eastAsia="zh-CN"/>
                    </w:rPr>
                    <w:t>污水处理站密闭，</w:t>
                  </w:r>
                  <w:r>
                    <w:rPr>
                      <w:rFonts w:hint="eastAsia" w:ascii="Times New Roman" w:hAnsi="Times New Roman" w:cs="Times New Roman"/>
                      <w:color w:val="auto"/>
                      <w:highlight w:val="none"/>
                      <w:lang w:eastAsia="zh-CN"/>
                    </w:rPr>
                    <w:t>安装活性炭装置</w:t>
                  </w:r>
                  <w:r>
                    <w:rPr>
                      <w:rFonts w:hint="eastAsia" w:ascii="Times New Roman" w:hAnsi="Times New Roman" w:cs="Times New Roman"/>
                      <w:color w:val="auto"/>
                      <w:highlight w:val="none"/>
                      <w:lang w:val="en-US" w:eastAsia="zh-CN"/>
                    </w:rPr>
                    <w:t>+15m排气筒P1排放</w:t>
                  </w:r>
                  <w:r>
                    <w:rPr>
                      <w:rFonts w:hint="eastAsia" w:ascii="Times New Roman" w:hAnsi="Times New Roman" w:cs="Times New Roman"/>
                      <w:szCs w:val="21"/>
                      <w:highlight w:val="none"/>
                      <w:lang w:eastAsia="zh-CN"/>
                    </w:rPr>
                    <w:t>；</w:t>
                  </w:r>
                </w:p>
                <w:p>
                  <w:pPr>
                    <w:spacing w:line="320" w:lineRule="exact"/>
                    <w:rPr>
                      <w:rFonts w:hint="eastAsia" w:ascii="Times New Roman" w:hAnsi="Times New Roman" w:cs="Times New Roman"/>
                      <w:szCs w:val="21"/>
                      <w:highlight w:val="none"/>
                      <w:lang w:eastAsia="zh-CN"/>
                    </w:rPr>
                  </w:pPr>
                  <w:r>
                    <w:rPr>
                      <w:rFonts w:hint="default" w:ascii="Times New Roman" w:hAnsi="Times New Roman" w:cs="Times New Roman"/>
                      <w:szCs w:val="21"/>
                      <w:highlight w:val="none"/>
                      <w:lang w:eastAsia="zh-CN"/>
                    </w:rPr>
                    <w:t>生产</w:t>
                  </w:r>
                  <w:r>
                    <w:rPr>
                      <w:rFonts w:hint="default" w:ascii="Times New Roman" w:hAnsi="Times New Roman" w:cs="Times New Roman"/>
                      <w:szCs w:val="21"/>
                      <w:highlight w:val="none"/>
                    </w:rPr>
                    <w:t>车间封闭，</w:t>
                  </w:r>
                  <w:r>
                    <w:rPr>
                      <w:rFonts w:hint="eastAsia" w:ascii="Times New Roman" w:hAnsi="Times New Roman" w:cs="Times New Roman"/>
                      <w:szCs w:val="21"/>
                      <w:highlight w:val="none"/>
                      <w:lang w:eastAsia="zh-CN"/>
                    </w:rPr>
                    <w:t>减少</w:t>
                  </w:r>
                  <w:r>
                    <w:rPr>
                      <w:rFonts w:hint="default" w:ascii="Times New Roman" w:hAnsi="Times New Roman" w:cs="Times New Roman"/>
                      <w:szCs w:val="21"/>
                      <w:highlight w:val="none"/>
                      <w:lang w:eastAsia="zh-CN"/>
                    </w:rPr>
                    <w:t>无组织</w:t>
                  </w:r>
                  <w:r>
                    <w:rPr>
                      <w:rFonts w:hint="eastAsia" w:ascii="Times New Roman" w:hAnsi="Times New Roman" w:cs="Times New Roman"/>
                      <w:szCs w:val="21"/>
                      <w:highlight w:val="none"/>
                      <w:lang w:eastAsia="zh-CN"/>
                    </w:rPr>
                    <w:t>废气</w:t>
                  </w:r>
                  <w:r>
                    <w:rPr>
                      <w:rFonts w:hint="default" w:ascii="Times New Roman" w:hAnsi="Times New Roman" w:cs="Times New Roman"/>
                      <w:szCs w:val="21"/>
                      <w:highlight w:val="none"/>
                      <w:lang w:eastAsia="zh-CN"/>
                    </w:rPr>
                    <w:t>排放</w:t>
                  </w:r>
                  <w:r>
                    <w:rPr>
                      <w:rFonts w:hint="eastAsia" w:ascii="Times New Roman" w:hAnsi="Times New Roman" w:cs="Times New Roman"/>
                      <w:szCs w:val="21"/>
                      <w:highlight w:val="none"/>
                      <w:lang w:eastAsia="zh-CN"/>
                    </w:rPr>
                    <w:t>；</w:t>
                  </w:r>
                </w:p>
                <w:p>
                  <w:pPr>
                    <w:spacing w:line="320" w:lineRule="exact"/>
                    <w:rPr>
                      <w:rFonts w:hint="default" w:ascii="Times New Roman" w:hAnsi="Times New Roman" w:eastAsia="宋体" w:cs="Times New Roman"/>
                      <w:szCs w:val="21"/>
                      <w:lang w:eastAsia="zh-CN"/>
                    </w:rPr>
                  </w:pPr>
                  <w:r>
                    <w:rPr>
                      <w:rFonts w:hint="eastAsia" w:ascii="Times New Roman" w:hAnsi="Times New Roman" w:cs="Times New Roman"/>
                      <w:szCs w:val="21"/>
                      <w:highlight w:val="none"/>
                      <w:lang w:eastAsia="zh-CN"/>
                    </w:rPr>
                    <w:t>食堂油烟：吸排油烟机</w:t>
                  </w:r>
                  <w:r>
                    <w:rPr>
                      <w:rFonts w:hint="eastAsia" w:ascii="Times New Roman" w:hAnsi="Times New Roman" w:cs="Times New Roman"/>
                      <w:szCs w:val="21"/>
                      <w:highlight w:val="none"/>
                      <w:lang w:val="en-US" w:eastAsia="zh-CN"/>
                    </w:rPr>
                    <w:t>+排气筒</w:t>
                  </w:r>
                  <w:r>
                    <w:rPr>
                      <w:rFonts w:hint="default" w:ascii="Times New Roman" w:hAnsi="Times New Roman" w:cs="Times New Roman"/>
                      <w:szCs w:val="21"/>
                      <w:highlight w:val="none"/>
                      <w:lang w:eastAsia="zh-CN"/>
                    </w:rPr>
                    <w:t>。</w:t>
                  </w:r>
                </w:p>
              </w:tc>
              <w:tc>
                <w:tcPr>
                  <w:tcW w:w="1163" w:type="pct"/>
                  <w:tcBorders>
                    <w:tl2br w:val="nil"/>
                    <w:tr2bl w:val="nil"/>
                  </w:tcBorders>
                  <w:noWrap w:val="0"/>
                  <w:vAlign w:val="center"/>
                </w:tcPr>
                <w:p>
                  <w:pPr>
                    <w:spacing w:line="320" w:lineRule="exact"/>
                    <w:rPr>
                      <w:rFonts w:hint="eastAsia" w:ascii="Times New Roman" w:hAnsi="Times New Roman" w:cs="Times New Roman"/>
                      <w:szCs w:val="21"/>
                      <w:highlight w:val="none"/>
                      <w:lang w:eastAsia="zh-CN"/>
                    </w:rPr>
                  </w:pPr>
                  <w:r>
                    <w:rPr>
                      <w:rFonts w:hint="eastAsia" w:ascii="Times New Roman" w:hAnsi="Times New Roman" w:eastAsia="宋体" w:cs="Times New Roman"/>
                      <w:spacing w:val="-4"/>
                      <w:szCs w:val="21"/>
                      <w:highlight w:val="none"/>
                      <w:lang w:val="en-US" w:eastAsia="zh-CN"/>
                    </w:rPr>
                    <w:t>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82" w:type="pct"/>
                  <w:vMerge w:val="continue"/>
                  <w:tcBorders>
                    <w:tl2br w:val="nil"/>
                    <w:tr2bl w:val="nil"/>
                  </w:tcBorders>
                  <w:noWrap w:val="0"/>
                  <w:vAlign w:val="center"/>
                </w:tcPr>
                <w:p>
                  <w:pPr>
                    <w:jc w:val="center"/>
                    <w:rPr>
                      <w:rFonts w:hint="default" w:ascii="Times New Roman" w:hAnsi="Times New Roman" w:cs="Times New Roman"/>
                      <w:szCs w:val="21"/>
                    </w:rPr>
                  </w:pPr>
                </w:p>
              </w:tc>
              <w:tc>
                <w:tcPr>
                  <w:tcW w:w="594" w:type="pc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污水处理</w:t>
                  </w:r>
                </w:p>
              </w:tc>
              <w:tc>
                <w:tcPr>
                  <w:tcW w:w="2858" w:type="pct"/>
                  <w:tcBorders>
                    <w:tl2br w:val="nil"/>
                    <w:tr2bl w:val="nil"/>
                  </w:tcBorders>
                  <w:noWrap w:val="0"/>
                  <w:vAlign w:val="center"/>
                </w:tcPr>
                <w:p>
                  <w:pPr>
                    <w:spacing w:line="320" w:lineRule="exact"/>
                    <w:rPr>
                      <w:rFonts w:hint="default" w:ascii="Times New Roman" w:hAnsi="Times New Roman" w:cs="Times New Roman"/>
                      <w:kern w:val="0"/>
                      <w:szCs w:val="21"/>
                      <w:highlight w:val="none"/>
                      <w:lang w:eastAsia="zh-CN"/>
                    </w:rPr>
                  </w:pPr>
                  <w:r>
                    <w:rPr>
                      <w:rFonts w:hint="eastAsia" w:ascii="Times New Roman" w:hAnsi="Times New Roman" w:cs="Times New Roman"/>
                      <w:kern w:val="0"/>
                      <w:szCs w:val="21"/>
                      <w:highlight w:val="none"/>
                      <w:lang w:eastAsia="zh-CN"/>
                    </w:rPr>
                    <w:t>生产废水和生活污水经混合后，由厂区污水处理站处理达标后，经市政管网排至鄄城县第二污水处理厂进行深度处理</w:t>
                  </w:r>
                  <w:r>
                    <w:rPr>
                      <w:rFonts w:hint="default" w:ascii="Times New Roman" w:hAnsi="Times New Roman" w:cs="Times New Roman"/>
                      <w:szCs w:val="21"/>
                      <w:highlight w:val="none"/>
                    </w:rPr>
                    <w:t>。</w:t>
                  </w:r>
                </w:p>
              </w:tc>
              <w:tc>
                <w:tcPr>
                  <w:tcW w:w="1163" w:type="pct"/>
                  <w:tcBorders>
                    <w:tl2br w:val="nil"/>
                    <w:tr2bl w:val="nil"/>
                  </w:tcBorders>
                  <w:noWrap w:val="0"/>
                  <w:vAlign w:val="center"/>
                </w:tcPr>
                <w:p>
                  <w:pPr>
                    <w:spacing w:line="320" w:lineRule="exact"/>
                    <w:rPr>
                      <w:rFonts w:hint="eastAsia" w:ascii="Times New Roman" w:hAnsi="Times New Roman" w:cs="Times New Roman"/>
                      <w:kern w:val="0"/>
                      <w:szCs w:val="21"/>
                      <w:highlight w:val="none"/>
                      <w:lang w:eastAsia="zh-CN"/>
                    </w:rPr>
                  </w:pPr>
                  <w:r>
                    <w:rPr>
                      <w:rFonts w:hint="eastAsia" w:ascii="Times New Roman" w:hAnsi="Times New Roman" w:eastAsia="宋体" w:cs="Times New Roman"/>
                      <w:spacing w:val="-4"/>
                      <w:szCs w:val="21"/>
                      <w:highlight w:val="none"/>
                      <w:lang w:val="en-US"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82" w:type="pct"/>
                  <w:vMerge w:val="continue"/>
                  <w:tcBorders>
                    <w:tl2br w:val="nil"/>
                    <w:tr2bl w:val="nil"/>
                  </w:tcBorders>
                  <w:noWrap w:val="0"/>
                  <w:vAlign w:val="center"/>
                </w:tcPr>
                <w:p>
                  <w:pPr>
                    <w:jc w:val="center"/>
                    <w:rPr>
                      <w:rFonts w:hint="default" w:ascii="Times New Roman" w:hAnsi="Times New Roman" w:cs="Times New Roman"/>
                      <w:szCs w:val="21"/>
                    </w:rPr>
                  </w:pPr>
                </w:p>
              </w:tc>
              <w:tc>
                <w:tcPr>
                  <w:tcW w:w="594" w:type="pc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固废处理</w:t>
                  </w:r>
                </w:p>
              </w:tc>
              <w:tc>
                <w:tcPr>
                  <w:tcW w:w="2858" w:type="pct"/>
                  <w:tcBorders>
                    <w:tl2br w:val="nil"/>
                    <w:tr2bl w:val="nil"/>
                  </w:tcBorders>
                  <w:noWrap w:val="0"/>
                  <w:vAlign w:val="center"/>
                </w:tcPr>
                <w:p>
                  <w:pPr>
                    <w:spacing w:line="320" w:lineRule="exact"/>
                    <w:rPr>
                      <w:rFonts w:hint="default" w:ascii="Times New Roman" w:hAnsi="Times New Roman" w:cs="Times New Roman"/>
                      <w:szCs w:val="21"/>
                    </w:rPr>
                  </w:pPr>
                  <w:r>
                    <w:rPr>
                      <w:rFonts w:hint="default" w:ascii="Times New Roman" w:hAnsi="Times New Roman" w:cs="Times New Roman"/>
                      <w:szCs w:val="21"/>
                    </w:rPr>
                    <w:t>生活垃圾统一收集，</w:t>
                  </w:r>
                  <w:r>
                    <w:rPr>
                      <w:rFonts w:hint="default" w:ascii="Times New Roman" w:hAnsi="Times New Roman" w:cs="Times New Roman"/>
                      <w:szCs w:val="21"/>
                      <w:highlight w:val="none"/>
                    </w:rPr>
                    <w:t>然后由环卫部门统一处理；</w:t>
                  </w:r>
                  <w:r>
                    <w:rPr>
                      <w:rFonts w:hint="eastAsia" w:ascii="Times New Roman" w:hAnsi="Times New Roman" w:cs="Times New Roman"/>
                      <w:szCs w:val="21"/>
                      <w:highlight w:val="none"/>
                      <w:lang w:eastAsia="zh-CN"/>
                    </w:rPr>
                    <w:t>污水处理站污泥</w:t>
                  </w:r>
                  <w:r>
                    <w:rPr>
                      <w:rFonts w:hint="default" w:ascii="Times New Roman" w:hAnsi="Times New Roman" w:cs="Times New Roman"/>
                      <w:szCs w:val="21"/>
                      <w:highlight w:val="none"/>
                    </w:rPr>
                    <w:t>收集后</w:t>
                  </w:r>
                  <w:r>
                    <w:rPr>
                      <w:rFonts w:hint="default" w:ascii="Times New Roman" w:hAnsi="Times New Roman" w:cs="Times New Roman"/>
                      <w:szCs w:val="21"/>
                      <w:highlight w:val="none"/>
                      <w:lang w:eastAsia="zh-CN"/>
                    </w:rPr>
                    <w:t>交由专门的污泥处置单位进行安全处置</w:t>
                  </w:r>
                  <w:r>
                    <w:rPr>
                      <w:rFonts w:hint="default" w:ascii="Times New Roman" w:hAnsi="Times New Roman" w:cs="Times New Roman"/>
                      <w:szCs w:val="21"/>
                      <w:highlight w:val="none"/>
                    </w:rPr>
                    <w:t>；</w:t>
                  </w:r>
                  <w:r>
                    <w:rPr>
                      <w:rFonts w:hint="default" w:ascii="Times New Roman" w:hAnsi="Times New Roman" w:cs="Times New Roman"/>
                      <w:szCs w:val="21"/>
                      <w:highlight w:val="none"/>
                      <w:lang w:eastAsia="zh-CN"/>
                    </w:rPr>
                    <w:t>下脚料</w:t>
                  </w:r>
                  <w:r>
                    <w:rPr>
                      <w:rFonts w:hint="eastAsia" w:ascii="Times New Roman" w:hAnsi="Times New Roman" w:cs="Times New Roman"/>
                      <w:szCs w:val="21"/>
                      <w:highlight w:val="none"/>
                      <w:lang w:eastAsia="zh-CN"/>
                    </w:rPr>
                    <w:t>、废包装物</w:t>
                  </w:r>
                  <w:r>
                    <w:rPr>
                      <w:rFonts w:hint="default" w:ascii="Times New Roman" w:hAnsi="Times New Roman" w:cs="Times New Roman"/>
                      <w:szCs w:val="21"/>
                      <w:highlight w:val="none"/>
                      <w:lang w:eastAsia="zh-CN"/>
                    </w:rPr>
                    <w:t>收集后，外售综合利用；</w:t>
                  </w:r>
                  <w:r>
                    <w:rPr>
                      <w:rFonts w:hint="eastAsia" w:ascii="Times New Roman" w:hAnsi="Times New Roman" w:cs="Times New Roman"/>
                      <w:szCs w:val="21"/>
                      <w:highlight w:val="none"/>
                      <w:lang w:val="en-US" w:eastAsia="zh-CN"/>
                    </w:rPr>
                    <w:t>废润滑油/桶、</w:t>
                  </w:r>
                  <w:r>
                    <w:rPr>
                      <w:rFonts w:hint="eastAsia" w:ascii="Times New Roman" w:hAnsi="Times New Roman" w:cs="Times New Roman"/>
                      <w:szCs w:val="21"/>
                      <w:highlight w:val="none"/>
                      <w:lang w:eastAsia="zh-CN"/>
                    </w:rPr>
                    <w:t>化学试剂桶</w:t>
                  </w:r>
                  <w:r>
                    <w:rPr>
                      <w:rFonts w:hint="default" w:ascii="Times New Roman" w:hAnsi="Times New Roman" w:cs="Times New Roman"/>
                      <w:szCs w:val="21"/>
                      <w:highlight w:val="none"/>
                      <w:lang w:eastAsia="zh-CN"/>
                    </w:rPr>
                    <w:t>、废活性炭收集后由资质单位进行安全处置。</w:t>
                  </w:r>
                </w:p>
              </w:tc>
              <w:tc>
                <w:tcPr>
                  <w:tcW w:w="1163" w:type="pct"/>
                  <w:tcBorders>
                    <w:tl2br w:val="nil"/>
                    <w:tr2bl w:val="nil"/>
                  </w:tcBorders>
                  <w:noWrap w:val="0"/>
                  <w:vAlign w:val="center"/>
                </w:tcPr>
                <w:p>
                  <w:pPr>
                    <w:spacing w:line="320" w:lineRule="exact"/>
                    <w:rPr>
                      <w:rFonts w:hint="default" w:ascii="Times New Roman" w:hAnsi="Times New Roman" w:cs="Times New Roman"/>
                      <w:szCs w:val="21"/>
                    </w:rPr>
                  </w:pPr>
                  <w:r>
                    <w:rPr>
                      <w:rFonts w:hint="eastAsia" w:ascii="Times New Roman" w:hAnsi="Times New Roman" w:eastAsia="宋体" w:cs="Times New Roman"/>
                      <w:spacing w:val="-4"/>
                      <w:szCs w:val="21"/>
                      <w:highlight w:val="none"/>
                      <w:lang w:val="en-US"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382" w:type="pct"/>
                  <w:vMerge w:val="continue"/>
                  <w:tcBorders>
                    <w:tl2br w:val="nil"/>
                    <w:tr2bl w:val="nil"/>
                  </w:tcBorders>
                  <w:noWrap w:val="0"/>
                  <w:vAlign w:val="center"/>
                </w:tcPr>
                <w:p>
                  <w:pPr>
                    <w:jc w:val="center"/>
                    <w:rPr>
                      <w:rFonts w:hint="default" w:ascii="Times New Roman" w:hAnsi="Times New Roman" w:cs="Times New Roman"/>
                      <w:szCs w:val="21"/>
                    </w:rPr>
                  </w:pPr>
                </w:p>
              </w:tc>
              <w:tc>
                <w:tcPr>
                  <w:tcW w:w="594" w:type="pc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噪声处理</w:t>
                  </w:r>
                </w:p>
              </w:tc>
              <w:tc>
                <w:tcPr>
                  <w:tcW w:w="2858" w:type="pct"/>
                  <w:tcBorders>
                    <w:tl2br w:val="nil"/>
                    <w:tr2bl w:val="nil"/>
                  </w:tcBorders>
                  <w:noWrap w:val="0"/>
                  <w:vAlign w:val="center"/>
                </w:tcPr>
                <w:p>
                  <w:pPr>
                    <w:spacing w:line="320" w:lineRule="exact"/>
                    <w:rPr>
                      <w:rFonts w:hint="default" w:ascii="Times New Roman" w:hAnsi="Times New Roman" w:cs="Times New Roman"/>
                      <w:szCs w:val="21"/>
                    </w:rPr>
                  </w:pPr>
                  <w:r>
                    <w:rPr>
                      <w:rFonts w:hint="default" w:ascii="Times New Roman" w:hAnsi="Times New Roman" w:cs="Times New Roman"/>
                      <w:szCs w:val="21"/>
                    </w:rPr>
                    <w:t>采取隔声、减震、消声、合理布局等措施</w:t>
                  </w:r>
                </w:p>
              </w:tc>
              <w:tc>
                <w:tcPr>
                  <w:tcW w:w="1163" w:type="pct"/>
                  <w:tcBorders>
                    <w:tl2br w:val="nil"/>
                    <w:tr2bl w:val="nil"/>
                  </w:tcBorders>
                  <w:noWrap w:val="0"/>
                  <w:vAlign w:val="center"/>
                </w:tcPr>
                <w:p>
                  <w:pPr>
                    <w:spacing w:line="320" w:lineRule="exact"/>
                    <w:rPr>
                      <w:rFonts w:hint="default" w:ascii="Times New Roman" w:hAnsi="Times New Roman" w:cs="Times New Roman"/>
                      <w:szCs w:val="21"/>
                    </w:rPr>
                  </w:pPr>
                  <w:r>
                    <w:rPr>
                      <w:rFonts w:hint="eastAsia" w:ascii="Times New Roman" w:hAnsi="Times New Roman" w:eastAsia="宋体" w:cs="Times New Roman"/>
                      <w:spacing w:val="-4"/>
                      <w:szCs w:val="21"/>
                      <w:highlight w:val="none"/>
                      <w:lang w:val="en-US" w:eastAsia="zh-CN"/>
                    </w:rPr>
                    <w:t>一致</w:t>
                  </w:r>
                </w:p>
              </w:tc>
            </w:tr>
          </w:tbl>
          <w:p>
            <w:pPr>
              <w:pageBreakBefore w:val="0"/>
              <w:numPr>
                <w:ilvl w:val="0"/>
                <w:numId w:val="0"/>
              </w:numPr>
              <w:autoSpaceDE/>
              <w:autoSpaceDN/>
              <w:bidi w:val="0"/>
              <w:snapToGrid/>
              <w:spacing w:before="0" w:after="0" w:line="360" w:lineRule="auto"/>
              <w:ind w:right="0" w:firstLine="0"/>
              <w:jc w:val="both"/>
              <w:rPr>
                <w:rFonts w:hint="default" w:ascii="Times New Roman" w:hAnsi="宋体" w:eastAsia="宋体"/>
                <w:color w:val="auto"/>
                <w:position w:val="0"/>
                <w:sz w:val="24"/>
                <w:szCs w:val="24"/>
              </w:rPr>
            </w:pP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表2-2主要设备一览表</w:t>
            </w:r>
          </w:p>
          <w:tbl>
            <w:tblPr>
              <w:tblStyle w:val="3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57" w:type="dxa"/>
                <w:left w:w="108" w:type="dxa"/>
                <w:bottom w:w="57" w:type="dxa"/>
                <w:right w:w="108" w:type="dxa"/>
              </w:tblCellMar>
            </w:tblPr>
            <w:tblGrid>
              <w:gridCol w:w="481"/>
              <w:gridCol w:w="484"/>
              <w:gridCol w:w="1463"/>
              <w:gridCol w:w="1505"/>
              <w:gridCol w:w="997"/>
              <w:gridCol w:w="923"/>
              <w:gridCol w:w="1219"/>
              <w:gridCol w:w="1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66" w:hRule="atLeast"/>
                <w:jc w:val="center"/>
              </w:trPr>
              <w:tc>
                <w:tcPr>
                  <w:tcW w:w="965"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序号</w:t>
                  </w:r>
                </w:p>
              </w:tc>
              <w:tc>
                <w:tcPr>
                  <w:tcW w:w="146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设备名称</w:t>
                  </w:r>
                </w:p>
              </w:tc>
              <w:tc>
                <w:tcPr>
                  <w:tcW w:w="150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szCs w:val="21"/>
                      <w:lang w:eastAsia="zh-CN"/>
                    </w:rPr>
                  </w:pPr>
                  <w:r>
                    <w:rPr>
                      <w:rFonts w:hint="eastAsia" w:ascii="Times New Roman" w:hAnsi="Times New Roman" w:cs="Times New Roman"/>
                      <w:b/>
                      <w:bCs/>
                      <w:szCs w:val="21"/>
                      <w:lang w:eastAsia="zh-CN"/>
                    </w:rPr>
                    <w:t>规格型号</w:t>
                  </w:r>
                </w:p>
              </w:tc>
              <w:tc>
                <w:tcPr>
                  <w:tcW w:w="99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单位</w:t>
                  </w:r>
                </w:p>
              </w:tc>
              <w:tc>
                <w:tcPr>
                  <w:tcW w:w="92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szCs w:val="21"/>
                    </w:rPr>
                  </w:pPr>
                  <w:r>
                    <w:rPr>
                      <w:rFonts w:hint="eastAsia" w:ascii="Times New Roman" w:hAnsi="Times New Roman" w:eastAsia="宋体" w:cs="Times New Roman"/>
                      <w:b/>
                      <w:bCs/>
                      <w:szCs w:val="21"/>
                      <w:lang w:val="en-US" w:eastAsia="zh-CN"/>
                    </w:rPr>
                    <w:t>环评</w:t>
                  </w:r>
                  <w:r>
                    <w:rPr>
                      <w:rFonts w:hint="default" w:ascii="Times New Roman" w:hAnsi="Times New Roman" w:cs="Times New Roman"/>
                      <w:b/>
                      <w:bCs/>
                      <w:szCs w:val="21"/>
                    </w:rPr>
                    <w:t>数量</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实际数量</w:t>
                  </w:r>
                </w:p>
              </w:tc>
              <w:tc>
                <w:tcPr>
                  <w:tcW w:w="1219"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74" w:hRule="atLeast"/>
                <w:jc w:val="center"/>
              </w:trPr>
              <w:tc>
                <w:tcPr>
                  <w:tcW w:w="48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生产设备</w:t>
                  </w:r>
                </w:p>
              </w:tc>
              <w:tc>
                <w:tcPr>
                  <w:tcW w:w="484"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1</w:t>
                  </w:r>
                </w:p>
              </w:tc>
              <w:tc>
                <w:tcPr>
                  <w:tcW w:w="1463"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pacing w:val="-4"/>
                      <w:szCs w:val="21"/>
                      <w:lang w:val="en-US" w:eastAsia="zh-CN"/>
                    </w:rPr>
                  </w:pPr>
                  <w:r>
                    <w:rPr>
                      <w:rFonts w:hint="eastAsia" w:ascii="Times New Roman" w:hAnsi="Times New Roman" w:eastAsia="宋体" w:cs="Times New Roman"/>
                      <w:spacing w:val="-4"/>
                      <w:szCs w:val="21"/>
                      <w:lang w:val="en-US" w:eastAsia="zh-CN"/>
                    </w:rPr>
                    <w:t>烘干机</w:t>
                  </w:r>
                </w:p>
              </w:tc>
              <w:tc>
                <w:tcPr>
                  <w:tcW w:w="150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MF-155-29</w:t>
                  </w:r>
                </w:p>
              </w:tc>
              <w:tc>
                <w:tcPr>
                  <w:tcW w:w="99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台</w:t>
                  </w:r>
                </w:p>
              </w:tc>
              <w:tc>
                <w:tcPr>
                  <w:tcW w:w="923"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10</w:t>
                  </w:r>
                </w:p>
              </w:tc>
              <w:tc>
                <w:tcPr>
                  <w:tcW w:w="1219"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2</w:t>
                  </w:r>
                </w:p>
              </w:tc>
              <w:tc>
                <w:tcPr>
                  <w:tcW w:w="1219"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74"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lang w:eastAsia="zh-CN"/>
                    </w:rPr>
                  </w:pPr>
                </w:p>
              </w:tc>
              <w:tc>
                <w:tcPr>
                  <w:tcW w:w="484"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w:t>
                  </w:r>
                </w:p>
              </w:tc>
              <w:tc>
                <w:tcPr>
                  <w:tcW w:w="1463"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pacing w:val="-4"/>
                      <w:szCs w:val="21"/>
                      <w:lang w:eastAsia="zh-CN"/>
                    </w:rPr>
                  </w:pPr>
                  <w:r>
                    <w:rPr>
                      <w:rFonts w:hint="eastAsia" w:ascii="Times New Roman" w:hAnsi="Times New Roman" w:cs="Times New Roman"/>
                      <w:spacing w:val="-4"/>
                      <w:szCs w:val="21"/>
                      <w:lang w:eastAsia="zh-CN"/>
                    </w:rPr>
                    <w:t>自动加料机</w:t>
                  </w:r>
                </w:p>
              </w:tc>
              <w:tc>
                <w:tcPr>
                  <w:tcW w:w="150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eastAsia="zh-CN"/>
                    </w:rPr>
                  </w:pPr>
                </w:p>
              </w:tc>
              <w:tc>
                <w:tcPr>
                  <w:tcW w:w="99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台</w:t>
                  </w:r>
                </w:p>
              </w:tc>
              <w:tc>
                <w:tcPr>
                  <w:tcW w:w="923"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6</w:t>
                  </w:r>
                </w:p>
              </w:tc>
              <w:tc>
                <w:tcPr>
                  <w:tcW w:w="1219"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w:t>
                  </w:r>
                </w:p>
              </w:tc>
              <w:tc>
                <w:tcPr>
                  <w:tcW w:w="1219"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rPr>
                  </w:pPr>
                  <w:r>
                    <w:rPr>
                      <w:rFonts w:hint="eastAsia" w:ascii="Times New Roman" w:hAnsi="Times New Roman" w:eastAsia="宋体" w:cs="Times New Roman"/>
                      <w:szCs w:val="21"/>
                      <w:lang w:val="en-US" w:eastAsia="zh-CN"/>
                    </w:rPr>
                    <w:t>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74"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lang w:eastAsia="zh-CN"/>
                    </w:rPr>
                  </w:pPr>
                </w:p>
              </w:tc>
              <w:tc>
                <w:tcPr>
                  <w:tcW w:w="484"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3</w:t>
                  </w:r>
                </w:p>
              </w:tc>
              <w:tc>
                <w:tcPr>
                  <w:tcW w:w="1463"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pacing w:val="-4"/>
                      <w:szCs w:val="21"/>
                      <w:lang w:val="en-US" w:eastAsia="zh-CN"/>
                    </w:rPr>
                  </w:pPr>
                  <w:r>
                    <w:rPr>
                      <w:rFonts w:hint="eastAsia" w:ascii="Times New Roman" w:hAnsi="Times New Roman" w:cs="Times New Roman"/>
                      <w:spacing w:val="-4"/>
                      <w:szCs w:val="21"/>
                      <w:lang w:val="en-US" w:eastAsia="zh-CN"/>
                    </w:rPr>
                    <w:t>脱水机</w:t>
                  </w:r>
                </w:p>
              </w:tc>
              <w:tc>
                <w:tcPr>
                  <w:tcW w:w="150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SS-1000</w:t>
                  </w:r>
                </w:p>
              </w:tc>
              <w:tc>
                <w:tcPr>
                  <w:tcW w:w="99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台</w:t>
                  </w:r>
                </w:p>
              </w:tc>
              <w:tc>
                <w:tcPr>
                  <w:tcW w:w="923"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10</w:t>
                  </w:r>
                </w:p>
              </w:tc>
              <w:tc>
                <w:tcPr>
                  <w:tcW w:w="1219"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2</w:t>
                  </w:r>
                </w:p>
              </w:tc>
              <w:tc>
                <w:tcPr>
                  <w:tcW w:w="1219"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rPr>
                  </w:pPr>
                  <w:r>
                    <w:rPr>
                      <w:rFonts w:hint="eastAsia" w:ascii="Times New Roman" w:hAnsi="Times New Roman" w:eastAsia="宋体" w:cs="Times New Roman"/>
                      <w:szCs w:val="21"/>
                      <w:lang w:val="en-US" w:eastAsia="zh-CN"/>
                    </w:rPr>
                    <w:t>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74"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lang w:eastAsia="zh-CN"/>
                    </w:rPr>
                  </w:pPr>
                </w:p>
              </w:tc>
              <w:tc>
                <w:tcPr>
                  <w:tcW w:w="484"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1463"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pacing w:val="-4"/>
                      <w:szCs w:val="21"/>
                      <w:lang w:eastAsia="zh-CN"/>
                    </w:rPr>
                  </w:pPr>
                  <w:r>
                    <w:rPr>
                      <w:rFonts w:hint="eastAsia" w:ascii="Times New Roman" w:hAnsi="Times New Roman" w:cs="Times New Roman"/>
                      <w:spacing w:val="-4"/>
                      <w:szCs w:val="21"/>
                      <w:lang w:eastAsia="zh-CN"/>
                    </w:rPr>
                    <w:t>三联机</w:t>
                  </w:r>
                </w:p>
              </w:tc>
              <w:tc>
                <w:tcPr>
                  <w:tcW w:w="150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LT-B842-3</w:t>
                  </w:r>
                </w:p>
              </w:tc>
              <w:tc>
                <w:tcPr>
                  <w:tcW w:w="99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组</w:t>
                  </w:r>
                </w:p>
              </w:tc>
              <w:tc>
                <w:tcPr>
                  <w:tcW w:w="923"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50</w:t>
                  </w:r>
                </w:p>
              </w:tc>
              <w:tc>
                <w:tcPr>
                  <w:tcW w:w="1219"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20</w:t>
                  </w:r>
                </w:p>
              </w:tc>
              <w:tc>
                <w:tcPr>
                  <w:tcW w:w="1219"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rPr>
                  </w:pPr>
                  <w:r>
                    <w:rPr>
                      <w:rFonts w:hint="eastAsia" w:ascii="Times New Roman" w:hAnsi="Times New Roman" w:eastAsia="宋体" w:cs="Times New Roman"/>
                      <w:szCs w:val="21"/>
                      <w:lang w:val="en-US" w:eastAsia="zh-CN"/>
                    </w:rPr>
                    <w:t>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74"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lang w:eastAsia="zh-CN"/>
                    </w:rPr>
                  </w:pPr>
                </w:p>
              </w:tc>
              <w:tc>
                <w:tcPr>
                  <w:tcW w:w="484"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w:t>
                  </w:r>
                </w:p>
              </w:tc>
              <w:tc>
                <w:tcPr>
                  <w:tcW w:w="1463"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pacing w:val="-4"/>
                      <w:szCs w:val="21"/>
                      <w:lang w:eastAsia="zh-CN"/>
                    </w:rPr>
                  </w:pPr>
                  <w:r>
                    <w:rPr>
                      <w:rFonts w:hint="eastAsia" w:ascii="Times New Roman" w:hAnsi="Times New Roman" w:cs="Times New Roman"/>
                      <w:spacing w:val="-4"/>
                      <w:szCs w:val="21"/>
                      <w:lang w:eastAsia="zh-CN"/>
                    </w:rPr>
                    <w:t>双针单机</w:t>
                  </w:r>
                </w:p>
              </w:tc>
              <w:tc>
                <w:tcPr>
                  <w:tcW w:w="150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eastAsia="zh-CN"/>
                    </w:rPr>
                  </w:pPr>
                </w:p>
              </w:tc>
              <w:tc>
                <w:tcPr>
                  <w:tcW w:w="99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台</w:t>
                  </w:r>
                </w:p>
              </w:tc>
              <w:tc>
                <w:tcPr>
                  <w:tcW w:w="923"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10</w:t>
                  </w:r>
                </w:p>
              </w:tc>
              <w:tc>
                <w:tcPr>
                  <w:tcW w:w="1219"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w:t>
                  </w:r>
                </w:p>
              </w:tc>
              <w:tc>
                <w:tcPr>
                  <w:tcW w:w="1219"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rPr>
                  </w:pPr>
                  <w:r>
                    <w:rPr>
                      <w:rFonts w:hint="eastAsia" w:ascii="Times New Roman" w:hAnsi="Times New Roman" w:eastAsia="宋体" w:cs="Times New Roman"/>
                      <w:szCs w:val="21"/>
                      <w:lang w:val="en-US" w:eastAsia="zh-CN"/>
                    </w:rPr>
                    <w:t>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74"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lang w:eastAsia="zh-CN"/>
                    </w:rPr>
                  </w:pPr>
                </w:p>
              </w:tc>
              <w:tc>
                <w:tcPr>
                  <w:tcW w:w="484"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6</w:t>
                  </w:r>
                </w:p>
              </w:tc>
              <w:tc>
                <w:tcPr>
                  <w:tcW w:w="1463"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pacing w:val="-4"/>
                      <w:szCs w:val="21"/>
                      <w:lang w:eastAsia="zh-CN"/>
                    </w:rPr>
                  </w:pPr>
                  <w:r>
                    <w:rPr>
                      <w:rFonts w:hint="eastAsia" w:ascii="Times New Roman" w:hAnsi="Times New Roman" w:cs="Times New Roman"/>
                      <w:spacing w:val="-4"/>
                      <w:szCs w:val="21"/>
                      <w:lang w:eastAsia="zh-CN"/>
                    </w:rPr>
                    <w:t>牙克卷管机</w:t>
                  </w:r>
                </w:p>
              </w:tc>
              <w:tc>
                <w:tcPr>
                  <w:tcW w:w="150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750型</w:t>
                  </w:r>
                </w:p>
              </w:tc>
              <w:tc>
                <w:tcPr>
                  <w:tcW w:w="99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台</w:t>
                  </w:r>
                </w:p>
              </w:tc>
              <w:tc>
                <w:tcPr>
                  <w:tcW w:w="923"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20</w:t>
                  </w:r>
                </w:p>
              </w:tc>
              <w:tc>
                <w:tcPr>
                  <w:tcW w:w="1219"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10</w:t>
                  </w:r>
                </w:p>
              </w:tc>
              <w:tc>
                <w:tcPr>
                  <w:tcW w:w="1219"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rPr>
                  </w:pPr>
                  <w:r>
                    <w:rPr>
                      <w:rFonts w:hint="eastAsia" w:ascii="Times New Roman" w:hAnsi="Times New Roman" w:eastAsia="宋体" w:cs="Times New Roman"/>
                      <w:szCs w:val="21"/>
                      <w:lang w:val="en-US" w:eastAsia="zh-CN"/>
                    </w:rPr>
                    <w:t>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74"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lang w:eastAsia="zh-CN"/>
                    </w:rPr>
                  </w:pPr>
                </w:p>
              </w:tc>
              <w:tc>
                <w:tcPr>
                  <w:tcW w:w="484"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szCs w:val="21"/>
                      <w:lang w:val="en-US" w:eastAsia="zh-CN"/>
                    </w:rPr>
                    <w:t>7</w:t>
                  </w:r>
                </w:p>
              </w:tc>
              <w:tc>
                <w:tcPr>
                  <w:tcW w:w="1463"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pacing w:val="-4"/>
                      <w:szCs w:val="21"/>
                      <w:lang w:eastAsia="zh-CN"/>
                    </w:rPr>
                  </w:pPr>
                  <w:r>
                    <w:rPr>
                      <w:rFonts w:hint="eastAsia" w:ascii="Times New Roman" w:hAnsi="Times New Roman" w:cs="Times New Roman"/>
                      <w:spacing w:val="-4"/>
                      <w:szCs w:val="21"/>
                      <w:lang w:eastAsia="zh-CN"/>
                    </w:rPr>
                    <w:t>电子磅</w:t>
                  </w:r>
                </w:p>
              </w:tc>
              <w:tc>
                <w:tcPr>
                  <w:tcW w:w="150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DS-671</w:t>
                  </w:r>
                </w:p>
              </w:tc>
              <w:tc>
                <w:tcPr>
                  <w:tcW w:w="99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台</w:t>
                  </w:r>
                </w:p>
              </w:tc>
              <w:tc>
                <w:tcPr>
                  <w:tcW w:w="923"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72</w:t>
                  </w:r>
                </w:p>
              </w:tc>
              <w:tc>
                <w:tcPr>
                  <w:tcW w:w="1219"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22</w:t>
                  </w:r>
                </w:p>
              </w:tc>
              <w:tc>
                <w:tcPr>
                  <w:tcW w:w="1219"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rPr>
                  </w:pPr>
                  <w:r>
                    <w:rPr>
                      <w:rFonts w:hint="eastAsia" w:ascii="Times New Roman" w:hAnsi="Times New Roman" w:eastAsia="宋体" w:cs="Times New Roman"/>
                      <w:szCs w:val="21"/>
                      <w:lang w:val="en-US" w:eastAsia="zh-CN"/>
                    </w:rPr>
                    <w:t>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74"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lang w:eastAsia="zh-CN"/>
                    </w:rPr>
                  </w:pPr>
                </w:p>
              </w:tc>
              <w:tc>
                <w:tcPr>
                  <w:tcW w:w="484"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8</w:t>
                  </w:r>
                </w:p>
              </w:tc>
              <w:tc>
                <w:tcPr>
                  <w:tcW w:w="1463"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pacing w:val="-4"/>
                      <w:szCs w:val="21"/>
                      <w:lang w:eastAsia="zh-CN"/>
                    </w:rPr>
                  </w:pPr>
                  <w:r>
                    <w:rPr>
                      <w:rFonts w:hint="eastAsia" w:ascii="Times New Roman" w:hAnsi="Times New Roman" w:cs="Times New Roman"/>
                      <w:spacing w:val="-4"/>
                      <w:szCs w:val="21"/>
                      <w:lang w:eastAsia="zh-CN"/>
                    </w:rPr>
                    <w:t>洗衣机</w:t>
                  </w:r>
                </w:p>
              </w:tc>
              <w:tc>
                <w:tcPr>
                  <w:tcW w:w="150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eastAsia="zh-CN"/>
                    </w:rPr>
                    <w:t>海尔</w:t>
                  </w:r>
                  <w:r>
                    <w:rPr>
                      <w:rFonts w:hint="eastAsia" w:ascii="Times New Roman" w:hAnsi="Times New Roman" w:eastAsia="宋体" w:cs="Times New Roman"/>
                      <w:szCs w:val="21"/>
                      <w:lang w:val="en-US" w:eastAsia="zh-CN"/>
                    </w:rPr>
                    <w:t>5.0-28</w:t>
                  </w:r>
                </w:p>
              </w:tc>
              <w:tc>
                <w:tcPr>
                  <w:tcW w:w="99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台</w:t>
                  </w:r>
                </w:p>
              </w:tc>
              <w:tc>
                <w:tcPr>
                  <w:tcW w:w="923"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10</w:t>
                  </w:r>
                </w:p>
              </w:tc>
              <w:tc>
                <w:tcPr>
                  <w:tcW w:w="1219"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5</w:t>
                  </w:r>
                </w:p>
              </w:tc>
              <w:tc>
                <w:tcPr>
                  <w:tcW w:w="1219"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rPr>
                  </w:pPr>
                  <w:r>
                    <w:rPr>
                      <w:rFonts w:hint="eastAsia" w:ascii="Times New Roman" w:hAnsi="Times New Roman" w:eastAsia="宋体" w:cs="Times New Roman"/>
                      <w:szCs w:val="21"/>
                      <w:lang w:val="en-US" w:eastAsia="zh-CN"/>
                    </w:rPr>
                    <w:t>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419" w:hRule="atLeast"/>
                <w:jc w:val="center"/>
              </w:trPr>
              <w:tc>
                <w:tcPr>
                  <w:tcW w:w="48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环保设备</w:t>
                  </w:r>
                </w:p>
              </w:tc>
              <w:tc>
                <w:tcPr>
                  <w:tcW w:w="484"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szCs w:val="21"/>
                      <w:lang w:val="en-US" w:eastAsia="zh-CN"/>
                    </w:rPr>
                    <w:t>9</w:t>
                  </w:r>
                </w:p>
              </w:tc>
              <w:tc>
                <w:tcPr>
                  <w:tcW w:w="1463"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spacing w:val="-4"/>
                      <w:szCs w:val="21"/>
                      <w:lang w:eastAsia="zh-CN"/>
                    </w:rPr>
                  </w:pPr>
                  <w:r>
                    <w:rPr>
                      <w:rFonts w:hint="eastAsia" w:ascii="Times New Roman" w:hAnsi="Times New Roman" w:cs="Times New Roman"/>
                      <w:spacing w:val="-4"/>
                      <w:szCs w:val="21"/>
                      <w:lang w:eastAsia="zh-CN"/>
                    </w:rPr>
                    <w:t>碱液喷淋塔</w:t>
                  </w:r>
                </w:p>
              </w:tc>
              <w:tc>
                <w:tcPr>
                  <w:tcW w:w="150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zCs w:val="21"/>
                      <w:lang w:eastAsia="zh-CN"/>
                    </w:rPr>
                  </w:pPr>
                </w:p>
              </w:tc>
              <w:tc>
                <w:tcPr>
                  <w:tcW w:w="99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套</w:t>
                  </w:r>
                </w:p>
              </w:tc>
              <w:tc>
                <w:tcPr>
                  <w:tcW w:w="923"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3</w:t>
                  </w:r>
                </w:p>
              </w:tc>
              <w:tc>
                <w:tcPr>
                  <w:tcW w:w="1219"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1</w:t>
                  </w:r>
                </w:p>
              </w:tc>
              <w:tc>
                <w:tcPr>
                  <w:tcW w:w="1219"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rPr>
                  </w:pPr>
                  <w:r>
                    <w:rPr>
                      <w:rFonts w:hint="eastAsia" w:ascii="Times New Roman" w:hAnsi="Times New Roman" w:eastAsia="宋体" w:cs="Times New Roman"/>
                      <w:szCs w:val="21"/>
                      <w:lang w:val="en-US" w:eastAsia="zh-CN"/>
                    </w:rPr>
                    <w:t>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74"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lang w:val="en-US" w:eastAsia="zh-CN"/>
                    </w:rPr>
                  </w:pPr>
                </w:p>
              </w:tc>
              <w:tc>
                <w:tcPr>
                  <w:tcW w:w="484"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szCs w:val="21"/>
                      <w:lang w:val="en-US" w:eastAsia="zh-CN"/>
                    </w:rPr>
                    <w:t>10</w:t>
                  </w:r>
                </w:p>
              </w:tc>
              <w:tc>
                <w:tcPr>
                  <w:tcW w:w="1463"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pacing w:val="-4"/>
                      <w:szCs w:val="21"/>
                      <w:lang w:eastAsia="zh-CN"/>
                    </w:rPr>
                  </w:pPr>
                  <w:r>
                    <w:rPr>
                      <w:rFonts w:hint="eastAsia" w:ascii="Times New Roman" w:hAnsi="Times New Roman" w:cs="Times New Roman"/>
                      <w:spacing w:val="-4"/>
                      <w:szCs w:val="21"/>
                      <w:lang w:eastAsia="zh-CN"/>
                    </w:rPr>
                    <w:t>酸液喷淋塔</w:t>
                  </w:r>
                </w:p>
              </w:tc>
              <w:tc>
                <w:tcPr>
                  <w:tcW w:w="150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lang w:eastAsia="zh-CN"/>
                    </w:rPr>
                  </w:pPr>
                </w:p>
              </w:tc>
              <w:tc>
                <w:tcPr>
                  <w:tcW w:w="99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套</w:t>
                  </w:r>
                </w:p>
              </w:tc>
              <w:tc>
                <w:tcPr>
                  <w:tcW w:w="92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3</w:t>
                  </w:r>
                </w:p>
              </w:tc>
              <w:tc>
                <w:tcPr>
                  <w:tcW w:w="121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w:t>
                  </w:r>
                </w:p>
              </w:tc>
              <w:tc>
                <w:tcPr>
                  <w:tcW w:w="121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rPr>
                  </w:pPr>
                  <w:r>
                    <w:rPr>
                      <w:rFonts w:hint="eastAsia" w:ascii="Times New Roman" w:hAnsi="Times New Roman" w:eastAsia="宋体" w:cs="Times New Roman"/>
                      <w:szCs w:val="21"/>
                      <w:lang w:val="en-US" w:eastAsia="zh-CN"/>
                    </w:rPr>
                    <w:t>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lang w:val="en-US" w:eastAsia="zh-CN"/>
                    </w:rPr>
                  </w:pPr>
                </w:p>
              </w:tc>
              <w:tc>
                <w:tcPr>
                  <w:tcW w:w="484"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11</w:t>
                  </w:r>
                </w:p>
              </w:tc>
              <w:tc>
                <w:tcPr>
                  <w:tcW w:w="1463"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pacing w:val="-4"/>
                      <w:szCs w:val="21"/>
                      <w:lang w:val="en-US" w:eastAsia="zh-CN"/>
                    </w:rPr>
                  </w:pPr>
                  <w:r>
                    <w:rPr>
                      <w:rFonts w:hint="eastAsia" w:ascii="Times New Roman" w:hAnsi="Times New Roman" w:cs="Times New Roman"/>
                      <w:spacing w:val="-4"/>
                      <w:szCs w:val="21"/>
                      <w:lang w:val="en-US" w:eastAsia="zh-CN"/>
                    </w:rPr>
                    <w:t>污水处理站</w:t>
                  </w:r>
                </w:p>
              </w:tc>
              <w:tc>
                <w:tcPr>
                  <w:tcW w:w="150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80m</w:t>
                  </w:r>
                  <w:r>
                    <w:rPr>
                      <w:rFonts w:hint="eastAsia" w:ascii="Times New Roman" w:hAnsi="Times New Roman" w:cs="Times New Roman"/>
                      <w:szCs w:val="21"/>
                      <w:vertAlign w:val="superscript"/>
                      <w:lang w:val="en-US" w:eastAsia="zh-CN"/>
                    </w:rPr>
                    <w:t>3</w:t>
                  </w:r>
                  <w:r>
                    <w:rPr>
                      <w:rFonts w:hint="eastAsia" w:ascii="Times New Roman" w:hAnsi="Times New Roman" w:cs="Times New Roman"/>
                      <w:szCs w:val="21"/>
                      <w:lang w:val="en-US" w:eastAsia="zh-CN"/>
                    </w:rPr>
                    <w:t>/d</w:t>
                  </w:r>
                </w:p>
              </w:tc>
              <w:tc>
                <w:tcPr>
                  <w:tcW w:w="99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套</w:t>
                  </w:r>
                </w:p>
              </w:tc>
              <w:tc>
                <w:tcPr>
                  <w:tcW w:w="923"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w:t>
                  </w:r>
                </w:p>
              </w:tc>
              <w:tc>
                <w:tcPr>
                  <w:tcW w:w="1219"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w:t>
                  </w:r>
                </w:p>
              </w:tc>
              <w:tc>
                <w:tcPr>
                  <w:tcW w:w="1219"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Cs w:val="21"/>
                    </w:rPr>
                  </w:pPr>
                  <w:r>
                    <w:rPr>
                      <w:rFonts w:hint="eastAsia" w:ascii="Times New Roman" w:hAnsi="Times New Roman" w:eastAsia="宋体" w:cs="Times New Roman"/>
                      <w:szCs w:val="21"/>
                      <w:lang w:val="en-US" w:eastAsia="zh-CN"/>
                    </w:rPr>
                    <w:t>二期</w:t>
                  </w:r>
                </w:p>
              </w:tc>
            </w:tr>
          </w:tbl>
          <w:p>
            <w:pPr>
              <w:pageBreakBefore w:val="0"/>
              <w:numPr>
                <w:ilvl w:val="0"/>
                <w:numId w:val="0"/>
              </w:numPr>
              <w:autoSpaceDE/>
              <w:autoSpaceDN/>
              <w:bidi w:val="0"/>
              <w:snapToGrid/>
              <w:spacing w:before="0" w:after="0" w:line="360" w:lineRule="auto"/>
              <w:ind w:right="0" w:firstLine="482"/>
              <w:jc w:val="left"/>
              <w:rPr>
                <w:rFonts w:hint="default" w:ascii="Times New Roman" w:hAnsi="宋体" w:eastAsia="宋体"/>
                <w:b/>
                <w:color w:val="auto"/>
                <w:position w:val="0"/>
                <w:sz w:val="24"/>
                <w:szCs w:val="24"/>
              </w:rPr>
            </w:pPr>
            <w:r>
              <w:rPr>
                <w:rFonts w:hint="default" w:ascii="Times New Roman" w:hAnsi="宋体" w:eastAsia="宋体"/>
                <w:b/>
                <w:color w:val="auto"/>
                <w:position w:val="0"/>
                <w:sz w:val="24"/>
                <w:szCs w:val="24"/>
              </w:rPr>
              <w:t>二、原辅材料消耗及水平衡：</w:t>
            </w:r>
          </w:p>
          <w:p>
            <w:pPr>
              <w:pageBreakBefore w:val="0"/>
              <w:numPr>
                <w:ilvl w:val="0"/>
                <w:numId w:val="0"/>
              </w:numPr>
              <w:autoSpaceDE/>
              <w:autoSpaceDN/>
              <w:bidi w:val="0"/>
              <w:snapToGrid/>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本项目主要原料及能源实际消耗与环评对比见表2-3。</w:t>
            </w: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表2-3 主要原料及能源实际消耗与环评对比一览表</w:t>
            </w:r>
          </w:p>
          <w:tbl>
            <w:tblPr>
              <w:tblStyle w:val="38"/>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50"/>
              <w:gridCol w:w="2582"/>
              <w:gridCol w:w="1682"/>
              <w:gridCol w:w="1488"/>
              <w:gridCol w:w="14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633" w:type="pct"/>
                  <w:noWrap w:val="0"/>
                  <w:vAlign w:val="center"/>
                </w:tcPr>
                <w:p>
                  <w:pPr>
                    <w:adjustRightInd w:val="0"/>
                    <w:snapToGrid w:val="0"/>
                    <w:spacing w:line="240" w:lineRule="exact"/>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1556" w:type="pct"/>
                  <w:noWrap w:val="0"/>
                  <w:vAlign w:val="center"/>
                </w:tcPr>
                <w:p>
                  <w:pPr>
                    <w:adjustRightInd w:val="0"/>
                    <w:snapToGrid w:val="0"/>
                    <w:spacing w:line="240" w:lineRule="exact"/>
                    <w:jc w:val="center"/>
                    <w:rPr>
                      <w:rFonts w:hint="default" w:ascii="Times New Roman" w:hAnsi="Times New Roman" w:cs="Times New Roman"/>
                      <w:b/>
                      <w:bCs/>
                      <w:szCs w:val="21"/>
                    </w:rPr>
                  </w:pPr>
                  <w:r>
                    <w:rPr>
                      <w:rFonts w:hint="default" w:ascii="Times New Roman" w:hAnsi="Times New Roman" w:cs="Times New Roman"/>
                      <w:b/>
                      <w:bCs/>
                      <w:szCs w:val="21"/>
                      <w:lang w:eastAsia="zh-CN"/>
                    </w:rPr>
                    <w:t>原辅材料</w:t>
                  </w:r>
                  <w:r>
                    <w:rPr>
                      <w:rFonts w:hint="default" w:ascii="Times New Roman" w:hAnsi="Times New Roman" w:cs="Times New Roman"/>
                      <w:b/>
                      <w:bCs/>
                      <w:szCs w:val="21"/>
                    </w:rPr>
                    <w:t>名称</w:t>
                  </w:r>
                </w:p>
              </w:tc>
              <w:tc>
                <w:tcPr>
                  <w:tcW w:w="1014" w:type="pct"/>
                  <w:noWrap w:val="0"/>
                  <w:vAlign w:val="center"/>
                </w:tcPr>
                <w:p>
                  <w:pPr>
                    <w:adjustRightInd w:val="0"/>
                    <w:snapToGrid w:val="0"/>
                    <w:spacing w:line="240" w:lineRule="exact"/>
                    <w:jc w:val="center"/>
                    <w:rPr>
                      <w:rFonts w:hint="default" w:ascii="Times New Roman" w:hAnsi="Times New Roman" w:cs="Times New Roman"/>
                      <w:b/>
                      <w:bCs/>
                      <w:szCs w:val="21"/>
                    </w:rPr>
                  </w:pPr>
                  <w:r>
                    <w:rPr>
                      <w:rFonts w:hint="eastAsia" w:ascii="Times New Roman" w:hAnsi="Times New Roman" w:cs="Times New Roman"/>
                      <w:b/>
                      <w:bCs/>
                      <w:szCs w:val="21"/>
                      <w:lang w:eastAsia="zh-CN"/>
                    </w:rPr>
                    <w:t>年用</w:t>
                  </w:r>
                  <w:r>
                    <w:rPr>
                      <w:rFonts w:hint="default" w:ascii="Times New Roman" w:hAnsi="Times New Roman" w:cs="Times New Roman"/>
                      <w:b/>
                      <w:bCs/>
                      <w:szCs w:val="21"/>
                    </w:rPr>
                    <w:t>量</w:t>
                  </w:r>
                </w:p>
              </w:tc>
              <w:tc>
                <w:tcPr>
                  <w:tcW w:w="897" w:type="pct"/>
                  <w:tcBorders>
                    <w:left w:val="single" w:color="auto" w:sz="4" w:space="0"/>
                  </w:tcBorders>
                  <w:noWrap w:val="0"/>
                  <w:vAlign w:val="center"/>
                </w:tcPr>
                <w:p>
                  <w:pPr>
                    <w:adjustRightInd w:val="0"/>
                    <w:snapToGrid w:val="0"/>
                    <w:spacing w:line="240" w:lineRule="exact"/>
                    <w:jc w:val="center"/>
                    <w:rPr>
                      <w:rFonts w:hint="default" w:ascii="Times New Roman" w:hAnsi="Times New Roman" w:eastAsia="宋体" w:cs="Times New Roman"/>
                      <w:b/>
                      <w:bCs/>
                      <w:szCs w:val="21"/>
                      <w:lang w:val="en-US" w:eastAsia="zh-CN"/>
                    </w:rPr>
                  </w:pPr>
                  <w:r>
                    <w:rPr>
                      <w:rFonts w:hint="eastAsia" w:ascii="Times New Roman" w:hAnsi="Times New Roman" w:cs="Times New Roman"/>
                      <w:b/>
                      <w:bCs/>
                      <w:szCs w:val="21"/>
                      <w:lang w:val="en-US" w:eastAsia="zh-CN"/>
                    </w:rPr>
                    <w:t>实际</w:t>
                  </w:r>
                </w:p>
              </w:tc>
              <w:tc>
                <w:tcPr>
                  <w:tcW w:w="897" w:type="pct"/>
                  <w:tcBorders>
                    <w:left w:val="single" w:color="auto" w:sz="4" w:space="0"/>
                  </w:tcBorders>
                  <w:noWrap w:val="0"/>
                  <w:vAlign w:val="center"/>
                </w:tcPr>
                <w:p>
                  <w:pPr>
                    <w:adjustRightInd w:val="0"/>
                    <w:snapToGrid w:val="0"/>
                    <w:spacing w:line="240" w:lineRule="exact"/>
                    <w:jc w:val="center"/>
                    <w:rPr>
                      <w:rFonts w:hint="default" w:ascii="Times New Roman" w:hAnsi="Times New Roman" w:cs="Times New Roman"/>
                      <w:b/>
                      <w:bCs/>
                      <w:szCs w:val="21"/>
                      <w:lang w:val="en-US" w:eastAsia="zh-CN"/>
                    </w:rPr>
                  </w:pPr>
                  <w:r>
                    <w:rPr>
                      <w:rFonts w:hint="eastAsia" w:ascii="Times New Roman" w:hAnsi="Times New Roman" w:cs="Times New Roman"/>
                      <w:b/>
                      <w:bCs/>
                      <w:szCs w:val="21"/>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633" w:type="pct"/>
                  <w:noWrap w:val="0"/>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1</w:t>
                  </w:r>
                </w:p>
              </w:tc>
              <w:tc>
                <w:tcPr>
                  <w:tcW w:w="1556" w:type="pct"/>
                  <w:noWrap w:val="0"/>
                  <w:vAlign w:val="center"/>
                </w:tcPr>
                <w:p>
                  <w:pPr>
                    <w:spacing w:line="240" w:lineRule="exact"/>
                    <w:jc w:val="center"/>
                    <w:rPr>
                      <w:rFonts w:hint="default" w:ascii="Times New Roman" w:hAnsi="Times New Roman" w:eastAsia="宋体" w:cs="Times New Roman"/>
                      <w:spacing w:val="-4"/>
                      <w:szCs w:val="21"/>
                      <w:lang w:eastAsia="zh-CN"/>
                    </w:rPr>
                  </w:pPr>
                  <w:r>
                    <w:rPr>
                      <w:rFonts w:hint="eastAsia" w:ascii="Times New Roman" w:hAnsi="Times New Roman" w:eastAsia="宋体" w:cs="Times New Roman"/>
                      <w:spacing w:val="-4"/>
                      <w:szCs w:val="21"/>
                      <w:lang w:eastAsia="zh-CN"/>
                    </w:rPr>
                    <w:t>人发</w:t>
                  </w:r>
                </w:p>
              </w:tc>
              <w:tc>
                <w:tcPr>
                  <w:tcW w:w="1014" w:type="pct"/>
                  <w:noWrap w:val="0"/>
                  <w:vAlign w:val="center"/>
                </w:tcPr>
                <w:p>
                  <w:pPr>
                    <w:pStyle w:val="60"/>
                    <w:widowControl w:val="0"/>
                    <w:rPr>
                      <w:rFonts w:hint="default" w:ascii="Times New Roman" w:hAnsi="Times New Roman" w:eastAsia="宋体" w:cs="Times New Roman"/>
                      <w:szCs w:val="21"/>
                      <w:lang w:val="en-US" w:eastAsia="zh-CN"/>
                    </w:rPr>
                  </w:pPr>
                  <w:r>
                    <w:rPr>
                      <w:rFonts w:hint="eastAsia" w:cs="Times New Roman"/>
                      <w:szCs w:val="21"/>
                      <w:lang w:val="en-US" w:eastAsia="zh-CN"/>
                    </w:rPr>
                    <w:t>800t/a</w:t>
                  </w:r>
                </w:p>
              </w:tc>
              <w:tc>
                <w:tcPr>
                  <w:tcW w:w="897" w:type="pct"/>
                  <w:tcBorders>
                    <w:left w:val="single" w:color="auto" w:sz="4" w:space="0"/>
                  </w:tcBorders>
                  <w:noWrap w:val="0"/>
                  <w:vAlign w:val="center"/>
                </w:tcPr>
                <w:p>
                  <w:pPr>
                    <w:spacing w:line="2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200t</w:t>
                  </w:r>
                </w:p>
              </w:tc>
              <w:tc>
                <w:tcPr>
                  <w:tcW w:w="897" w:type="pct"/>
                  <w:tcBorders>
                    <w:left w:val="single" w:color="auto" w:sz="4" w:space="0"/>
                  </w:tcBorders>
                  <w:noWrap w:val="0"/>
                  <w:vAlign w:val="center"/>
                </w:tcPr>
                <w:p>
                  <w:pPr>
                    <w:spacing w:line="2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633" w:type="pct"/>
                  <w:noWrap w:val="0"/>
                  <w:vAlign w:val="center"/>
                </w:tcPr>
                <w:p>
                  <w:pPr>
                    <w:adjustRightInd w:val="0"/>
                    <w:snapToGrid w:val="0"/>
                    <w:spacing w:line="24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w:t>
                  </w:r>
                </w:p>
              </w:tc>
              <w:tc>
                <w:tcPr>
                  <w:tcW w:w="1556" w:type="pct"/>
                  <w:noWrap w:val="0"/>
                  <w:vAlign w:val="center"/>
                </w:tcPr>
                <w:p>
                  <w:pPr>
                    <w:spacing w:line="240" w:lineRule="exact"/>
                    <w:jc w:val="center"/>
                    <w:rPr>
                      <w:rFonts w:hint="default" w:ascii="Times New Roman" w:hAnsi="Times New Roman" w:eastAsia="宋体" w:cs="Times New Roman"/>
                      <w:spacing w:val="-4"/>
                      <w:szCs w:val="21"/>
                      <w:lang w:eastAsia="zh-CN"/>
                    </w:rPr>
                  </w:pPr>
                  <w:r>
                    <w:rPr>
                      <w:rFonts w:hint="eastAsia" w:ascii="Times New Roman" w:hAnsi="Times New Roman" w:eastAsia="宋体" w:cs="Times New Roman"/>
                      <w:spacing w:val="-4"/>
                      <w:szCs w:val="21"/>
                      <w:lang w:eastAsia="zh-CN"/>
                    </w:rPr>
                    <w:t>洗发香波</w:t>
                  </w:r>
                </w:p>
              </w:tc>
              <w:tc>
                <w:tcPr>
                  <w:tcW w:w="1014" w:type="pct"/>
                  <w:noWrap w:val="0"/>
                  <w:vAlign w:val="center"/>
                </w:tcPr>
                <w:p>
                  <w:pPr>
                    <w:pStyle w:val="60"/>
                    <w:widowControl w:val="0"/>
                    <w:rPr>
                      <w:rFonts w:hint="default" w:ascii="Times New Roman" w:hAnsi="Times New Roman" w:cs="Times New Roman"/>
                      <w:color w:val="000000"/>
                      <w:lang w:val="en-US" w:eastAsia="zh-CN"/>
                    </w:rPr>
                  </w:pPr>
                  <w:r>
                    <w:rPr>
                      <w:rFonts w:hint="eastAsia" w:cs="Times New Roman"/>
                      <w:color w:val="000000"/>
                      <w:lang w:val="en-US" w:eastAsia="zh-CN"/>
                    </w:rPr>
                    <w:t>6.4t/a</w:t>
                  </w:r>
                </w:p>
              </w:tc>
              <w:tc>
                <w:tcPr>
                  <w:tcW w:w="1488" w:type="dxa"/>
                  <w:tcBorders>
                    <w:left w:val="single" w:color="auto" w:sz="4" w:space="0"/>
                  </w:tcBorders>
                  <w:noWrap w:val="0"/>
                  <w:vAlign w:val="center"/>
                </w:tcPr>
                <w:p>
                  <w:pPr>
                    <w:pStyle w:val="60"/>
                    <w:widowControl w:val="0"/>
                    <w:rPr>
                      <w:rFonts w:hint="default" w:ascii="Times New Roman" w:hAnsi="Times New Roman" w:eastAsia="宋体" w:cs="Times New Roman"/>
                      <w:szCs w:val="21"/>
                      <w:lang w:eastAsia="zh-CN"/>
                    </w:rPr>
                  </w:pPr>
                  <w:r>
                    <w:rPr>
                      <w:rFonts w:hint="eastAsia" w:cs="Times New Roman"/>
                      <w:color w:val="000000"/>
                      <w:lang w:val="en-US" w:eastAsia="zh-CN"/>
                    </w:rPr>
                    <w:t>1.6t/a</w:t>
                  </w:r>
                </w:p>
              </w:tc>
              <w:tc>
                <w:tcPr>
                  <w:tcW w:w="897" w:type="pct"/>
                  <w:tcBorders>
                    <w:left w:val="single" w:color="auto" w:sz="4" w:space="0"/>
                  </w:tcBorders>
                  <w:noWrap w:val="0"/>
                  <w:vAlign w:val="center"/>
                </w:tcPr>
                <w:p>
                  <w:pPr>
                    <w:spacing w:line="240" w:lineRule="exac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633" w:type="pct"/>
                  <w:noWrap w:val="0"/>
                  <w:vAlign w:val="center"/>
                </w:tcPr>
                <w:p>
                  <w:pPr>
                    <w:adjustRightInd w:val="0"/>
                    <w:snapToGrid w:val="0"/>
                    <w:spacing w:line="24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3</w:t>
                  </w:r>
                </w:p>
              </w:tc>
              <w:tc>
                <w:tcPr>
                  <w:tcW w:w="1556" w:type="pct"/>
                  <w:noWrap w:val="0"/>
                  <w:vAlign w:val="center"/>
                </w:tcPr>
                <w:p>
                  <w:pPr>
                    <w:spacing w:line="240" w:lineRule="exact"/>
                    <w:jc w:val="center"/>
                    <w:rPr>
                      <w:rFonts w:hint="default" w:ascii="Times New Roman" w:hAnsi="Times New Roman" w:eastAsia="宋体" w:cs="Times New Roman"/>
                      <w:spacing w:val="-4"/>
                      <w:szCs w:val="21"/>
                      <w:lang w:eastAsia="zh-CN"/>
                    </w:rPr>
                  </w:pPr>
                  <w:r>
                    <w:rPr>
                      <w:rFonts w:hint="eastAsia" w:ascii="Times New Roman" w:hAnsi="Times New Roman" w:eastAsia="宋体" w:cs="Times New Roman"/>
                      <w:spacing w:val="-4"/>
                      <w:szCs w:val="21"/>
                      <w:lang w:eastAsia="zh-CN"/>
                    </w:rPr>
                    <w:t>护发素</w:t>
                  </w:r>
                </w:p>
              </w:tc>
              <w:tc>
                <w:tcPr>
                  <w:tcW w:w="1014" w:type="pct"/>
                  <w:noWrap w:val="0"/>
                  <w:vAlign w:val="center"/>
                </w:tcPr>
                <w:p>
                  <w:pPr>
                    <w:pStyle w:val="60"/>
                    <w:widowControl w:val="0"/>
                    <w:rPr>
                      <w:rFonts w:hint="default" w:ascii="Times New Roman" w:hAnsi="Times New Roman" w:cs="Times New Roman"/>
                      <w:color w:val="000000"/>
                      <w:lang w:val="en-US" w:eastAsia="zh-CN"/>
                    </w:rPr>
                  </w:pPr>
                  <w:r>
                    <w:rPr>
                      <w:rFonts w:hint="eastAsia" w:cs="Times New Roman"/>
                      <w:color w:val="000000"/>
                      <w:lang w:val="en-US" w:eastAsia="zh-CN"/>
                    </w:rPr>
                    <w:t>4.8t/a</w:t>
                  </w:r>
                </w:p>
              </w:tc>
              <w:tc>
                <w:tcPr>
                  <w:tcW w:w="1488" w:type="dxa"/>
                  <w:tcBorders>
                    <w:left w:val="single" w:color="auto" w:sz="4" w:space="0"/>
                  </w:tcBorders>
                  <w:noWrap w:val="0"/>
                  <w:vAlign w:val="center"/>
                </w:tcPr>
                <w:p>
                  <w:pPr>
                    <w:pStyle w:val="60"/>
                    <w:widowControl w:val="0"/>
                    <w:rPr>
                      <w:rFonts w:hint="eastAsia" w:ascii="Times New Roman" w:hAnsi="Times New Roman" w:eastAsia="宋体" w:cs="Times New Roman"/>
                      <w:szCs w:val="21"/>
                      <w:lang w:eastAsia="zh-CN"/>
                    </w:rPr>
                  </w:pPr>
                  <w:r>
                    <w:rPr>
                      <w:rFonts w:hint="eastAsia" w:cs="Times New Roman"/>
                      <w:color w:val="000000"/>
                      <w:lang w:val="en-US" w:eastAsia="zh-CN"/>
                    </w:rPr>
                    <w:t>1.2t/a</w:t>
                  </w:r>
                </w:p>
              </w:tc>
              <w:tc>
                <w:tcPr>
                  <w:tcW w:w="897" w:type="pct"/>
                  <w:tcBorders>
                    <w:left w:val="single" w:color="auto" w:sz="4" w:space="0"/>
                  </w:tcBorders>
                  <w:noWrap w:val="0"/>
                  <w:vAlign w:val="center"/>
                </w:tcPr>
                <w:p>
                  <w:pPr>
                    <w:spacing w:line="240" w:lineRule="exact"/>
                    <w:jc w:val="center"/>
                    <w:rPr>
                      <w:rFonts w:hint="eastAsia" w:ascii="Times New Roman" w:hAnsi="Times New Roman" w:cs="Times New Roman"/>
                      <w:szCs w:val="21"/>
                      <w:lang w:eastAsia="zh-CN"/>
                    </w:rPr>
                  </w:pPr>
                  <w:r>
                    <w:rPr>
                      <w:rFonts w:hint="eastAsia" w:ascii="Times New Roman" w:hAnsi="Times New Roman" w:eastAsia="宋体" w:cs="Times New Roman"/>
                      <w:szCs w:val="21"/>
                      <w:lang w:val="en-US" w:eastAsia="zh-CN"/>
                    </w:rPr>
                    <w:t>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633" w:type="pct"/>
                  <w:noWrap w:val="0"/>
                  <w:vAlign w:val="center"/>
                </w:tcPr>
                <w:p>
                  <w:pPr>
                    <w:adjustRightInd w:val="0"/>
                    <w:snapToGrid w:val="0"/>
                    <w:spacing w:line="24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w:t>
                  </w:r>
                </w:p>
              </w:tc>
              <w:tc>
                <w:tcPr>
                  <w:tcW w:w="1556" w:type="pct"/>
                  <w:noWrap w:val="0"/>
                  <w:vAlign w:val="center"/>
                </w:tcPr>
                <w:p>
                  <w:pPr>
                    <w:spacing w:line="240" w:lineRule="exact"/>
                    <w:jc w:val="center"/>
                    <w:rPr>
                      <w:rFonts w:hint="default" w:ascii="Times New Roman" w:hAnsi="Times New Roman" w:eastAsia="宋体" w:cs="Times New Roman"/>
                      <w:spacing w:val="-4"/>
                      <w:szCs w:val="21"/>
                      <w:lang w:val="en-US" w:eastAsia="zh-CN"/>
                    </w:rPr>
                  </w:pPr>
                  <w:r>
                    <w:rPr>
                      <w:rFonts w:hint="eastAsia" w:ascii="Times New Roman" w:hAnsi="Times New Roman" w:eastAsia="宋体" w:cs="Times New Roman"/>
                      <w:spacing w:val="-4"/>
                      <w:szCs w:val="21"/>
                      <w:lang w:val="en-US" w:eastAsia="zh-CN"/>
                    </w:rPr>
                    <w:t>98%硫酸</w:t>
                  </w:r>
                </w:p>
              </w:tc>
              <w:tc>
                <w:tcPr>
                  <w:tcW w:w="1014" w:type="pct"/>
                  <w:noWrap w:val="0"/>
                  <w:vAlign w:val="center"/>
                </w:tcPr>
                <w:p>
                  <w:pPr>
                    <w:pStyle w:val="60"/>
                    <w:widowControl w:val="0"/>
                    <w:rPr>
                      <w:rFonts w:hint="default" w:ascii="Times New Roman" w:hAnsi="Times New Roman" w:cs="Times New Roman"/>
                      <w:color w:val="000000"/>
                      <w:lang w:val="en-US" w:eastAsia="zh-CN"/>
                    </w:rPr>
                  </w:pPr>
                  <w:r>
                    <w:rPr>
                      <w:rFonts w:hint="eastAsia" w:cs="Times New Roman"/>
                      <w:color w:val="000000"/>
                      <w:lang w:val="en-US" w:eastAsia="zh-CN"/>
                    </w:rPr>
                    <w:t>1.6t/a</w:t>
                  </w:r>
                </w:p>
              </w:tc>
              <w:tc>
                <w:tcPr>
                  <w:tcW w:w="1488" w:type="dxa"/>
                  <w:tcBorders>
                    <w:left w:val="single" w:color="auto" w:sz="4" w:space="0"/>
                  </w:tcBorders>
                  <w:noWrap w:val="0"/>
                  <w:vAlign w:val="center"/>
                </w:tcPr>
                <w:p>
                  <w:pPr>
                    <w:pStyle w:val="60"/>
                    <w:widowControl w:val="0"/>
                    <w:rPr>
                      <w:rFonts w:hint="default" w:ascii="Times New Roman" w:hAnsi="Times New Roman" w:eastAsia="宋体" w:cs="Times New Roman"/>
                      <w:szCs w:val="21"/>
                      <w:lang w:eastAsia="zh-CN"/>
                    </w:rPr>
                  </w:pPr>
                  <w:r>
                    <w:rPr>
                      <w:rFonts w:hint="eastAsia" w:cs="Times New Roman"/>
                      <w:color w:val="000000"/>
                      <w:lang w:val="en-US" w:eastAsia="zh-CN"/>
                    </w:rPr>
                    <w:t>0.4t/a</w:t>
                  </w:r>
                </w:p>
              </w:tc>
              <w:tc>
                <w:tcPr>
                  <w:tcW w:w="897" w:type="pct"/>
                  <w:tcBorders>
                    <w:left w:val="single" w:color="auto" w:sz="4" w:space="0"/>
                  </w:tcBorders>
                  <w:noWrap w:val="0"/>
                  <w:vAlign w:val="center"/>
                </w:tcPr>
                <w:p>
                  <w:pPr>
                    <w:spacing w:line="240" w:lineRule="exac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633" w:type="pct"/>
                  <w:noWrap w:val="0"/>
                  <w:vAlign w:val="center"/>
                </w:tcPr>
                <w:p>
                  <w:pPr>
                    <w:adjustRightInd w:val="0"/>
                    <w:snapToGrid w:val="0"/>
                    <w:spacing w:line="24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5</w:t>
                  </w:r>
                </w:p>
              </w:tc>
              <w:tc>
                <w:tcPr>
                  <w:tcW w:w="1556" w:type="pct"/>
                  <w:noWrap w:val="0"/>
                  <w:vAlign w:val="center"/>
                </w:tcPr>
                <w:p>
                  <w:pPr>
                    <w:spacing w:line="240" w:lineRule="exact"/>
                    <w:jc w:val="center"/>
                    <w:rPr>
                      <w:rFonts w:hint="default" w:ascii="Times New Roman" w:hAnsi="Times New Roman" w:eastAsia="宋体" w:cs="Times New Roman"/>
                      <w:spacing w:val="-4"/>
                      <w:szCs w:val="21"/>
                      <w:lang w:val="en-US" w:eastAsia="zh-CN"/>
                    </w:rPr>
                  </w:pPr>
                  <w:r>
                    <w:rPr>
                      <w:rFonts w:hint="eastAsia" w:ascii="Times New Roman" w:hAnsi="Times New Roman" w:eastAsia="宋体" w:cs="Times New Roman"/>
                      <w:spacing w:val="-4"/>
                      <w:szCs w:val="21"/>
                      <w:lang w:val="en-US" w:eastAsia="zh-CN"/>
                    </w:rPr>
                    <w:t>NaOH</w:t>
                  </w:r>
                </w:p>
              </w:tc>
              <w:tc>
                <w:tcPr>
                  <w:tcW w:w="1014" w:type="pct"/>
                  <w:noWrap w:val="0"/>
                  <w:vAlign w:val="center"/>
                </w:tcPr>
                <w:p>
                  <w:pPr>
                    <w:pStyle w:val="60"/>
                    <w:widowControl w:val="0"/>
                    <w:rPr>
                      <w:rFonts w:hint="default" w:ascii="Times New Roman" w:hAnsi="Times New Roman" w:cs="Times New Roman"/>
                      <w:color w:val="000000"/>
                      <w:lang w:val="en-US" w:eastAsia="zh-CN"/>
                    </w:rPr>
                  </w:pPr>
                  <w:r>
                    <w:rPr>
                      <w:rFonts w:hint="eastAsia" w:cs="Times New Roman"/>
                      <w:color w:val="000000"/>
                      <w:lang w:val="en-US" w:eastAsia="zh-CN"/>
                    </w:rPr>
                    <w:t>1.28t/a</w:t>
                  </w:r>
                </w:p>
              </w:tc>
              <w:tc>
                <w:tcPr>
                  <w:tcW w:w="1488" w:type="dxa"/>
                  <w:tcBorders>
                    <w:left w:val="single" w:color="auto" w:sz="4" w:space="0"/>
                  </w:tcBorders>
                  <w:noWrap w:val="0"/>
                  <w:vAlign w:val="center"/>
                </w:tcPr>
                <w:p>
                  <w:pPr>
                    <w:pStyle w:val="60"/>
                    <w:widowControl w:val="0"/>
                    <w:rPr>
                      <w:rFonts w:hint="eastAsia" w:ascii="Times New Roman" w:hAnsi="Times New Roman" w:eastAsia="宋体" w:cs="Times New Roman"/>
                      <w:szCs w:val="21"/>
                      <w:lang w:eastAsia="zh-CN"/>
                    </w:rPr>
                  </w:pPr>
                  <w:r>
                    <w:rPr>
                      <w:rFonts w:hint="eastAsia" w:cs="Times New Roman"/>
                      <w:color w:val="000000"/>
                      <w:lang w:val="en-US" w:eastAsia="zh-CN"/>
                    </w:rPr>
                    <w:t>0.28t/a</w:t>
                  </w:r>
                </w:p>
              </w:tc>
              <w:tc>
                <w:tcPr>
                  <w:tcW w:w="897" w:type="pct"/>
                  <w:tcBorders>
                    <w:left w:val="single" w:color="auto" w:sz="4" w:space="0"/>
                  </w:tcBorders>
                  <w:noWrap w:val="0"/>
                  <w:vAlign w:val="center"/>
                </w:tcPr>
                <w:p>
                  <w:pPr>
                    <w:spacing w:line="240" w:lineRule="exact"/>
                    <w:jc w:val="center"/>
                    <w:rPr>
                      <w:rFonts w:hint="eastAsia" w:ascii="Times New Roman" w:hAnsi="Times New Roman" w:cs="Times New Roman"/>
                      <w:szCs w:val="21"/>
                      <w:lang w:eastAsia="zh-CN"/>
                    </w:rPr>
                  </w:pPr>
                  <w:r>
                    <w:rPr>
                      <w:rFonts w:hint="eastAsia" w:ascii="Times New Roman" w:hAnsi="Times New Roman" w:eastAsia="宋体" w:cs="Times New Roman"/>
                      <w:szCs w:val="21"/>
                      <w:lang w:val="en-US" w:eastAsia="zh-CN"/>
                    </w:rPr>
                    <w:t>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633" w:type="pct"/>
                  <w:noWrap w:val="0"/>
                  <w:vAlign w:val="center"/>
                </w:tcPr>
                <w:p>
                  <w:pPr>
                    <w:adjustRightInd w:val="0"/>
                    <w:snapToGrid w:val="0"/>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6</w:t>
                  </w:r>
                </w:p>
              </w:tc>
              <w:tc>
                <w:tcPr>
                  <w:tcW w:w="1556" w:type="pct"/>
                  <w:noWrap w:val="0"/>
                  <w:vAlign w:val="center"/>
                </w:tcPr>
                <w:p>
                  <w:pPr>
                    <w:spacing w:line="240" w:lineRule="exact"/>
                    <w:jc w:val="center"/>
                    <w:rPr>
                      <w:rFonts w:hint="eastAsia" w:ascii="Times New Roman" w:hAnsi="Times New Roman" w:eastAsia="宋体" w:cs="Times New Roman"/>
                      <w:spacing w:val="-4"/>
                      <w:szCs w:val="21"/>
                      <w:lang w:val="en-US" w:eastAsia="zh-CN"/>
                    </w:rPr>
                  </w:pPr>
                  <w:r>
                    <w:rPr>
                      <w:rFonts w:hint="eastAsia" w:ascii="Times New Roman" w:hAnsi="Times New Roman" w:eastAsia="宋体" w:cs="Times New Roman"/>
                      <w:spacing w:val="-4"/>
                      <w:szCs w:val="21"/>
                      <w:lang w:val="en-US" w:eastAsia="zh-CN"/>
                    </w:rPr>
                    <w:t>氨水（浓度为18%）</w:t>
                  </w:r>
                </w:p>
              </w:tc>
              <w:tc>
                <w:tcPr>
                  <w:tcW w:w="1014" w:type="pct"/>
                  <w:noWrap w:val="0"/>
                  <w:vAlign w:val="center"/>
                </w:tcPr>
                <w:p>
                  <w:pPr>
                    <w:pStyle w:val="60"/>
                    <w:widowControl w:val="0"/>
                    <w:rPr>
                      <w:rFonts w:hint="default" w:cs="Times New Roman"/>
                      <w:color w:val="000000"/>
                      <w:lang w:val="en-US" w:eastAsia="zh-CN"/>
                    </w:rPr>
                  </w:pPr>
                  <w:r>
                    <w:rPr>
                      <w:rFonts w:hint="eastAsia" w:cs="Times New Roman"/>
                      <w:color w:val="000000"/>
                      <w:lang w:val="en-US" w:eastAsia="zh-CN"/>
                    </w:rPr>
                    <w:t>0.6t/a</w:t>
                  </w:r>
                </w:p>
              </w:tc>
              <w:tc>
                <w:tcPr>
                  <w:tcW w:w="1488" w:type="dxa"/>
                  <w:tcBorders>
                    <w:left w:val="single" w:color="auto" w:sz="4" w:space="0"/>
                  </w:tcBorders>
                  <w:noWrap w:val="0"/>
                  <w:vAlign w:val="center"/>
                </w:tcPr>
                <w:p>
                  <w:pPr>
                    <w:pStyle w:val="60"/>
                    <w:widowControl w:val="0"/>
                    <w:rPr>
                      <w:rFonts w:hint="eastAsia" w:ascii="Times New Roman" w:hAnsi="Times New Roman" w:eastAsia="宋体" w:cs="Times New Roman"/>
                      <w:szCs w:val="21"/>
                      <w:lang w:eastAsia="zh-CN"/>
                    </w:rPr>
                  </w:pPr>
                  <w:r>
                    <w:rPr>
                      <w:rFonts w:hint="eastAsia" w:cs="Times New Roman"/>
                      <w:color w:val="000000"/>
                      <w:lang w:val="en-US" w:eastAsia="zh-CN"/>
                    </w:rPr>
                    <w:t>0.15t/a</w:t>
                  </w:r>
                </w:p>
              </w:tc>
              <w:tc>
                <w:tcPr>
                  <w:tcW w:w="897" w:type="pct"/>
                  <w:tcBorders>
                    <w:left w:val="single" w:color="auto" w:sz="4" w:space="0"/>
                  </w:tcBorders>
                  <w:noWrap w:val="0"/>
                  <w:vAlign w:val="center"/>
                </w:tcPr>
                <w:p>
                  <w:pPr>
                    <w:spacing w:line="240" w:lineRule="exact"/>
                    <w:jc w:val="center"/>
                    <w:rPr>
                      <w:rFonts w:hint="eastAsia" w:ascii="Times New Roman" w:hAnsi="Times New Roman" w:cs="Times New Roman"/>
                      <w:szCs w:val="21"/>
                      <w:lang w:eastAsia="zh-CN"/>
                    </w:rPr>
                  </w:pPr>
                  <w:r>
                    <w:rPr>
                      <w:rFonts w:hint="eastAsia" w:ascii="Times New Roman" w:hAnsi="Times New Roman" w:eastAsia="宋体" w:cs="Times New Roman"/>
                      <w:szCs w:val="21"/>
                      <w:lang w:val="en-US" w:eastAsia="zh-CN"/>
                    </w:rPr>
                    <w:t>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633" w:type="pct"/>
                  <w:noWrap w:val="0"/>
                  <w:vAlign w:val="center"/>
                </w:tcPr>
                <w:p>
                  <w:pPr>
                    <w:adjustRightInd w:val="0"/>
                    <w:snapToGrid w:val="0"/>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w:t>
                  </w:r>
                </w:p>
              </w:tc>
              <w:tc>
                <w:tcPr>
                  <w:tcW w:w="1556" w:type="pct"/>
                  <w:noWrap w:val="0"/>
                  <w:vAlign w:val="center"/>
                </w:tcPr>
                <w:p>
                  <w:pPr>
                    <w:spacing w:line="240" w:lineRule="exact"/>
                    <w:jc w:val="center"/>
                    <w:rPr>
                      <w:rFonts w:hint="eastAsia" w:ascii="Times New Roman" w:hAnsi="Times New Roman" w:eastAsia="宋体" w:cs="Times New Roman"/>
                      <w:spacing w:val="-4"/>
                      <w:szCs w:val="21"/>
                      <w:lang w:val="en-US" w:eastAsia="zh-CN"/>
                    </w:rPr>
                  </w:pPr>
                  <w:r>
                    <w:rPr>
                      <w:rFonts w:hint="eastAsia" w:ascii="Times New Roman" w:hAnsi="Times New Roman" w:eastAsia="宋体" w:cs="Times New Roman"/>
                      <w:spacing w:val="-4"/>
                      <w:szCs w:val="21"/>
                      <w:lang w:val="en-US" w:eastAsia="zh-CN"/>
                    </w:rPr>
                    <w:t>双氧水</w:t>
                  </w:r>
                </w:p>
              </w:tc>
              <w:tc>
                <w:tcPr>
                  <w:tcW w:w="1014" w:type="pct"/>
                  <w:noWrap w:val="0"/>
                  <w:vAlign w:val="center"/>
                </w:tcPr>
                <w:p>
                  <w:pPr>
                    <w:pStyle w:val="60"/>
                    <w:widowControl w:val="0"/>
                    <w:rPr>
                      <w:rFonts w:hint="default" w:cs="Times New Roman"/>
                      <w:color w:val="000000"/>
                      <w:lang w:val="en-US" w:eastAsia="zh-CN"/>
                    </w:rPr>
                  </w:pPr>
                  <w:r>
                    <w:rPr>
                      <w:rFonts w:hint="eastAsia" w:cs="Times New Roman"/>
                      <w:color w:val="000000"/>
                      <w:lang w:val="en-US" w:eastAsia="zh-CN"/>
                    </w:rPr>
                    <w:t>0.6t/a</w:t>
                  </w:r>
                </w:p>
              </w:tc>
              <w:tc>
                <w:tcPr>
                  <w:tcW w:w="1488" w:type="dxa"/>
                  <w:tcBorders>
                    <w:left w:val="single" w:color="auto" w:sz="4" w:space="0"/>
                  </w:tcBorders>
                  <w:noWrap w:val="0"/>
                  <w:vAlign w:val="center"/>
                </w:tcPr>
                <w:p>
                  <w:pPr>
                    <w:pStyle w:val="60"/>
                    <w:widowControl w:val="0"/>
                    <w:rPr>
                      <w:rFonts w:hint="eastAsia" w:ascii="Times New Roman" w:hAnsi="Times New Roman" w:cs="Times New Roman"/>
                      <w:szCs w:val="21"/>
                      <w:lang w:eastAsia="zh-CN"/>
                    </w:rPr>
                  </w:pPr>
                  <w:r>
                    <w:rPr>
                      <w:rFonts w:hint="eastAsia" w:cs="Times New Roman"/>
                      <w:color w:val="000000"/>
                      <w:lang w:val="en-US" w:eastAsia="zh-CN"/>
                    </w:rPr>
                    <w:t>0.23t/a</w:t>
                  </w:r>
                </w:p>
              </w:tc>
              <w:tc>
                <w:tcPr>
                  <w:tcW w:w="897" w:type="pct"/>
                  <w:tcBorders>
                    <w:left w:val="single" w:color="auto" w:sz="4" w:space="0"/>
                  </w:tcBorders>
                  <w:noWrap w:val="0"/>
                  <w:vAlign w:val="center"/>
                </w:tcPr>
                <w:p>
                  <w:pPr>
                    <w:spacing w:line="240" w:lineRule="exact"/>
                    <w:jc w:val="center"/>
                    <w:rPr>
                      <w:rFonts w:hint="eastAsia" w:ascii="Times New Roman" w:hAnsi="Times New Roman" w:cs="Times New Roman"/>
                      <w:szCs w:val="21"/>
                      <w:lang w:eastAsia="zh-CN"/>
                    </w:rPr>
                  </w:pPr>
                  <w:r>
                    <w:rPr>
                      <w:rFonts w:hint="eastAsia" w:ascii="Times New Roman" w:hAnsi="Times New Roman" w:eastAsia="宋体" w:cs="Times New Roman"/>
                      <w:szCs w:val="21"/>
                      <w:lang w:val="en-US" w:eastAsia="zh-CN"/>
                    </w:rPr>
                    <w:t>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633" w:type="pct"/>
                  <w:noWrap w:val="0"/>
                  <w:vAlign w:val="center"/>
                </w:tcPr>
                <w:p>
                  <w:pPr>
                    <w:adjustRightInd w:val="0"/>
                    <w:snapToGrid w:val="0"/>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8</w:t>
                  </w:r>
                </w:p>
              </w:tc>
              <w:tc>
                <w:tcPr>
                  <w:tcW w:w="1556" w:type="pct"/>
                  <w:noWrap w:val="0"/>
                  <w:vAlign w:val="center"/>
                </w:tcPr>
                <w:p>
                  <w:pPr>
                    <w:spacing w:line="240" w:lineRule="exact"/>
                    <w:jc w:val="center"/>
                    <w:rPr>
                      <w:rFonts w:hint="eastAsia" w:ascii="Times New Roman" w:hAnsi="Times New Roman" w:eastAsia="宋体" w:cs="Times New Roman"/>
                      <w:spacing w:val="-4"/>
                      <w:szCs w:val="21"/>
                      <w:lang w:val="en-US" w:eastAsia="zh-CN"/>
                    </w:rPr>
                  </w:pPr>
                  <w:r>
                    <w:rPr>
                      <w:rFonts w:hint="eastAsia" w:ascii="Times New Roman" w:hAnsi="Times New Roman" w:eastAsia="宋体" w:cs="Times New Roman"/>
                      <w:spacing w:val="-4"/>
                      <w:szCs w:val="21"/>
                      <w:lang w:val="en-US" w:eastAsia="zh-CN"/>
                    </w:rPr>
                    <w:t>次氯酸钠（30%溶液）</w:t>
                  </w:r>
                </w:p>
              </w:tc>
              <w:tc>
                <w:tcPr>
                  <w:tcW w:w="1014" w:type="pct"/>
                  <w:noWrap w:val="0"/>
                  <w:vAlign w:val="center"/>
                </w:tcPr>
                <w:p>
                  <w:pPr>
                    <w:pStyle w:val="60"/>
                    <w:widowControl w:val="0"/>
                    <w:rPr>
                      <w:rFonts w:hint="default" w:cs="Times New Roman"/>
                      <w:color w:val="000000"/>
                      <w:lang w:val="en-US" w:eastAsia="zh-CN"/>
                    </w:rPr>
                  </w:pPr>
                  <w:r>
                    <w:rPr>
                      <w:rFonts w:hint="eastAsia" w:cs="Times New Roman"/>
                      <w:color w:val="000000"/>
                      <w:lang w:val="en-US" w:eastAsia="zh-CN"/>
                    </w:rPr>
                    <w:t>1.5t/a</w:t>
                  </w:r>
                </w:p>
              </w:tc>
              <w:tc>
                <w:tcPr>
                  <w:tcW w:w="1488" w:type="dxa"/>
                  <w:tcBorders>
                    <w:left w:val="single" w:color="auto" w:sz="4" w:space="0"/>
                  </w:tcBorders>
                  <w:noWrap w:val="0"/>
                  <w:vAlign w:val="center"/>
                </w:tcPr>
                <w:p>
                  <w:pPr>
                    <w:pStyle w:val="60"/>
                    <w:widowControl w:val="0"/>
                    <w:rPr>
                      <w:rFonts w:hint="eastAsia" w:ascii="Times New Roman" w:hAnsi="Times New Roman" w:cs="Times New Roman"/>
                      <w:szCs w:val="21"/>
                      <w:lang w:eastAsia="zh-CN"/>
                    </w:rPr>
                  </w:pPr>
                  <w:r>
                    <w:rPr>
                      <w:rFonts w:hint="eastAsia" w:cs="Times New Roman"/>
                      <w:color w:val="000000"/>
                      <w:lang w:val="en-US" w:eastAsia="zh-CN"/>
                    </w:rPr>
                    <w:t>0.3t/a</w:t>
                  </w:r>
                </w:p>
              </w:tc>
              <w:tc>
                <w:tcPr>
                  <w:tcW w:w="897" w:type="pct"/>
                  <w:tcBorders>
                    <w:left w:val="single" w:color="auto" w:sz="4" w:space="0"/>
                  </w:tcBorders>
                  <w:noWrap w:val="0"/>
                  <w:vAlign w:val="center"/>
                </w:tcPr>
                <w:p>
                  <w:pPr>
                    <w:spacing w:line="240" w:lineRule="exact"/>
                    <w:jc w:val="center"/>
                    <w:rPr>
                      <w:rFonts w:hint="eastAsia" w:ascii="Times New Roman" w:hAnsi="Times New Roman" w:cs="Times New Roman"/>
                      <w:szCs w:val="21"/>
                      <w:lang w:eastAsia="zh-CN"/>
                    </w:rPr>
                  </w:pPr>
                  <w:r>
                    <w:rPr>
                      <w:rFonts w:hint="eastAsia" w:ascii="Times New Roman" w:hAnsi="Times New Roman" w:eastAsia="宋体" w:cs="Times New Roman"/>
                      <w:szCs w:val="21"/>
                      <w:lang w:val="en-US" w:eastAsia="zh-CN"/>
                    </w:rPr>
                    <w:t>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633" w:type="pct"/>
                  <w:noWrap w:val="0"/>
                  <w:vAlign w:val="center"/>
                </w:tcPr>
                <w:p>
                  <w:pPr>
                    <w:adjustRightInd w:val="0"/>
                    <w:snapToGrid w:val="0"/>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9</w:t>
                  </w:r>
                </w:p>
              </w:tc>
              <w:tc>
                <w:tcPr>
                  <w:tcW w:w="1556" w:type="pct"/>
                  <w:noWrap w:val="0"/>
                  <w:vAlign w:val="center"/>
                </w:tcPr>
                <w:p>
                  <w:pPr>
                    <w:spacing w:line="240" w:lineRule="exact"/>
                    <w:jc w:val="center"/>
                    <w:rPr>
                      <w:rFonts w:hint="eastAsia" w:ascii="Times New Roman" w:hAnsi="Times New Roman" w:eastAsia="宋体" w:cs="Times New Roman"/>
                      <w:spacing w:val="-4"/>
                      <w:szCs w:val="21"/>
                      <w:lang w:val="en-US" w:eastAsia="zh-CN"/>
                    </w:rPr>
                  </w:pPr>
                  <w:r>
                    <w:rPr>
                      <w:rFonts w:hint="eastAsia" w:ascii="Times New Roman" w:hAnsi="Times New Roman" w:eastAsia="宋体" w:cs="Times New Roman"/>
                      <w:spacing w:val="-4"/>
                      <w:szCs w:val="21"/>
                      <w:lang w:val="en-US" w:eastAsia="zh-CN"/>
                    </w:rPr>
                    <w:t>酒石酸（固体）</w:t>
                  </w:r>
                </w:p>
              </w:tc>
              <w:tc>
                <w:tcPr>
                  <w:tcW w:w="1014" w:type="pct"/>
                  <w:noWrap w:val="0"/>
                  <w:vAlign w:val="center"/>
                </w:tcPr>
                <w:p>
                  <w:pPr>
                    <w:pStyle w:val="60"/>
                    <w:widowControl w:val="0"/>
                    <w:rPr>
                      <w:rFonts w:hint="default" w:cs="Times New Roman"/>
                      <w:color w:val="000000"/>
                      <w:lang w:val="en-US" w:eastAsia="zh-CN"/>
                    </w:rPr>
                  </w:pPr>
                  <w:r>
                    <w:rPr>
                      <w:rFonts w:hint="eastAsia" w:cs="Times New Roman"/>
                      <w:color w:val="000000"/>
                      <w:lang w:val="en-US" w:eastAsia="zh-CN"/>
                    </w:rPr>
                    <w:t>0.1t/a</w:t>
                  </w:r>
                </w:p>
              </w:tc>
              <w:tc>
                <w:tcPr>
                  <w:tcW w:w="897" w:type="pct"/>
                  <w:tcBorders>
                    <w:left w:val="single" w:color="auto" w:sz="4" w:space="0"/>
                  </w:tcBorders>
                  <w:noWrap w:val="0"/>
                  <w:vAlign w:val="center"/>
                </w:tcPr>
                <w:p>
                  <w:pPr>
                    <w:spacing w:line="24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0.03</w:t>
                  </w:r>
                  <w:r>
                    <w:rPr>
                      <w:rFonts w:hint="eastAsia" w:cs="Times New Roman"/>
                      <w:color w:val="000000"/>
                      <w:lang w:val="en-US" w:eastAsia="zh-CN"/>
                    </w:rPr>
                    <w:t>t/a</w:t>
                  </w:r>
                </w:p>
              </w:tc>
              <w:tc>
                <w:tcPr>
                  <w:tcW w:w="897" w:type="pct"/>
                  <w:tcBorders>
                    <w:left w:val="single" w:color="auto" w:sz="4" w:space="0"/>
                  </w:tcBorders>
                  <w:noWrap w:val="0"/>
                  <w:vAlign w:val="center"/>
                </w:tcPr>
                <w:p>
                  <w:pPr>
                    <w:spacing w:line="240" w:lineRule="exact"/>
                    <w:jc w:val="center"/>
                    <w:rPr>
                      <w:rFonts w:hint="eastAsia" w:ascii="Times New Roman" w:hAnsi="Times New Roman" w:cs="Times New Roman"/>
                      <w:szCs w:val="21"/>
                      <w:lang w:eastAsia="zh-CN"/>
                    </w:rPr>
                  </w:pPr>
                  <w:r>
                    <w:rPr>
                      <w:rFonts w:hint="eastAsia" w:ascii="Times New Roman" w:hAnsi="Times New Roman" w:eastAsia="宋体" w:cs="Times New Roman"/>
                      <w:szCs w:val="21"/>
                      <w:lang w:val="en-US" w:eastAsia="zh-CN"/>
                    </w:rPr>
                    <w:t>二期</w:t>
                  </w:r>
                </w:p>
              </w:tc>
            </w:tr>
          </w:tbl>
          <w:p>
            <w:pPr>
              <w:pStyle w:val="18"/>
              <w:pageBreakBefore w:val="0"/>
              <w:numPr>
                <w:ilvl w:val="0"/>
                <w:numId w:val="0"/>
              </w:numPr>
              <w:autoSpaceDE/>
              <w:autoSpaceDN/>
              <w:bidi w:val="0"/>
              <w:snapToGrid/>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本项目给排水情况：</w:t>
            </w:r>
          </w:p>
          <w:p>
            <w:pPr>
              <w:pageBreakBefore w:val="0"/>
              <w:numPr>
                <w:ilvl w:val="0"/>
                <w:numId w:val="0"/>
              </w:numPr>
              <w:autoSpaceDE/>
              <w:autoSpaceDN/>
              <w:bidi w:val="0"/>
              <w:snapToGrid w:val="0"/>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1、给水</w:t>
            </w:r>
          </w:p>
          <w:p>
            <w:pPr>
              <w:pageBreakBefore w:val="0"/>
              <w:numPr>
                <w:ilvl w:val="0"/>
                <w:numId w:val="0"/>
              </w:numPr>
              <w:autoSpaceDE/>
              <w:autoSpaceDN/>
              <w:bidi w:val="0"/>
              <w:snapToGrid w:val="0"/>
              <w:spacing w:before="0" w:after="0" w:line="360" w:lineRule="auto"/>
              <w:ind w:right="0" w:firstLine="480"/>
              <w:jc w:val="left"/>
              <w:rPr>
                <w:rFonts w:hint="default" w:ascii="Times New Roman" w:hAnsi="宋体" w:eastAsia="宋体"/>
                <w:color w:val="auto"/>
                <w:position w:val="0"/>
                <w:sz w:val="24"/>
                <w:szCs w:val="24"/>
              </w:rPr>
            </w:pPr>
            <w:r>
              <w:rPr>
                <w:rFonts w:hint="eastAsia" w:ascii="Times New Roman" w:hAnsi="Times New Roman" w:cs="Times New Roman"/>
                <w:bCs/>
                <w:sz w:val="24"/>
                <w:highlight w:val="none"/>
                <w:lang w:val="en-GB" w:eastAsia="zh-CN"/>
              </w:rPr>
              <w:t>主要为生产用水、喷淋塔</w:t>
            </w:r>
            <w:r>
              <w:rPr>
                <w:color w:val="000000"/>
                <w:sz w:val="24"/>
                <w:szCs w:val="24"/>
                <w:highlight w:val="none"/>
              </w:rPr>
              <w:t>补充用水</w:t>
            </w:r>
            <w:r>
              <w:rPr>
                <w:rFonts w:hint="eastAsia" w:ascii="Times New Roman" w:hAnsi="Times New Roman" w:cs="Times New Roman"/>
                <w:bCs/>
                <w:sz w:val="24"/>
                <w:highlight w:val="none"/>
                <w:lang w:val="en-GB" w:eastAsia="zh-CN"/>
              </w:rPr>
              <w:t>和</w:t>
            </w:r>
            <w:r>
              <w:rPr>
                <w:rFonts w:hint="default" w:ascii="Times New Roman" w:hAnsi="Times New Roman" w:cs="Times New Roman"/>
                <w:bCs/>
                <w:sz w:val="24"/>
                <w:highlight w:val="none"/>
                <w:lang w:val="en-GB"/>
              </w:rPr>
              <w:t>生活用水</w:t>
            </w:r>
            <w:r>
              <w:rPr>
                <w:rFonts w:hint="default" w:ascii="Times New Roman" w:hAnsi="宋体" w:eastAsia="宋体"/>
                <w:color w:val="auto"/>
                <w:position w:val="0"/>
                <w:sz w:val="24"/>
                <w:szCs w:val="24"/>
              </w:rPr>
              <w:t>。</w:t>
            </w:r>
          </w:p>
          <w:p>
            <w:pPr>
              <w:pStyle w:val="62"/>
              <w:pageBreakBefore w:val="0"/>
              <w:numPr>
                <w:ilvl w:val="0"/>
                <w:numId w:val="0"/>
              </w:numPr>
              <w:autoSpaceDE/>
              <w:autoSpaceDN/>
              <w:bidi w:val="0"/>
              <w:snapToGrid w:val="0"/>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2、排水</w:t>
            </w:r>
          </w:p>
          <w:p>
            <w:pPr>
              <w:pageBreakBefore w:val="0"/>
              <w:numPr>
                <w:ilvl w:val="0"/>
                <w:numId w:val="0"/>
              </w:numPr>
              <w:autoSpaceDE/>
              <w:autoSpaceDN/>
              <w:bidi w:val="0"/>
              <w:snapToGrid w:val="0"/>
              <w:spacing w:before="0" w:after="0" w:line="360" w:lineRule="auto"/>
              <w:ind w:right="0" w:firstLine="480"/>
              <w:jc w:val="left"/>
              <w:rPr>
                <w:rFonts w:hint="default" w:ascii="Times New Roman" w:hAnsi="宋体" w:eastAsia="宋体"/>
                <w:color w:val="auto"/>
                <w:position w:val="0"/>
                <w:sz w:val="24"/>
                <w:szCs w:val="24"/>
                <w:lang w:val="en-US"/>
              </w:rPr>
            </w:pPr>
            <w:r>
              <w:rPr>
                <w:rFonts w:hint="default" w:ascii="Times New Roman" w:hAnsi="宋体" w:eastAsia="宋体"/>
                <w:color w:val="auto"/>
                <w:position w:val="0"/>
                <w:sz w:val="24"/>
                <w:szCs w:val="24"/>
              </w:rPr>
              <w:t>项目厂区雨水收集后单独排放。项目产生的废水主要为生产废水和生活废水。</w:t>
            </w:r>
            <w:r>
              <w:rPr>
                <w:rFonts w:hint="eastAsia" w:ascii="Times New Roman" w:hAnsi="宋体" w:eastAsia="宋体"/>
                <w:color w:val="auto"/>
                <w:position w:val="0"/>
                <w:sz w:val="24"/>
                <w:szCs w:val="24"/>
                <w:lang w:val="en-US" w:eastAsia="zh-CN"/>
              </w:rPr>
              <w:t>产区污水管网收集后采用厂内预处理装置进行处理，然后在排入厂外市政污水管网，进入鄄城县第二人发产业园污水处理厂进行集中处理。</w:t>
            </w:r>
          </w:p>
          <w:p>
            <w:pPr>
              <w:pageBreakBefore w:val="0"/>
              <w:numPr>
                <w:ilvl w:val="0"/>
                <w:numId w:val="0"/>
              </w:numPr>
              <w:autoSpaceDE/>
              <w:autoSpaceDN/>
              <w:bidi w:val="0"/>
              <w:snapToGrid w:val="0"/>
              <w:spacing w:before="0" w:after="0" w:line="360" w:lineRule="auto"/>
              <w:ind w:right="0" w:firstLine="480"/>
              <w:jc w:val="left"/>
              <w:rPr>
                <w:rFonts w:hint="default" w:ascii="Times New Roman" w:hAnsi="宋体" w:eastAsia="宋体"/>
                <w:color w:val="auto"/>
                <w:position w:val="0"/>
                <w:sz w:val="24"/>
                <w:szCs w:val="24"/>
                <w:lang w:val="en-US" w:eastAsia="zh-CN"/>
              </w:rPr>
            </w:pPr>
            <w:r>
              <w:rPr>
                <w:rFonts w:hint="eastAsia" w:ascii="Times New Roman" w:hAnsi="宋体" w:eastAsia="宋体"/>
                <w:color w:val="auto"/>
                <w:position w:val="0"/>
                <w:sz w:val="24"/>
                <w:szCs w:val="24"/>
                <w:lang w:val="en-US" w:eastAsia="zh-CN"/>
              </w:rPr>
              <w:t xml:space="preserve">         </w:t>
            </w:r>
            <w:r>
              <w:rPr>
                <w:rFonts w:hint="eastAsia"/>
                <w:b/>
                <w:bCs/>
                <w:color w:val="auto"/>
                <w:sz w:val="24"/>
                <w:szCs w:val="24"/>
                <w:lang w:eastAsia="zh-CN"/>
              </w:rPr>
              <w:t>鄄城县第二人发产业中心污水处理厂处理工艺分析</w:t>
            </w:r>
            <w:r>
              <w:drawing>
                <wp:inline distT="0" distB="0" distL="114300" distR="114300">
                  <wp:extent cx="5213985" cy="2244090"/>
                  <wp:effectExtent l="0" t="0" r="5715"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5213985" cy="2244090"/>
                          </a:xfrm>
                          <a:prstGeom prst="rect">
                            <a:avLst/>
                          </a:prstGeom>
                          <a:noFill/>
                          <a:ln>
                            <a:noFill/>
                          </a:ln>
                        </pic:spPr>
                      </pic:pic>
                    </a:graphicData>
                  </a:graphic>
                </wp:inline>
              </w:drawing>
            </w:r>
          </w:p>
          <w:p>
            <w:pPr>
              <w:pageBreakBefore w:val="0"/>
              <w:numPr>
                <w:ilvl w:val="0"/>
                <w:numId w:val="0"/>
              </w:numPr>
              <w:autoSpaceDE/>
              <w:autoSpaceDN/>
              <w:bidi w:val="0"/>
              <w:snapToGrid/>
              <w:spacing w:before="0" w:after="0" w:line="360" w:lineRule="auto"/>
              <w:ind w:right="0" w:firstLine="482"/>
              <w:jc w:val="left"/>
              <w:rPr>
                <w:rFonts w:hint="default" w:ascii="Times New Roman" w:hAnsi="宋体" w:eastAsia="宋体"/>
                <w:b/>
                <w:color w:val="auto"/>
                <w:position w:val="0"/>
                <w:sz w:val="24"/>
                <w:szCs w:val="24"/>
              </w:rPr>
            </w:pPr>
          </w:p>
          <w:p>
            <w:pPr>
              <w:pageBreakBefore w:val="0"/>
              <w:numPr>
                <w:ilvl w:val="0"/>
                <w:numId w:val="0"/>
              </w:numPr>
              <w:autoSpaceDE/>
              <w:autoSpaceDN/>
              <w:bidi w:val="0"/>
              <w:snapToGrid/>
              <w:spacing w:before="0" w:after="0" w:line="360" w:lineRule="auto"/>
              <w:ind w:right="0" w:firstLine="482"/>
              <w:jc w:val="left"/>
              <w:rPr>
                <w:rFonts w:hint="default" w:ascii="Times New Roman" w:hAnsi="宋体" w:eastAsia="宋体"/>
                <w:b/>
                <w:color w:val="auto"/>
                <w:position w:val="0"/>
                <w:sz w:val="24"/>
                <w:szCs w:val="24"/>
              </w:rPr>
            </w:pPr>
          </w:p>
          <w:p>
            <w:pPr>
              <w:pageBreakBefore w:val="0"/>
              <w:numPr>
                <w:ilvl w:val="0"/>
                <w:numId w:val="0"/>
              </w:numPr>
              <w:autoSpaceDE/>
              <w:autoSpaceDN/>
              <w:bidi w:val="0"/>
              <w:snapToGrid/>
              <w:spacing w:before="0" w:after="0" w:line="360" w:lineRule="auto"/>
              <w:ind w:right="0" w:firstLine="482"/>
              <w:jc w:val="left"/>
              <w:rPr>
                <w:rFonts w:hint="default" w:ascii="Times New Roman" w:hAnsi="宋体" w:eastAsia="宋体"/>
                <w:b/>
                <w:color w:val="auto"/>
                <w:position w:val="0"/>
                <w:sz w:val="24"/>
                <w:szCs w:val="24"/>
              </w:rPr>
            </w:pPr>
          </w:p>
          <w:p>
            <w:pPr>
              <w:pageBreakBefore w:val="0"/>
              <w:numPr>
                <w:ilvl w:val="0"/>
                <w:numId w:val="0"/>
              </w:numPr>
              <w:autoSpaceDE/>
              <w:autoSpaceDN/>
              <w:bidi w:val="0"/>
              <w:snapToGrid/>
              <w:spacing w:before="0" w:after="0" w:line="360" w:lineRule="auto"/>
              <w:ind w:right="0" w:firstLine="482"/>
              <w:jc w:val="left"/>
              <w:rPr>
                <w:rFonts w:hint="default" w:ascii="Times New Roman" w:hAnsi="宋体" w:eastAsia="宋体"/>
                <w:b/>
                <w:color w:val="auto"/>
                <w:position w:val="0"/>
                <w:sz w:val="24"/>
                <w:szCs w:val="24"/>
              </w:rPr>
            </w:pPr>
          </w:p>
          <w:p>
            <w:pPr>
              <w:pageBreakBefore w:val="0"/>
              <w:numPr>
                <w:ilvl w:val="0"/>
                <w:numId w:val="0"/>
              </w:numPr>
              <w:autoSpaceDE/>
              <w:autoSpaceDN/>
              <w:bidi w:val="0"/>
              <w:snapToGrid/>
              <w:spacing w:before="0" w:after="0" w:line="360" w:lineRule="auto"/>
              <w:ind w:right="0" w:firstLine="482"/>
              <w:jc w:val="left"/>
              <w:rPr>
                <w:rFonts w:hint="default" w:ascii="Times New Roman" w:hAnsi="宋体" w:eastAsia="宋体"/>
                <w:b/>
                <w:color w:val="auto"/>
                <w:position w:val="0"/>
                <w:sz w:val="24"/>
                <w:szCs w:val="24"/>
              </w:rPr>
            </w:pPr>
          </w:p>
          <w:p>
            <w:pPr>
              <w:pageBreakBefore w:val="0"/>
              <w:numPr>
                <w:ilvl w:val="0"/>
                <w:numId w:val="0"/>
              </w:numPr>
              <w:autoSpaceDE/>
              <w:autoSpaceDN/>
              <w:bidi w:val="0"/>
              <w:snapToGrid/>
              <w:spacing w:before="0" w:after="0" w:line="360" w:lineRule="auto"/>
              <w:ind w:right="0" w:firstLine="482"/>
              <w:jc w:val="left"/>
              <w:rPr>
                <w:rFonts w:hint="default" w:ascii="Times New Roman" w:hAnsi="宋体" w:eastAsia="宋体"/>
                <w:b/>
                <w:color w:val="auto"/>
                <w:position w:val="0"/>
                <w:sz w:val="24"/>
                <w:szCs w:val="24"/>
              </w:rPr>
            </w:pPr>
            <w:r>
              <w:rPr>
                <w:rFonts w:hint="default" w:ascii="Times New Roman" w:hAnsi="宋体" w:eastAsia="宋体"/>
                <w:b/>
                <w:color w:val="auto"/>
                <w:position w:val="0"/>
                <w:sz w:val="24"/>
                <w:szCs w:val="24"/>
              </w:rPr>
              <w:t>三、主要工艺流程及产物环节</w:t>
            </w:r>
          </w:p>
          <w:p>
            <w:pPr>
              <w:pageBreakBefore w:val="0"/>
              <w:numPr>
                <w:ilvl w:val="0"/>
                <w:numId w:val="0"/>
              </w:numPr>
              <w:autoSpaceDE/>
              <w:autoSpaceDN/>
              <w:bidi w:val="0"/>
              <w:snapToGrid w:val="0"/>
              <w:spacing w:before="0" w:after="0" w:line="360" w:lineRule="auto"/>
              <w:ind w:right="0" w:firstLine="480"/>
              <w:jc w:val="left"/>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1、生产工艺流程及产污环节详见图</w:t>
            </w:r>
          </w:p>
          <w:p>
            <w:pPr>
              <w:pageBreakBefore w:val="0"/>
              <w:numPr>
                <w:ilvl w:val="0"/>
                <w:numId w:val="0"/>
              </w:numPr>
              <w:autoSpaceDE/>
              <w:autoSpaceDN/>
              <w:bidi w:val="0"/>
              <w:snapToGrid w:val="0"/>
              <w:spacing w:before="0" w:after="0" w:line="360" w:lineRule="auto"/>
              <w:ind w:right="0" w:firstLine="480"/>
              <w:jc w:val="left"/>
              <w:rPr>
                <w:rFonts w:hint="eastAsia" w:ascii="Times New Roman" w:hAnsi="宋体" w:eastAsia="宋体"/>
                <w:color w:val="auto"/>
                <w:position w:val="0"/>
                <w:sz w:val="24"/>
                <w:szCs w:val="24"/>
                <w:lang w:eastAsia="zh-CN"/>
              </w:rPr>
            </w:pPr>
          </w:p>
          <w:p>
            <w:pPr>
              <w:pStyle w:val="45"/>
              <w:numPr>
                <w:ilvl w:val="0"/>
                <w:numId w:val="0"/>
              </w:numPr>
              <w:autoSpaceDE w:val="0"/>
              <w:autoSpaceDN w:val="0"/>
              <w:spacing w:before="0" w:after="160" w:line="240" w:lineRule="auto"/>
              <w:ind w:right="0" w:firstLine="0"/>
              <w:jc w:val="left"/>
              <w:rPr>
                <w:rFonts w:hint="default" w:ascii="Times New Roman" w:hAnsi="宋体" w:eastAsia="宋体"/>
                <w:color w:val="000000"/>
                <w:position w:val="0"/>
                <w:sz w:val="24"/>
                <w:szCs w:val="24"/>
              </w:rPr>
            </w:pPr>
          </w:p>
          <w:p>
            <w:pPr>
              <w:pStyle w:val="66"/>
              <w:pageBreakBefore w:val="0"/>
              <w:numPr>
                <w:ilvl w:val="0"/>
                <w:numId w:val="0"/>
              </w:numPr>
              <w:autoSpaceDE/>
              <w:autoSpaceDN/>
              <w:bidi w:val="0"/>
              <w:snapToGrid/>
              <w:spacing w:before="0" w:after="0" w:line="360" w:lineRule="auto"/>
              <w:ind w:right="0" w:firstLine="1680" w:firstLineChars="700"/>
              <w:jc w:val="both"/>
              <w:rPr>
                <w:rFonts w:hint="default" w:ascii="Times New Roman" w:hAnsi="宋体" w:eastAsia="宋体"/>
                <w:color w:val="auto"/>
                <w:position w:val="0"/>
                <w:sz w:val="24"/>
                <w:szCs w:val="24"/>
              </w:rPr>
            </w:pPr>
            <w:r>
              <w:rPr>
                <w:rFonts w:hint="default" w:ascii="Times New Roman" w:hAnsi="宋体" w:eastAsia="宋体"/>
                <w:b w:val="0"/>
                <w:color w:val="auto"/>
                <w:position w:val="0"/>
                <w:sz w:val="24"/>
                <w:szCs w:val="24"/>
              </w:rPr>
              <w:t>图2生产工艺流程及产污环节图</w:t>
            </w:r>
          </w:p>
          <w:p>
            <w:pPr>
              <w:pageBreakBefore w:val="0"/>
              <w:numPr>
                <w:ilvl w:val="0"/>
                <w:numId w:val="0"/>
              </w:numPr>
              <w:autoSpaceDE/>
              <w:autoSpaceDN/>
              <w:bidi w:val="0"/>
              <w:snapToGrid w:val="0"/>
              <w:spacing w:before="0" w:after="0" w:line="360" w:lineRule="auto"/>
              <w:ind w:right="0" w:rightChars="0" w:firstLine="720" w:firstLineChars="300"/>
              <w:jc w:val="both"/>
              <w:rPr>
                <w:rFonts w:hint="eastAsia" w:ascii="Times New Roman" w:hAnsi="宋体" w:eastAsia="宋体"/>
                <w:color w:val="auto"/>
                <w:position w:val="0"/>
                <w:sz w:val="24"/>
                <w:szCs w:val="24"/>
                <w:lang w:val="en-US" w:eastAsia="zh-CN"/>
              </w:rPr>
            </w:pPr>
          </w:p>
          <w:p>
            <w:pPr>
              <w:pStyle w:val="47"/>
              <w:rPr>
                <w:rFonts w:hint="eastAsia"/>
                <w:lang w:val="en-US" w:eastAsia="zh-CN"/>
              </w:rPr>
            </w:pPr>
          </w:p>
          <w:p>
            <w:pPr>
              <w:pageBreakBefore w:val="0"/>
              <w:numPr>
                <w:ilvl w:val="0"/>
                <w:numId w:val="0"/>
              </w:numPr>
              <w:autoSpaceDE/>
              <w:autoSpaceDN/>
              <w:bidi w:val="0"/>
              <w:snapToGrid w:val="0"/>
              <w:spacing w:before="0" w:after="0" w:line="360" w:lineRule="auto"/>
              <w:ind w:right="0" w:rightChars="0"/>
              <w:jc w:val="both"/>
              <w:rPr>
                <w:rFonts w:hint="eastAsia" w:ascii="Times New Roman" w:hAnsi="宋体" w:eastAsia="宋体"/>
                <w:color w:val="auto"/>
                <w:position w:val="0"/>
                <w:sz w:val="24"/>
                <w:szCs w:val="24"/>
                <w:lang w:val="en-US" w:eastAsia="zh-CN"/>
              </w:rPr>
            </w:pPr>
            <w:r>
              <w:drawing>
                <wp:inline distT="0" distB="0" distL="114300" distR="114300">
                  <wp:extent cx="4981575" cy="2447925"/>
                  <wp:effectExtent l="0" t="0" r="9525"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4981575" cy="2447925"/>
                          </a:xfrm>
                          <a:prstGeom prst="rect">
                            <a:avLst/>
                          </a:prstGeom>
                          <a:noFill/>
                          <a:ln>
                            <a:noFill/>
                          </a:ln>
                        </pic:spPr>
                      </pic:pic>
                    </a:graphicData>
                  </a:graphic>
                </wp:inline>
              </w:drawing>
            </w:r>
          </w:p>
          <w:p>
            <w:pPr>
              <w:pageBreakBefore w:val="0"/>
              <w:numPr>
                <w:ilvl w:val="0"/>
                <w:numId w:val="0"/>
              </w:numPr>
              <w:autoSpaceDE/>
              <w:autoSpaceDN/>
              <w:bidi w:val="0"/>
              <w:snapToGrid w:val="0"/>
              <w:spacing w:before="0" w:after="0" w:line="360" w:lineRule="auto"/>
              <w:ind w:right="0" w:rightChars="0" w:firstLine="720" w:firstLineChars="300"/>
              <w:jc w:val="both"/>
              <w:rPr>
                <w:rFonts w:hint="default" w:ascii="Times New Roman" w:hAnsi="宋体" w:eastAsia="宋体"/>
                <w:color w:val="auto"/>
                <w:position w:val="0"/>
                <w:sz w:val="24"/>
                <w:szCs w:val="24"/>
              </w:rPr>
            </w:pPr>
            <w:r>
              <w:rPr>
                <w:rFonts w:hint="eastAsia" w:ascii="Times New Roman" w:hAnsi="宋体" w:eastAsia="宋体"/>
                <w:color w:val="auto"/>
                <w:position w:val="0"/>
                <w:sz w:val="24"/>
                <w:szCs w:val="24"/>
                <w:lang w:val="en-US" w:eastAsia="zh-CN"/>
              </w:rPr>
              <w:t>2、</w:t>
            </w:r>
            <w:r>
              <w:rPr>
                <w:rFonts w:hint="default" w:ascii="Times New Roman" w:hAnsi="宋体" w:eastAsia="宋体"/>
                <w:color w:val="auto"/>
                <w:position w:val="0"/>
                <w:sz w:val="24"/>
                <w:szCs w:val="24"/>
              </w:rPr>
              <w:t>工艺流程简述</w:t>
            </w:r>
          </w:p>
          <w:p>
            <w:pPr>
              <w:pStyle w:val="9"/>
              <w:ind w:left="0" w:leftChars="0" w:firstLine="0" w:firstLineChars="0"/>
              <w:rPr>
                <w:rFonts w:hint="eastAsia" w:ascii="Times New Roman" w:hAnsi="宋体" w:eastAsia="宋体"/>
                <w:color w:val="auto"/>
                <w:position w:val="0"/>
                <w:sz w:val="24"/>
                <w:szCs w:val="24"/>
                <w:lang w:eastAsia="zh-CN"/>
              </w:rPr>
            </w:pPr>
          </w:p>
          <w:p>
            <w:pPr>
              <w:pStyle w:val="2"/>
              <w:spacing w:after="0"/>
              <w:ind w:left="0" w:leftChars="0" w:firstLine="480"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工艺流程简述：</w:t>
            </w:r>
          </w:p>
          <w:p>
            <w:pPr>
              <w:spacing w:line="360" w:lineRule="auto"/>
              <w:ind w:firstLine="480" w:firstLineChars="200"/>
              <w:rPr>
                <w:rFonts w:hint="eastAsia" w:ascii="Times New Roman" w:hAnsi="Times New Roman" w:eastAsia="宋体" w:cs="Times New Roman"/>
                <w:b w:val="0"/>
                <w:bCs w:val="0"/>
                <w:color w:val="auto"/>
                <w:sz w:val="24"/>
                <w:szCs w:val="24"/>
                <w:lang w:eastAsia="zh-CN"/>
              </w:rPr>
            </w:pPr>
            <w:r>
              <w:rPr>
                <w:rFonts w:hint="default" w:ascii="Times New Roman" w:hAnsi="Times New Roman" w:cs="Times New Roman"/>
                <w:b w:val="0"/>
                <w:bCs w:val="0"/>
                <w:color w:val="auto"/>
                <w:sz w:val="24"/>
                <w:szCs w:val="24"/>
              </w:rPr>
              <w:t>本项目主要产品为人发制品，其生产加工工艺流程简述如下</w:t>
            </w:r>
            <w:r>
              <w:rPr>
                <w:rFonts w:hint="eastAsia" w:ascii="Times New Roman" w:hAnsi="Times New Roman" w:cs="Times New Roman"/>
                <w:b w:val="0"/>
                <w:bCs w:val="0"/>
                <w:color w:val="auto"/>
                <w:sz w:val="24"/>
                <w:szCs w:val="24"/>
                <w:lang w:eastAsia="zh-CN"/>
              </w:rPr>
              <w:t>：</w:t>
            </w:r>
          </w:p>
          <w:p>
            <w:pPr>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人发进厂后部分进行分类，然后在梳齿状的板上进行拉发，起到梳理作用，然后</w:t>
            </w:r>
          </w:p>
          <w:p>
            <w:pPr>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用次氯酸钠、硫酸和自来水按比例混合后对头发进行泡酸（时长约5min）去鳞片处理，然后用混入氨水和NaOH的温水对处理好的人发进行中和（时长约20min），处理结束后对其进行清洗（水温约30-50℃）护理，然后利用烘箱对其进行烘干处理（温度70-80℃，时长约1小时）。然后再经拉发后，然后用三联机进行成帘处理，再用卷管对其进行作曲定型处理（定型柜温度90℃，时长约50分钟），之后自然晾干后， 经人工梳理整型后，包装即可。</w:t>
            </w:r>
          </w:p>
          <w:p>
            <w:pPr>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泡酸去鳞片过程中，几乎同时加入的硫酸与次氯酸钠发生化学反应生成的次氯酸</w:t>
            </w:r>
          </w:p>
          <w:p>
            <w:pPr>
              <w:spacing w:line="360" w:lineRule="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发挥去鳞片的作用。</w:t>
            </w:r>
          </w:p>
          <w:p>
            <w:pPr>
              <w:spacing w:line="360" w:lineRule="auto"/>
              <w:jc w:val="center"/>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H</w:t>
            </w:r>
            <w:r>
              <w:rPr>
                <w:rFonts w:hint="eastAsia" w:ascii="Times New Roman" w:hAnsi="Times New Roman"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lang w:val="en-US" w:eastAsia="zh-CN"/>
              </w:rPr>
              <w:t>SO</w:t>
            </w:r>
            <w:r>
              <w:rPr>
                <w:rFonts w:hint="eastAsia" w:ascii="Times New Roman" w:hAnsi="Times New Roman" w:cs="Times New Roman"/>
                <w:color w:val="auto"/>
                <w:sz w:val="24"/>
                <w:szCs w:val="24"/>
                <w:highlight w:val="none"/>
                <w:vertAlign w:val="subscript"/>
                <w:lang w:val="en-US" w:eastAsia="zh-CN"/>
              </w:rPr>
              <w:t>4</w:t>
            </w:r>
            <w:r>
              <w:rPr>
                <w:rFonts w:hint="eastAsia" w:ascii="Times New Roman" w:hAnsi="Times New Roman" w:cs="Times New Roman"/>
                <w:color w:val="auto"/>
                <w:sz w:val="24"/>
                <w:szCs w:val="24"/>
                <w:highlight w:val="none"/>
                <w:lang w:val="en-US" w:eastAsia="zh-CN"/>
              </w:rPr>
              <w:t>+2NAClO=Na</w:t>
            </w:r>
            <w:r>
              <w:rPr>
                <w:rFonts w:hint="eastAsia" w:ascii="Times New Roman" w:hAnsi="Times New Roman"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lang w:val="en-US" w:eastAsia="zh-CN"/>
              </w:rPr>
              <w:t>SO</w:t>
            </w:r>
            <w:r>
              <w:rPr>
                <w:rFonts w:hint="eastAsia" w:ascii="Times New Roman" w:hAnsi="Times New Roman" w:cs="Times New Roman"/>
                <w:color w:val="auto"/>
                <w:sz w:val="24"/>
                <w:szCs w:val="24"/>
                <w:highlight w:val="none"/>
                <w:vertAlign w:val="subscript"/>
                <w:lang w:val="en-US" w:eastAsia="zh-CN"/>
              </w:rPr>
              <w:t>4</w:t>
            </w:r>
            <w:r>
              <w:rPr>
                <w:rFonts w:hint="eastAsia" w:ascii="Times New Roman" w:hAnsi="Times New Roman" w:cs="Times New Roman"/>
                <w:color w:val="auto"/>
                <w:sz w:val="24"/>
                <w:szCs w:val="24"/>
                <w:highlight w:val="none"/>
                <w:lang w:val="en-US" w:eastAsia="zh-CN"/>
              </w:rPr>
              <w:t>+2HCIO</w:t>
            </w:r>
          </w:p>
          <w:p>
            <w:pPr>
              <w:spacing w:line="360" w:lineRule="auto"/>
              <w:ind w:firstLine="480" w:firstLineChars="200"/>
              <w:jc w:val="left"/>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注：</w:t>
            </w:r>
            <w:r>
              <w:rPr>
                <w:rFonts w:hint="eastAsia" w:ascii="Times New Roman" w:hAnsi="Times New Roman" w:cs="Times New Roman"/>
                <w:color w:val="auto"/>
                <w:sz w:val="24"/>
                <w:szCs w:val="24"/>
                <w:highlight w:val="none"/>
                <w:lang w:val="en-US" w:eastAsia="zh-CN"/>
              </w:rPr>
              <w:fldChar w:fldCharType="begin"/>
            </w:r>
            <w:r>
              <w:rPr>
                <w:rFonts w:hint="eastAsia" w:ascii="Times New Roman" w:hAnsi="Times New Roman" w:cs="Times New Roman"/>
                <w:color w:val="auto"/>
                <w:sz w:val="24"/>
                <w:szCs w:val="24"/>
                <w:highlight w:val="none"/>
                <w:lang w:val="en-US" w:eastAsia="zh-CN"/>
              </w:rPr>
              <w:instrText xml:space="preserve"> = 1 \* GB3 \* MERGEFORMAT </w:instrText>
            </w:r>
            <w:r>
              <w:rPr>
                <w:rFonts w:hint="eastAsia" w:ascii="Times New Roman" w:hAnsi="Times New Roman" w:cs="Times New Roman"/>
                <w:color w:val="auto"/>
                <w:sz w:val="24"/>
                <w:szCs w:val="24"/>
                <w:highlight w:val="none"/>
                <w:lang w:val="en-US" w:eastAsia="zh-CN"/>
              </w:rPr>
              <w:fldChar w:fldCharType="separate"/>
            </w:r>
            <w:r>
              <w:rPr>
                <w:color w:val="auto"/>
              </w:rPr>
              <w:t>①</w:t>
            </w:r>
            <w:r>
              <w:rPr>
                <w:rFonts w:hint="eastAsia" w:ascii="Times New Roman" w:hAnsi="Times New Roman" w:cs="Times New Roman"/>
                <w:color w:val="auto"/>
                <w:sz w:val="24"/>
                <w:szCs w:val="24"/>
                <w:highlight w:val="none"/>
                <w:lang w:val="en-US" w:eastAsia="zh-CN"/>
              </w:rPr>
              <w:fldChar w:fldCharType="end"/>
            </w:r>
            <w:r>
              <w:rPr>
                <w:rFonts w:hint="eastAsia" w:ascii="Times New Roman" w:hAnsi="Times New Roman" w:cs="Times New Roman"/>
                <w:color w:val="auto"/>
                <w:sz w:val="24"/>
                <w:szCs w:val="24"/>
                <w:highlight w:val="none"/>
                <w:lang w:val="en-US" w:eastAsia="zh-CN"/>
              </w:rPr>
              <w:t>项目生产设备、车间地面无需清洗。</w:t>
            </w:r>
          </w:p>
          <w:p>
            <w:pPr>
              <w:spacing w:line="360" w:lineRule="auto"/>
              <w:ind w:firstLine="480" w:firstLineChars="200"/>
              <w:jc w:val="left"/>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fldChar w:fldCharType="begin"/>
            </w:r>
            <w:r>
              <w:rPr>
                <w:rFonts w:hint="eastAsia" w:ascii="Times New Roman" w:hAnsi="Times New Roman" w:cs="Times New Roman"/>
                <w:color w:val="auto"/>
                <w:sz w:val="24"/>
                <w:szCs w:val="24"/>
                <w:highlight w:val="none"/>
                <w:lang w:val="en-US" w:eastAsia="zh-CN"/>
              </w:rPr>
              <w:instrText xml:space="preserve"> = 2 \* GB3 \* MERGEFORMAT </w:instrText>
            </w:r>
            <w:r>
              <w:rPr>
                <w:rFonts w:hint="eastAsia" w:ascii="Times New Roman" w:hAnsi="Times New Roman" w:cs="Times New Roman"/>
                <w:color w:val="auto"/>
                <w:sz w:val="24"/>
                <w:szCs w:val="24"/>
                <w:highlight w:val="none"/>
                <w:lang w:val="en-US" w:eastAsia="zh-CN"/>
              </w:rPr>
              <w:fldChar w:fldCharType="separate"/>
            </w:r>
            <w:r>
              <w:rPr>
                <w:color w:val="auto"/>
              </w:rPr>
              <w:t>②</w:t>
            </w:r>
            <w:r>
              <w:rPr>
                <w:rFonts w:hint="eastAsia" w:ascii="Times New Roman" w:hAnsi="Times New Roman" w:cs="Times New Roman"/>
                <w:color w:val="auto"/>
                <w:sz w:val="24"/>
                <w:szCs w:val="24"/>
                <w:highlight w:val="none"/>
                <w:lang w:val="en-US" w:eastAsia="zh-CN"/>
              </w:rPr>
              <w:fldChar w:fldCharType="end"/>
            </w:r>
            <w:r>
              <w:rPr>
                <w:rFonts w:hint="eastAsia" w:ascii="Times New Roman" w:hAnsi="Times New Roman" w:cs="Times New Roman"/>
                <w:color w:val="auto"/>
                <w:sz w:val="24"/>
                <w:szCs w:val="24"/>
                <w:highlight w:val="none"/>
                <w:lang w:val="en-US" w:eastAsia="zh-CN"/>
              </w:rPr>
              <w:t>项目生产过程中所用热源由菏泽宁鲁供热有限公司供给。</w:t>
            </w:r>
          </w:p>
          <w:p>
            <w:pPr>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fldChar w:fldCharType="begin"/>
            </w:r>
            <w:r>
              <w:rPr>
                <w:rFonts w:hint="eastAsia" w:ascii="Times New Roman" w:hAnsi="Times New Roman" w:cs="Times New Roman"/>
                <w:color w:val="auto"/>
                <w:sz w:val="24"/>
                <w:szCs w:val="24"/>
                <w:highlight w:val="none"/>
                <w:lang w:val="en-US" w:eastAsia="zh-CN"/>
              </w:rPr>
              <w:instrText xml:space="preserve"> = 3 \* GB3 \* MERGEFORMAT </w:instrText>
            </w:r>
            <w:r>
              <w:rPr>
                <w:rFonts w:hint="eastAsia" w:ascii="Times New Roman" w:hAnsi="Times New Roman" w:cs="Times New Roman"/>
                <w:color w:val="auto"/>
                <w:sz w:val="24"/>
                <w:szCs w:val="24"/>
                <w:highlight w:val="none"/>
                <w:lang w:val="en-US" w:eastAsia="zh-CN"/>
              </w:rPr>
              <w:fldChar w:fldCharType="separate"/>
            </w:r>
            <w:r>
              <w:rPr>
                <w:color w:val="auto"/>
              </w:rPr>
              <w:t>③</w:t>
            </w:r>
            <w:r>
              <w:rPr>
                <w:rFonts w:hint="eastAsia" w:ascii="Times New Roman" w:hAnsi="Times New Roman" w:cs="Times New Roman"/>
                <w:color w:val="auto"/>
                <w:sz w:val="24"/>
                <w:szCs w:val="24"/>
                <w:highlight w:val="none"/>
                <w:lang w:val="en-US" w:eastAsia="zh-CN"/>
              </w:rPr>
              <w:fldChar w:fldCharType="end"/>
            </w:r>
            <w:r>
              <w:rPr>
                <w:rFonts w:hint="eastAsia" w:ascii="Times New Roman" w:hAnsi="Times New Roman" w:cs="Times New Roman"/>
                <w:color w:val="auto"/>
                <w:sz w:val="24"/>
                <w:szCs w:val="24"/>
                <w:highlight w:val="none"/>
                <w:lang w:val="en-US" w:eastAsia="zh-CN"/>
              </w:rPr>
              <w:t>头发主要由表皮层、皮质层、髓质层组成，表皮层由许多细小的鳞片重叠而成，即毛鳞片，它可以说是一层保护层。泡酸去鳞片的主要作用是使头发柔顺、亮泽，易于梳理，不打结。</w:t>
            </w:r>
          </w:p>
          <w:p>
            <w:pPr>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污染物产生情况：</w:t>
            </w:r>
          </w:p>
          <w:p>
            <w:pPr>
              <w:spacing w:line="360" w:lineRule="auto"/>
              <w:ind w:firstLine="480" w:firstLineChars="200"/>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泡酸过程产生的硫酸、氯化氢，泡酸废水及废化学试剂桶。</w:t>
            </w:r>
          </w:p>
          <w:p>
            <w:pPr>
              <w:spacing w:line="360" w:lineRule="auto"/>
              <w:ind w:firstLine="480" w:firstLineChars="200"/>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中和过程产生的氨，中和废水和化学试剂。</w:t>
            </w:r>
          </w:p>
          <w:p>
            <w:pPr>
              <w:spacing w:line="360" w:lineRule="auto"/>
              <w:ind w:firstLine="480" w:firstLineChars="200"/>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洗发过程产生的洗发废水和洗发香波、护发素包装物。</w:t>
            </w:r>
          </w:p>
          <w:p>
            <w:pPr>
              <w:spacing w:line="360" w:lineRule="auto"/>
              <w:ind w:firstLine="480" w:firstLineChars="200"/>
              <w:rPr>
                <w:rFonts w:hint="default" w:ascii="Times New Roman" w:hAnsi="Times New Roman" w:cs="Times New Roman"/>
                <w:b w:val="0"/>
                <w:bCs w:val="0"/>
                <w:color w:val="auto"/>
                <w:sz w:val="24"/>
                <w:szCs w:val="24"/>
              </w:rPr>
            </w:pPr>
            <w:r>
              <w:rPr>
                <w:rFonts w:hint="eastAsia" w:ascii="Times New Roman" w:hAnsi="Times New Roman" w:cs="Times New Roman"/>
                <w:b w:val="0"/>
                <w:bCs w:val="0"/>
                <w:color w:val="auto"/>
                <w:sz w:val="24"/>
                <w:szCs w:val="24"/>
                <w:lang w:eastAsia="zh-CN"/>
              </w:rPr>
              <w:t>三联机产生的机械噪声</w:t>
            </w:r>
            <w:r>
              <w:rPr>
                <w:rFonts w:hint="default" w:ascii="Times New Roman" w:hAnsi="Times New Roman" w:cs="Times New Roman"/>
                <w:b w:val="0"/>
                <w:bCs w:val="0"/>
                <w:color w:val="auto"/>
                <w:sz w:val="24"/>
                <w:szCs w:val="24"/>
              </w:rPr>
              <w:t>。</w:t>
            </w:r>
          </w:p>
          <w:p>
            <w:pPr>
              <w:spacing w:line="360" w:lineRule="auto"/>
              <w:ind w:firstLine="480" w:firstLineChars="200"/>
              <w:rPr>
                <w:rFonts w:hint="eastAsia" w:ascii="Times New Roman" w:hAnsi="Times New Roman" w:eastAsia="宋体" w:cs="Times New Roman"/>
                <w:b/>
                <w:bCs/>
                <w:color w:val="auto"/>
                <w:sz w:val="28"/>
                <w:szCs w:val="28"/>
                <w:lang w:val="en-US" w:eastAsia="zh-CN"/>
              </w:rPr>
            </w:pPr>
            <w:r>
              <w:rPr>
                <w:rFonts w:hint="eastAsia" w:ascii="Times New Roman" w:hAnsi="Times New Roman" w:cs="Times New Roman"/>
                <w:b w:val="0"/>
                <w:bCs w:val="0"/>
                <w:color w:val="auto"/>
                <w:sz w:val="24"/>
                <w:szCs w:val="24"/>
                <w:lang w:eastAsia="zh-CN"/>
              </w:rPr>
              <w:t>整个生产过程中无染色工艺。</w:t>
            </w:r>
          </w:p>
          <w:p>
            <w:pPr>
              <w:pageBreakBefore w:val="0"/>
              <w:numPr>
                <w:ilvl w:val="0"/>
                <w:numId w:val="0"/>
              </w:numPr>
              <w:autoSpaceDE/>
              <w:autoSpaceDN/>
              <w:bidi w:val="0"/>
              <w:snapToGrid w:val="0"/>
              <w:spacing w:before="0" w:after="0" w:line="360" w:lineRule="auto"/>
              <w:ind w:right="0" w:rightChars="0"/>
              <w:jc w:val="both"/>
              <w:rPr>
                <w:rFonts w:hint="default" w:ascii="Times New Roman" w:hAnsi="宋体" w:eastAsia="宋体"/>
                <w:color w:val="000000"/>
                <w:position w:val="0"/>
                <w:sz w:val="24"/>
                <w:szCs w:val="24"/>
              </w:rPr>
            </w:pPr>
          </w:p>
        </w:tc>
      </w:tr>
    </w:tbl>
    <w:p>
      <w:pPr>
        <w:pStyle w:val="45"/>
        <w:pageBreakBefore w:val="0"/>
        <w:numPr>
          <w:ilvl w:val="0"/>
          <w:numId w:val="0"/>
        </w:numPr>
        <w:autoSpaceDE w:val="0"/>
        <w:autoSpaceDN w:val="0"/>
        <w:bidi w:val="0"/>
        <w:snapToGrid/>
        <w:spacing w:before="0" w:after="160" w:line="240" w:lineRule="auto"/>
        <w:ind w:right="0" w:firstLine="0"/>
        <w:jc w:val="left"/>
        <w:outlineLvl w:val="0"/>
        <w:rPr>
          <w:rFonts w:hint="default" w:ascii="Times New Roman" w:hAnsi="Times New Roman" w:eastAsia="Times New Roman"/>
          <w:b/>
          <w:color w:val="auto"/>
          <w:position w:val="0"/>
          <w:sz w:val="24"/>
          <w:szCs w:val="24"/>
        </w:rPr>
      </w:pPr>
      <w:bookmarkStart w:id="11" w:name="_Toc27194"/>
    </w:p>
    <w:p>
      <w:pPr>
        <w:pStyle w:val="45"/>
        <w:pageBreakBefore w:val="0"/>
        <w:numPr>
          <w:ilvl w:val="0"/>
          <w:numId w:val="0"/>
        </w:numPr>
        <w:autoSpaceDE w:val="0"/>
        <w:autoSpaceDN w:val="0"/>
        <w:bidi w:val="0"/>
        <w:snapToGrid/>
        <w:spacing w:before="0" w:after="160" w:line="240" w:lineRule="auto"/>
        <w:ind w:right="0" w:firstLine="0"/>
        <w:jc w:val="left"/>
        <w:outlineLvl w:val="0"/>
        <w:rPr>
          <w:rFonts w:hint="default" w:ascii="Times New Roman" w:hAnsi="Times New Roman" w:eastAsia="Times New Roman"/>
          <w:b/>
          <w:color w:val="auto"/>
          <w:position w:val="0"/>
          <w:sz w:val="24"/>
          <w:szCs w:val="24"/>
        </w:rPr>
      </w:pPr>
      <w:r>
        <w:rPr>
          <w:rFonts w:hint="default" w:ascii="Times New Roman" w:hAnsi="Times New Roman" w:eastAsia="Times New Roman"/>
          <w:b/>
          <w:color w:val="auto"/>
          <w:position w:val="0"/>
          <w:sz w:val="24"/>
          <w:szCs w:val="24"/>
        </w:rPr>
        <w:t>表三</w:t>
      </w:r>
      <w:bookmarkEnd w:id="11"/>
    </w:p>
    <w:tbl>
      <w:tblPr>
        <w:tblStyle w:val="39"/>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78" w:hRule="atLeast"/>
          <w:jc w:val="center"/>
        </w:trPr>
        <w:tc>
          <w:tcPr>
            <w:tcW w:w="8522" w:type="dxa"/>
            <w:vAlign w:val="top"/>
          </w:tcPr>
          <w:p>
            <w:pPr>
              <w:pageBreakBefore w:val="0"/>
              <w:numPr>
                <w:ilvl w:val="0"/>
                <w:numId w:val="0"/>
              </w:numPr>
              <w:autoSpaceDE/>
              <w:autoSpaceDN/>
              <w:bidi w:val="0"/>
              <w:snapToGrid/>
              <w:spacing w:before="0" w:after="0" w:line="360" w:lineRule="auto"/>
              <w:ind w:right="0" w:firstLine="0"/>
              <w:jc w:val="both"/>
              <w:outlineLvl w:val="0"/>
              <w:rPr>
                <w:rFonts w:hint="default" w:ascii="Times New Roman" w:hAnsi="Times New Roman" w:eastAsia="Times New Roman"/>
                <w:b/>
                <w:color w:val="auto"/>
                <w:position w:val="0"/>
                <w:sz w:val="24"/>
                <w:szCs w:val="24"/>
              </w:rPr>
            </w:pPr>
            <w:bookmarkStart w:id="12" w:name="_Toc10972"/>
            <w:r>
              <w:rPr>
                <w:rFonts w:hint="default" w:ascii="Times New Roman" w:hAnsi="Times New Roman" w:eastAsia="Times New Roman"/>
                <w:b/>
                <w:color w:val="auto"/>
                <w:position w:val="0"/>
                <w:sz w:val="24"/>
                <w:szCs w:val="24"/>
              </w:rPr>
              <w:t>主要污染源、污染物处理和排放</w:t>
            </w:r>
            <w:bookmarkEnd w:id="12"/>
          </w:p>
          <w:p>
            <w:pPr>
              <w:pageBreakBefore w:val="0"/>
              <w:numPr>
                <w:ilvl w:val="0"/>
                <w:numId w:val="0"/>
              </w:numPr>
              <w:autoSpaceDE/>
              <w:autoSpaceDN/>
              <w:bidi w:val="0"/>
              <w:snapToGrid/>
              <w:spacing w:before="0" w:after="0" w:line="360" w:lineRule="auto"/>
              <w:ind w:right="0" w:firstLine="482"/>
              <w:jc w:val="both"/>
              <w:rPr>
                <w:rFonts w:hint="default" w:ascii="Times New Roman" w:hAnsi="Times New Roman" w:eastAsia="Times New Roman"/>
                <w:b/>
                <w:color w:val="auto"/>
                <w:position w:val="0"/>
                <w:sz w:val="24"/>
                <w:szCs w:val="24"/>
              </w:rPr>
            </w:pPr>
            <w:r>
              <w:rPr>
                <w:rFonts w:hint="default" w:ascii="Times New Roman" w:hAnsi="Times New Roman" w:eastAsia="Times New Roman"/>
                <w:b/>
                <w:color w:val="auto"/>
                <w:position w:val="0"/>
                <w:sz w:val="24"/>
                <w:szCs w:val="24"/>
              </w:rPr>
              <w:t>一、主要污染工序</w:t>
            </w:r>
          </w:p>
          <w:p>
            <w:pPr>
              <w:numPr>
                <w:ilvl w:val="0"/>
                <w:numId w:val="0"/>
              </w:numPr>
              <w:autoSpaceDE/>
              <w:autoSpaceDN/>
              <w:snapToGrid w:val="0"/>
              <w:spacing w:before="0" w:after="0" w:line="360" w:lineRule="auto"/>
              <w:ind w:right="0" w:firstLine="482"/>
              <w:jc w:val="both"/>
              <w:rPr>
                <w:rFonts w:hint="default" w:ascii="Times New Roman" w:hAnsi="宋体" w:eastAsia="宋体"/>
                <w:b w:val="0"/>
                <w:color w:val="auto"/>
                <w:position w:val="0"/>
                <w:sz w:val="24"/>
                <w:szCs w:val="24"/>
              </w:rPr>
            </w:pPr>
            <w:r>
              <w:rPr>
                <w:rFonts w:hint="default" w:ascii="Times New Roman" w:hAnsi="宋体" w:eastAsia="宋体"/>
                <w:b/>
                <w:color w:val="auto"/>
                <w:position w:val="0"/>
                <w:sz w:val="24"/>
                <w:szCs w:val="24"/>
              </w:rPr>
              <w:t>1、废水</w:t>
            </w:r>
          </w:p>
          <w:p>
            <w:pPr>
              <w:numPr>
                <w:ilvl w:val="0"/>
                <w:numId w:val="0"/>
              </w:numPr>
              <w:autoSpaceDE/>
              <w:autoSpaceDN/>
              <w:snapToGrid w:val="0"/>
              <w:spacing w:before="0" w:after="0" w:line="360" w:lineRule="auto"/>
              <w:ind w:right="0" w:firstLine="482"/>
              <w:jc w:val="both"/>
              <w:rPr>
                <w:rFonts w:hint="eastAsia" w:ascii="Times New Roman" w:hAnsi="宋体" w:eastAsia="宋体"/>
                <w:color w:val="auto"/>
                <w:position w:val="0"/>
                <w:sz w:val="24"/>
                <w:szCs w:val="24"/>
                <w:lang w:val="en-US" w:eastAsia="zh-CN"/>
              </w:rPr>
            </w:pPr>
            <w:r>
              <w:rPr>
                <w:rFonts w:hint="default" w:ascii="Times New Roman" w:hAnsi="宋体" w:eastAsia="宋体"/>
                <w:color w:val="auto"/>
                <w:position w:val="0"/>
                <w:sz w:val="24"/>
                <w:szCs w:val="24"/>
              </w:rPr>
              <w:t>项目产生的废水主要为生产废水和生活废水。</w:t>
            </w:r>
            <w:r>
              <w:rPr>
                <w:rFonts w:hint="eastAsia" w:ascii="Times New Roman" w:hAnsi="宋体" w:eastAsia="宋体"/>
                <w:color w:val="auto"/>
                <w:position w:val="0"/>
                <w:sz w:val="24"/>
                <w:szCs w:val="24"/>
                <w:lang w:val="en-US" w:eastAsia="zh-CN"/>
              </w:rPr>
              <w:t>生活污水经化粪池处理后和产区污水管网收集后采用厂内预处理装置进行处理，然后在排入厂外市政污水管网，进入鄄城县第二人发产业园污水处理厂进行集中处理。</w:t>
            </w:r>
          </w:p>
          <w:p>
            <w:pPr>
              <w:numPr>
                <w:ilvl w:val="0"/>
                <w:numId w:val="0"/>
              </w:numPr>
              <w:autoSpaceDE/>
              <w:autoSpaceDN/>
              <w:snapToGrid w:val="0"/>
              <w:spacing w:before="0" w:after="0" w:line="360" w:lineRule="auto"/>
              <w:ind w:right="0" w:firstLine="482"/>
              <w:jc w:val="both"/>
              <w:rPr>
                <w:rFonts w:hint="eastAsia" w:ascii="Times New Roman" w:hAnsi="宋体" w:eastAsia="宋体"/>
                <w:b/>
                <w:color w:val="auto"/>
                <w:position w:val="0"/>
                <w:sz w:val="24"/>
                <w:szCs w:val="24"/>
                <w:lang w:eastAsia="zh-CN"/>
              </w:rPr>
            </w:pPr>
            <w:r>
              <w:rPr>
                <w:rFonts w:hint="eastAsia" w:ascii="Times New Roman" w:hAnsi="宋体" w:eastAsia="宋体"/>
                <w:color w:val="auto"/>
                <w:position w:val="0"/>
                <w:sz w:val="24"/>
                <w:szCs w:val="24"/>
                <w:lang w:val="en-US" w:eastAsia="zh-CN"/>
              </w:rPr>
              <w:t>2.废</w:t>
            </w:r>
            <w:r>
              <w:rPr>
                <w:rFonts w:hint="default" w:ascii="Times New Roman" w:hAnsi="宋体" w:eastAsia="宋体"/>
                <w:b/>
                <w:color w:val="auto"/>
                <w:position w:val="0"/>
                <w:sz w:val="24"/>
                <w:szCs w:val="24"/>
              </w:rPr>
              <w:t>气</w:t>
            </w:r>
          </w:p>
          <w:p>
            <w:pPr>
              <w:numPr>
                <w:ilvl w:val="0"/>
                <w:numId w:val="0"/>
              </w:numPr>
              <w:autoSpaceDE/>
              <w:autoSpaceDN/>
              <w:snapToGrid w:val="0"/>
              <w:spacing w:before="0" w:after="0" w:line="360" w:lineRule="auto"/>
              <w:ind w:right="0" w:firstLine="480"/>
              <w:jc w:val="both"/>
              <w:rPr>
                <w:rFonts w:hint="default" w:ascii="Times New Roman" w:hAnsi="Times New Roman" w:eastAsia="宋体"/>
                <w:b w:val="0"/>
                <w:color w:val="auto"/>
                <w:position w:val="0"/>
                <w:sz w:val="24"/>
                <w:szCs w:val="24"/>
                <w:lang w:val="en-US" w:eastAsia="zh-CN"/>
              </w:rPr>
            </w:pPr>
            <w:r>
              <w:rPr>
                <w:rFonts w:hint="eastAsia" w:ascii="Times New Roman" w:hAnsi="Times New Roman" w:eastAsia="宋体"/>
                <w:b w:val="0"/>
                <w:color w:val="auto"/>
                <w:position w:val="0"/>
                <w:sz w:val="24"/>
                <w:szCs w:val="24"/>
                <w:lang w:val="en-US" w:eastAsia="zh-CN"/>
              </w:rPr>
              <w:t>本项目废气主要为洗发车间配酸和酸洗浸泡时产生的酸性废气为硫酸废气，人发中和处理是产生的含氨废气，硫酸废气再水洗锅上方安装收集罩通过引风机引入稀氢氧化钠循环吸收装置收集、吸收处理，然后由15米排气筒达标排放P6，水洗锅上方安装收集罩，氨水挥发的氨气通过引风机引入稀酸吸收装置进行吸取，然后由15米高排气筒达标排放P7。污水处理废气经过废气处理装置处理后，通过15米高排气筒排放。</w:t>
            </w:r>
          </w:p>
          <w:p>
            <w:pPr>
              <w:numPr>
                <w:ilvl w:val="0"/>
                <w:numId w:val="0"/>
              </w:numPr>
              <w:autoSpaceDE/>
              <w:autoSpaceDN/>
              <w:snapToGrid w:val="0"/>
              <w:spacing w:before="0" w:after="0" w:line="360" w:lineRule="auto"/>
              <w:ind w:right="0" w:firstLine="482"/>
              <w:jc w:val="both"/>
              <w:rPr>
                <w:rFonts w:hint="default" w:ascii="Times New Roman" w:hAnsi="宋体" w:eastAsia="宋体"/>
                <w:b/>
                <w:color w:val="auto"/>
                <w:position w:val="0"/>
                <w:sz w:val="24"/>
                <w:szCs w:val="24"/>
              </w:rPr>
            </w:pPr>
            <w:r>
              <w:rPr>
                <w:rFonts w:hint="default" w:ascii="Times New Roman" w:hAnsi="宋体" w:eastAsia="宋体"/>
                <w:b/>
                <w:color w:val="auto"/>
                <w:position w:val="0"/>
                <w:sz w:val="24"/>
                <w:szCs w:val="24"/>
              </w:rPr>
              <w:t>3、噪声</w:t>
            </w:r>
          </w:p>
          <w:p>
            <w:pPr>
              <w:numPr>
                <w:ilvl w:val="0"/>
                <w:numId w:val="0"/>
              </w:numPr>
              <w:autoSpaceDE/>
              <w:autoSpaceDN/>
              <w:snapToGrid w:val="0"/>
              <w:spacing w:before="0" w:after="0" w:line="360" w:lineRule="auto"/>
              <w:ind w:right="0" w:firstLine="480"/>
              <w:jc w:val="both"/>
              <w:rPr>
                <w:rFonts w:hint="default" w:ascii="Times New Roman" w:hAnsi="宋体" w:eastAsia="宋体"/>
                <w:b w:val="0"/>
                <w:color w:val="auto"/>
                <w:position w:val="0"/>
                <w:sz w:val="24"/>
                <w:szCs w:val="24"/>
              </w:rPr>
            </w:pPr>
            <w:r>
              <w:rPr>
                <w:rFonts w:hint="default" w:ascii="Times New Roman" w:hAnsi="宋体" w:eastAsia="宋体"/>
                <w:b w:val="0"/>
                <w:color w:val="auto"/>
                <w:position w:val="0"/>
                <w:sz w:val="24"/>
                <w:szCs w:val="24"/>
              </w:rPr>
              <w:t>项目噪声主要为各类设备运转时的噪声，主要噪声设备有</w:t>
            </w:r>
            <w:r>
              <w:rPr>
                <w:rFonts w:hint="eastAsia" w:ascii="Times New Roman" w:hAnsi="宋体" w:eastAsia="宋体"/>
                <w:b w:val="0"/>
                <w:color w:val="auto"/>
                <w:position w:val="0"/>
                <w:sz w:val="24"/>
                <w:szCs w:val="24"/>
                <w:lang w:val="en-US" w:eastAsia="zh-CN"/>
              </w:rPr>
              <w:t>三联机、合片机、双针机、甩缸等设备运行过程中产生的机械</w:t>
            </w:r>
            <w:r>
              <w:rPr>
                <w:rFonts w:hint="default" w:ascii="Times New Roman" w:hAnsi="宋体" w:eastAsia="宋体"/>
                <w:b w:val="0"/>
                <w:color w:val="auto"/>
                <w:position w:val="0"/>
                <w:sz w:val="24"/>
                <w:szCs w:val="24"/>
              </w:rPr>
              <w:t>噪声级在70~90dB（A)。</w:t>
            </w:r>
          </w:p>
          <w:p>
            <w:pPr>
              <w:pageBreakBefore w:val="0"/>
              <w:numPr>
                <w:ilvl w:val="0"/>
                <w:numId w:val="0"/>
              </w:numPr>
              <w:autoSpaceDE/>
              <w:autoSpaceDN/>
              <w:bidi w:val="0"/>
              <w:snapToGrid w:val="0"/>
              <w:spacing w:before="0" w:after="0" w:line="360" w:lineRule="auto"/>
              <w:ind w:right="0" w:firstLine="482"/>
              <w:jc w:val="both"/>
              <w:rPr>
                <w:rFonts w:hint="default" w:ascii="Times New Roman" w:hAnsi="Times New Roman" w:eastAsia="Times New Roman"/>
                <w:b/>
                <w:color w:val="auto"/>
                <w:position w:val="0"/>
                <w:sz w:val="24"/>
                <w:szCs w:val="24"/>
              </w:rPr>
            </w:pPr>
            <w:r>
              <w:rPr>
                <w:rFonts w:hint="default" w:ascii="Times New Roman" w:hAnsi="Times New Roman" w:eastAsia="Times New Roman"/>
                <w:b/>
                <w:color w:val="auto"/>
                <w:position w:val="0"/>
                <w:sz w:val="24"/>
                <w:szCs w:val="24"/>
              </w:rPr>
              <w:t>4、固废</w:t>
            </w:r>
          </w:p>
          <w:p>
            <w:pPr>
              <w:spacing w:line="360" w:lineRule="auto"/>
              <w:ind w:firstLine="480" w:firstLineChars="200"/>
              <w:jc w:val="both"/>
              <w:rPr>
                <w:rFonts w:hint="eastAsia" w:ascii="Times New Roman" w:hAnsi="Times New Roman" w:cs="Times New Roman"/>
                <w:sz w:val="24"/>
                <w:lang w:eastAsia="zh-CN"/>
              </w:rPr>
            </w:pPr>
            <w:r>
              <w:rPr>
                <w:rFonts w:hint="default" w:ascii="Times New Roman" w:hAnsi="Times New Roman" w:cs="Times New Roman"/>
                <w:sz w:val="24"/>
              </w:rPr>
              <w:t>本项目产生的固废包括</w:t>
            </w:r>
            <w:r>
              <w:rPr>
                <w:rFonts w:hint="eastAsia" w:ascii="Times New Roman" w:hAnsi="Times New Roman" w:cs="Times New Roman"/>
                <w:sz w:val="24"/>
                <w:lang w:eastAsia="zh-CN"/>
              </w:rPr>
              <w:t>下脚料、废包装物、化学试剂桶、废润滑油</w:t>
            </w:r>
            <w:r>
              <w:rPr>
                <w:rFonts w:hint="eastAsia" w:ascii="Times New Roman" w:hAnsi="Times New Roman" w:cs="Times New Roman"/>
                <w:sz w:val="24"/>
                <w:lang w:val="en-US" w:eastAsia="zh-CN"/>
              </w:rPr>
              <w:t>/桶、</w:t>
            </w:r>
            <w:r>
              <w:rPr>
                <w:rFonts w:hint="eastAsia" w:ascii="Times New Roman" w:hAnsi="Times New Roman" w:cs="Times New Roman"/>
                <w:sz w:val="24"/>
                <w:lang w:eastAsia="zh-CN"/>
              </w:rPr>
              <w:t>废活性炭、污水处理站污泥，</w:t>
            </w:r>
            <w:r>
              <w:rPr>
                <w:rFonts w:hint="default" w:ascii="Times New Roman" w:hAnsi="Times New Roman" w:cs="Times New Roman"/>
                <w:sz w:val="24"/>
              </w:rPr>
              <w:t>职工生活垃圾等。</w:t>
            </w:r>
            <w:r>
              <w:rPr>
                <w:rFonts w:hint="eastAsia" w:ascii="Times New Roman" w:hAnsi="Times New Roman" w:cs="Times New Roman"/>
                <w:sz w:val="24"/>
                <w:szCs w:val="22"/>
                <w:lang w:eastAsia="zh-CN"/>
              </w:rPr>
              <w:t>下脚料、废包装物（</w:t>
            </w:r>
            <w:r>
              <w:rPr>
                <w:rFonts w:hint="eastAsia" w:ascii="Times New Roman" w:hAnsi="Times New Roman" w:cs="Times New Roman"/>
                <w:sz w:val="24"/>
                <w:lang w:eastAsia="zh-CN"/>
              </w:rPr>
              <w:t>洗发香波、护发素</w:t>
            </w:r>
            <w:r>
              <w:rPr>
                <w:rFonts w:hint="eastAsia" w:ascii="Times New Roman" w:hAnsi="Times New Roman" w:cs="Times New Roman"/>
                <w:sz w:val="24"/>
                <w:szCs w:val="22"/>
                <w:lang w:eastAsia="zh-CN"/>
              </w:rPr>
              <w:t>）</w:t>
            </w:r>
            <w:r>
              <w:rPr>
                <w:rFonts w:hint="default" w:ascii="Times New Roman" w:hAnsi="Times New Roman" w:cs="Times New Roman"/>
                <w:sz w:val="24"/>
                <w:szCs w:val="22"/>
                <w:lang w:eastAsia="zh-CN"/>
              </w:rPr>
              <w:t>收集后外</w:t>
            </w:r>
            <w:r>
              <w:rPr>
                <w:rFonts w:hint="eastAsia" w:ascii="Times New Roman" w:hAnsi="Times New Roman" w:cs="Times New Roman"/>
                <w:sz w:val="24"/>
                <w:szCs w:val="22"/>
                <w:lang w:eastAsia="zh-CN"/>
              </w:rPr>
              <w:t>售进行综合利用；污水处理站污泥</w:t>
            </w:r>
            <w:r>
              <w:rPr>
                <w:rFonts w:hint="eastAsia" w:ascii="Times New Roman" w:hAnsi="Times New Roman" w:cs="Times New Roman"/>
                <w:sz w:val="24"/>
                <w:lang w:val="en-US" w:eastAsia="zh-CN"/>
              </w:rPr>
              <w:t>该部分废物不属于危险废物，但存储应注意防渗，不得污染地下水及周边土壤</w:t>
            </w:r>
            <w:r>
              <w:rPr>
                <w:rFonts w:hint="eastAsia" w:ascii="Times New Roman" w:hAnsi="Times New Roman" w:cs="Times New Roman"/>
                <w:sz w:val="24"/>
                <w:lang w:eastAsia="zh-CN"/>
              </w:rPr>
              <w:t>，定期交由专门的污泥处置单位进行安全处置</w:t>
            </w:r>
            <w:r>
              <w:rPr>
                <w:rFonts w:hint="eastAsia" w:ascii="Times New Roman" w:hAnsi="Times New Roman" w:cs="Times New Roman"/>
                <w:sz w:val="24"/>
                <w:lang w:val="en-US" w:eastAsia="zh-CN"/>
              </w:rPr>
              <w:t>；</w:t>
            </w:r>
            <w:r>
              <w:rPr>
                <w:rFonts w:hint="default" w:ascii="Times New Roman" w:hAnsi="Times New Roman" w:cs="Times New Roman"/>
                <w:sz w:val="24"/>
              </w:rPr>
              <w:t>职工生活垃圾收集后由环卫部门外运处理</w:t>
            </w:r>
            <w:r>
              <w:rPr>
                <w:rFonts w:hint="eastAsia" w:ascii="Times New Roman" w:hAnsi="Times New Roman" w:cs="Times New Roman"/>
                <w:sz w:val="24"/>
                <w:lang w:eastAsia="zh-CN"/>
              </w:rPr>
              <w:t>。</w:t>
            </w:r>
          </w:p>
          <w:p>
            <w:pPr>
              <w:spacing w:line="360" w:lineRule="auto"/>
              <w:ind w:firstLine="480" w:firstLineChars="200"/>
              <w:jc w:val="both"/>
              <w:rPr>
                <w:rFonts w:hint="default" w:ascii="Times New Roman" w:hAnsi="Times New Roman" w:cs="Times New Roman"/>
                <w:sz w:val="24"/>
              </w:rPr>
            </w:pPr>
            <w:r>
              <w:rPr>
                <w:rFonts w:hint="eastAsia" w:ascii="Times New Roman" w:hAnsi="Times New Roman" w:cs="Times New Roman"/>
                <w:sz w:val="24"/>
                <w:lang w:eastAsia="zh-CN"/>
              </w:rPr>
              <w:t>化学试剂桶（硫酸、</w:t>
            </w:r>
            <w:r>
              <w:rPr>
                <w:rFonts w:hint="eastAsia" w:ascii="Times New Roman" w:hAnsi="Times New Roman" w:cs="Times New Roman"/>
                <w:sz w:val="24"/>
                <w:lang w:val="en-US" w:eastAsia="zh-CN"/>
              </w:rPr>
              <w:t>NaOH、双氧水、次氯酸钠</w:t>
            </w:r>
            <w:r>
              <w:rPr>
                <w:rFonts w:hint="eastAsia" w:ascii="Times New Roman" w:hAnsi="Times New Roman" w:cs="Times New Roman"/>
                <w:sz w:val="24"/>
                <w:lang w:eastAsia="zh-CN"/>
              </w:rPr>
              <w:t>）、废润滑油</w:t>
            </w:r>
            <w:r>
              <w:rPr>
                <w:rFonts w:hint="eastAsia" w:ascii="Times New Roman" w:hAnsi="Times New Roman" w:cs="Times New Roman"/>
                <w:sz w:val="24"/>
                <w:lang w:val="en-US" w:eastAsia="zh-CN"/>
              </w:rPr>
              <w:t>/桶</w:t>
            </w:r>
            <w:r>
              <w:rPr>
                <w:rFonts w:hint="eastAsia" w:ascii="Times New Roman" w:hAnsi="Times New Roman" w:cs="Times New Roman"/>
                <w:sz w:val="24"/>
                <w:lang w:eastAsia="zh-CN"/>
              </w:rPr>
              <w:t>及污水处理产生的废活性炭，暂存于危废间，由资质单位进行清运并做安全处置。</w:t>
            </w:r>
          </w:p>
          <w:p>
            <w:pPr>
              <w:spacing w:line="360" w:lineRule="auto"/>
              <w:ind w:firstLine="480" w:firstLineChars="200"/>
              <w:jc w:val="both"/>
              <w:rPr>
                <w:rFonts w:hint="default" w:ascii="Times New Roman" w:hAnsi="Times New Roman" w:cs="Times New Roman"/>
                <w:color w:val="000000"/>
                <w:sz w:val="24"/>
              </w:rPr>
            </w:pPr>
            <w:r>
              <w:rPr>
                <w:rFonts w:hint="default" w:ascii="Times New Roman" w:hAnsi="Times New Roman" w:cs="Times New Roman"/>
                <w:sz w:val="24"/>
              </w:rPr>
              <w:t>固废暂存处作硬化防渗处理，</w:t>
            </w:r>
            <w:r>
              <w:rPr>
                <w:rFonts w:hint="eastAsia" w:ascii="Times New Roman" w:hAnsi="Times New Roman" w:cs="Times New Roman"/>
                <w:sz w:val="24"/>
                <w:lang w:eastAsia="zh-CN"/>
              </w:rPr>
              <w:t>一般</w:t>
            </w:r>
            <w:r>
              <w:rPr>
                <w:rFonts w:hint="default" w:ascii="Times New Roman" w:hAnsi="Times New Roman" w:cs="Times New Roman"/>
                <w:sz w:val="24"/>
              </w:rPr>
              <w:t>固体废物的处置符合《一般工业固体废物贮存、处置场污染控制标准》（GB18599－2001）及修改单</w:t>
            </w:r>
            <w:r>
              <w:rPr>
                <w:rFonts w:hint="eastAsia" w:ascii="Times New Roman" w:hAnsi="Times New Roman" w:cs="Times New Roman"/>
                <w:sz w:val="24"/>
                <w:lang w:eastAsia="zh-CN"/>
              </w:rPr>
              <w:t>、</w:t>
            </w:r>
            <w:r>
              <w:rPr>
                <w:rFonts w:hint="default" w:ascii="Times New Roman" w:hAnsi="Times New Roman" w:cs="Times New Roman"/>
                <w:sz w:val="24"/>
              </w:rPr>
              <w:t>要求，</w:t>
            </w:r>
            <w:r>
              <w:rPr>
                <w:rFonts w:hint="eastAsia" w:ascii="Times New Roman" w:hAnsi="Times New Roman" w:cs="Times New Roman"/>
                <w:sz w:val="24"/>
                <w:lang w:eastAsia="zh-CN"/>
              </w:rPr>
              <w:t>危险废物的处置符合《危险废物贮存污染控制标准》（</w:t>
            </w:r>
            <w:r>
              <w:rPr>
                <w:rFonts w:hint="eastAsia" w:ascii="Times New Roman" w:hAnsi="Times New Roman" w:cs="Times New Roman"/>
                <w:sz w:val="24"/>
                <w:lang w:val="en-US" w:eastAsia="zh-CN"/>
              </w:rPr>
              <w:t>GB18597-2001</w:t>
            </w:r>
            <w:r>
              <w:rPr>
                <w:rFonts w:hint="eastAsia" w:ascii="Times New Roman" w:hAnsi="Times New Roman" w:cs="Times New Roman"/>
                <w:sz w:val="24"/>
                <w:lang w:eastAsia="zh-CN"/>
              </w:rPr>
              <w:t>）</w:t>
            </w:r>
            <w:r>
              <w:rPr>
                <w:rFonts w:hint="default" w:ascii="Times New Roman" w:hAnsi="Times New Roman" w:eastAsia="新宋体" w:cs="Times New Roman"/>
                <w:sz w:val="24"/>
              </w:rPr>
              <w:t>及其修改单</w:t>
            </w:r>
            <w:r>
              <w:rPr>
                <w:rFonts w:hint="eastAsia" w:ascii="Times New Roman" w:hAnsi="Times New Roman" w:eastAsia="新宋体" w:cs="Times New Roman"/>
                <w:sz w:val="24"/>
                <w:lang w:eastAsia="zh-CN"/>
              </w:rPr>
              <w:t>要求，</w:t>
            </w:r>
            <w:r>
              <w:rPr>
                <w:rFonts w:hint="default" w:ascii="Times New Roman" w:hAnsi="Times New Roman" w:cs="Times New Roman"/>
                <w:sz w:val="24"/>
              </w:rPr>
              <w:t>对周边环境影响很小。</w:t>
            </w:r>
          </w:p>
          <w:p>
            <w:pPr>
              <w:spacing w:line="360" w:lineRule="auto"/>
              <w:ind w:firstLine="480" w:firstLineChars="200"/>
              <w:jc w:val="both"/>
              <w:rPr>
                <w:rFonts w:hint="default" w:ascii="Times New Roman" w:hAnsi="Times New Roman" w:cs="Times New Roman"/>
                <w:sz w:val="24"/>
              </w:rPr>
            </w:pPr>
          </w:p>
          <w:p>
            <w:pPr>
              <w:pageBreakBefore w:val="0"/>
              <w:numPr>
                <w:ilvl w:val="0"/>
                <w:numId w:val="0"/>
              </w:numPr>
              <w:autoSpaceDE/>
              <w:autoSpaceDN/>
              <w:bidi w:val="0"/>
              <w:snapToGrid/>
              <w:spacing w:before="0" w:after="0" w:line="360" w:lineRule="auto"/>
              <w:ind w:right="0" w:firstLine="482"/>
              <w:jc w:val="both"/>
              <w:rPr>
                <w:rFonts w:hint="default" w:ascii="Times New Roman" w:hAnsi="Times New Roman" w:eastAsia="Times New Roman"/>
                <w:b/>
                <w:i w:val="0"/>
                <w:color w:val="auto"/>
                <w:position w:val="0"/>
                <w:sz w:val="24"/>
                <w:szCs w:val="24"/>
              </w:rPr>
            </w:pPr>
            <w:r>
              <w:rPr>
                <w:rFonts w:hint="default" w:ascii="Times New Roman" w:hAnsi="Times New Roman" w:eastAsia="Times New Roman"/>
                <w:b/>
                <w:i w:val="0"/>
                <w:color w:val="auto"/>
                <w:position w:val="0"/>
                <w:sz w:val="24"/>
                <w:szCs w:val="24"/>
              </w:rPr>
              <w:t>5、污染物处理及排放</w:t>
            </w:r>
          </w:p>
          <w:p>
            <w:pPr>
              <w:pStyle w:val="25"/>
              <w:pageBreakBefore w:val="0"/>
              <w:numPr>
                <w:ilvl w:val="0"/>
                <w:numId w:val="0"/>
              </w:numPr>
              <w:autoSpaceDE/>
              <w:autoSpaceDN/>
              <w:bidi w:val="0"/>
              <w:snapToGrid/>
              <w:spacing w:before="0" w:after="0" w:line="360" w:lineRule="auto"/>
              <w:ind w:right="0" w:firstLine="0"/>
              <w:jc w:val="left"/>
              <w:rPr>
                <w:rFonts w:hint="default" w:ascii="Times New Roman" w:hAnsi="Times New Roman" w:eastAsia="Times New Roman"/>
                <w:b w:val="0"/>
                <w:color w:val="auto"/>
                <w:position w:val="0"/>
                <w:sz w:val="24"/>
                <w:szCs w:val="24"/>
              </w:rPr>
            </w:pPr>
            <w:r>
              <w:rPr>
                <w:rFonts w:hint="default" w:ascii="Times New Roman" w:hAnsi="Times New Roman" w:eastAsia="Times New Roman"/>
                <w:color w:val="auto"/>
                <w:position w:val="0"/>
                <w:sz w:val="24"/>
                <w:szCs w:val="24"/>
              </w:rPr>
              <w:t>本项目污染物均妥善处理，污染物具体处理措施、排放去向及相关投资见表3-2，如下：</w:t>
            </w:r>
          </w:p>
          <w:p>
            <w:pPr>
              <w:pStyle w:val="25"/>
              <w:pageBreakBefore w:val="0"/>
              <w:numPr>
                <w:ilvl w:val="0"/>
                <w:numId w:val="0"/>
              </w:numPr>
              <w:autoSpaceDE/>
              <w:autoSpaceDN/>
              <w:bidi w:val="0"/>
              <w:snapToGrid/>
              <w:spacing w:before="0" w:after="0" w:line="360" w:lineRule="auto"/>
              <w:ind w:right="0" w:firstLine="0"/>
              <w:jc w:val="center"/>
              <w:rPr>
                <w:rFonts w:hint="default" w:ascii="Times New Roman" w:hAnsi="Times New Roman" w:eastAsia="Times New Roman"/>
                <w:b/>
                <w:color w:val="auto"/>
                <w:position w:val="0"/>
                <w:sz w:val="24"/>
                <w:szCs w:val="24"/>
              </w:rPr>
            </w:pPr>
            <w:r>
              <w:rPr>
                <w:rFonts w:hint="default" w:ascii="Times New Roman" w:hAnsi="Times New Roman" w:eastAsia="Times New Roman"/>
                <w:b w:val="0"/>
                <w:color w:val="auto"/>
                <w:position w:val="0"/>
                <w:sz w:val="24"/>
                <w:szCs w:val="24"/>
              </w:rPr>
              <w:t>表3-2环保设施投资分项表</w:t>
            </w:r>
          </w:p>
          <w:tbl>
            <w:tblPr>
              <w:tblStyle w:val="38"/>
              <w:tblW w:w="439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3"/>
              <w:gridCol w:w="2009"/>
              <w:gridCol w:w="3300"/>
              <w:gridCol w:w="11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592" w:type="pct"/>
                  <w:noWrap w:val="0"/>
                  <w:vAlign w:val="center"/>
                </w:tcPr>
                <w:p>
                  <w:pPr>
                    <w:spacing w:line="360" w:lineRule="exact"/>
                    <w:jc w:val="center"/>
                    <w:rPr>
                      <w:rFonts w:hint="default" w:ascii="Times New Roman" w:hAnsi="Times New Roman" w:cs="Times New Roman"/>
                      <w:bCs/>
                      <w:szCs w:val="21"/>
                    </w:rPr>
                  </w:pPr>
                  <w:r>
                    <w:rPr>
                      <w:rFonts w:hint="default" w:ascii="Times New Roman" w:hAnsi="Times New Roman" w:cs="Times New Roman"/>
                      <w:bCs/>
                      <w:szCs w:val="21"/>
                    </w:rPr>
                    <w:t>类别</w:t>
                  </w:r>
                </w:p>
              </w:tc>
              <w:tc>
                <w:tcPr>
                  <w:tcW w:w="1378" w:type="pct"/>
                  <w:noWrap w:val="0"/>
                  <w:vAlign w:val="center"/>
                </w:tcPr>
                <w:p>
                  <w:pPr>
                    <w:spacing w:line="360" w:lineRule="exact"/>
                    <w:jc w:val="center"/>
                    <w:rPr>
                      <w:rFonts w:hint="default" w:ascii="Times New Roman" w:hAnsi="Times New Roman" w:cs="Times New Roman"/>
                      <w:bCs/>
                      <w:szCs w:val="21"/>
                    </w:rPr>
                  </w:pPr>
                  <w:r>
                    <w:rPr>
                      <w:rFonts w:hint="default" w:ascii="Times New Roman" w:hAnsi="Times New Roman" w:cs="Times New Roman"/>
                      <w:bCs/>
                      <w:szCs w:val="21"/>
                    </w:rPr>
                    <w:t>污染源</w:t>
                  </w:r>
                </w:p>
              </w:tc>
              <w:tc>
                <w:tcPr>
                  <w:tcW w:w="2264" w:type="pct"/>
                  <w:noWrap w:val="0"/>
                  <w:vAlign w:val="center"/>
                </w:tcPr>
                <w:p>
                  <w:pPr>
                    <w:spacing w:line="360" w:lineRule="exact"/>
                    <w:jc w:val="center"/>
                    <w:rPr>
                      <w:rFonts w:hint="default" w:ascii="Times New Roman" w:hAnsi="Times New Roman" w:cs="Times New Roman"/>
                      <w:bCs/>
                      <w:szCs w:val="21"/>
                    </w:rPr>
                  </w:pPr>
                  <w:r>
                    <w:rPr>
                      <w:rFonts w:hint="default" w:ascii="Times New Roman" w:hAnsi="Times New Roman" w:cs="Times New Roman"/>
                      <w:bCs/>
                      <w:szCs w:val="21"/>
                    </w:rPr>
                    <w:t>治理措施</w:t>
                  </w:r>
                </w:p>
              </w:tc>
              <w:tc>
                <w:tcPr>
                  <w:tcW w:w="764" w:type="pct"/>
                  <w:noWrap w:val="0"/>
                  <w:vAlign w:val="center"/>
                </w:tcPr>
                <w:p>
                  <w:pPr>
                    <w:spacing w:line="360" w:lineRule="exact"/>
                    <w:jc w:val="center"/>
                    <w:rPr>
                      <w:rFonts w:hint="default" w:ascii="Times New Roman" w:hAnsi="Times New Roman" w:cs="Times New Roman"/>
                      <w:bCs/>
                      <w:szCs w:val="21"/>
                    </w:rPr>
                  </w:pPr>
                  <w:r>
                    <w:rPr>
                      <w:rFonts w:hint="default" w:ascii="Times New Roman" w:hAnsi="Times New Roman" w:cs="Times New Roman"/>
                      <w:bCs/>
                      <w:szCs w:val="21"/>
                    </w:rPr>
                    <w:t>投资</w:t>
                  </w:r>
                </w:p>
                <w:p>
                  <w:pPr>
                    <w:spacing w:line="360" w:lineRule="exact"/>
                    <w:jc w:val="center"/>
                    <w:rPr>
                      <w:rFonts w:hint="default" w:ascii="Times New Roman" w:hAnsi="Times New Roman" w:cs="Times New Roman"/>
                      <w:bCs/>
                      <w:szCs w:val="21"/>
                    </w:rPr>
                  </w:pPr>
                  <w:r>
                    <w:rPr>
                      <w:rFonts w:hint="default" w:ascii="Times New Roman" w:hAnsi="Times New Roman" w:cs="Times New Roman"/>
                      <w:bCs/>
                      <w:szCs w:val="21"/>
                    </w:rPr>
                    <w:t>（万</w:t>
                  </w:r>
                  <w:r>
                    <w:rPr>
                      <w:rFonts w:hint="eastAsia" w:ascii="Times New Roman" w:hAnsi="Times New Roman" w:cs="Times New Roman"/>
                      <w:bCs/>
                      <w:szCs w:val="21"/>
                      <w:lang w:eastAsia="zh-CN"/>
                    </w:rPr>
                    <w:t>元</w:t>
                  </w:r>
                  <w:r>
                    <w:rPr>
                      <w:rFonts w:hint="default" w:ascii="Times New Roman" w:hAnsi="Times New Roman" w:cs="Times New Roman"/>
                      <w:bCs/>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592" w:type="pct"/>
                  <w:vMerge w:val="restart"/>
                  <w:noWrap w:val="0"/>
                  <w:vAlign w:val="center"/>
                </w:tcPr>
                <w:p>
                  <w:pPr>
                    <w:spacing w:line="360" w:lineRule="exact"/>
                    <w:jc w:val="center"/>
                    <w:rPr>
                      <w:rFonts w:hint="default" w:ascii="Times New Roman" w:hAnsi="Times New Roman" w:cs="Times New Roman"/>
                      <w:bCs/>
                      <w:szCs w:val="21"/>
                    </w:rPr>
                  </w:pPr>
                  <w:r>
                    <w:rPr>
                      <w:rFonts w:hint="default" w:ascii="Times New Roman" w:hAnsi="Times New Roman" w:cs="Times New Roman"/>
                      <w:bCs/>
                      <w:szCs w:val="21"/>
                    </w:rPr>
                    <w:t xml:space="preserve">废气 </w:t>
                  </w:r>
                </w:p>
              </w:tc>
              <w:tc>
                <w:tcPr>
                  <w:tcW w:w="1378" w:type="pct"/>
                  <w:noWrap w:val="0"/>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硫酸雾</w:t>
                  </w:r>
                </w:p>
              </w:tc>
              <w:tc>
                <w:tcPr>
                  <w:tcW w:w="2264" w:type="pct"/>
                  <w:noWrap w:val="0"/>
                  <w:vAlign w:val="center"/>
                </w:tcPr>
                <w:p>
                  <w:pPr>
                    <w:spacing w:line="280" w:lineRule="exact"/>
                    <w:jc w:val="center"/>
                    <w:rPr>
                      <w:rFonts w:hint="default" w:ascii="Times New Roman" w:hAnsi="Times New Roman" w:cs="Times New Roman"/>
                      <w:bCs/>
                      <w:szCs w:val="21"/>
                    </w:rPr>
                  </w:pPr>
                  <w:r>
                    <w:rPr>
                      <w:rFonts w:hint="eastAsia" w:ascii="Times New Roman" w:hAnsi="Times New Roman" w:cs="Times New Roman"/>
                      <w:bCs/>
                      <w:szCs w:val="21"/>
                      <w:lang w:eastAsia="zh-CN"/>
                    </w:rPr>
                    <w:t>集气罩</w:t>
                  </w:r>
                  <w:r>
                    <w:rPr>
                      <w:rFonts w:hint="default" w:ascii="Times New Roman" w:hAnsi="Times New Roman" w:cs="Times New Roman"/>
                      <w:bCs/>
                      <w:szCs w:val="21"/>
                    </w:rPr>
                    <w:t>+</w:t>
                  </w:r>
                  <w:r>
                    <w:rPr>
                      <w:rFonts w:hint="eastAsia" w:ascii="Times New Roman" w:hAnsi="Times New Roman" w:cs="Times New Roman"/>
                      <w:bCs/>
                      <w:szCs w:val="21"/>
                      <w:lang w:eastAsia="zh-CN"/>
                    </w:rPr>
                    <w:t>碱式喷淋塔</w:t>
                  </w:r>
                  <w:r>
                    <w:rPr>
                      <w:rFonts w:hint="default" w:ascii="Times New Roman" w:hAnsi="Times New Roman" w:cs="Times New Roman"/>
                      <w:bCs/>
                      <w:szCs w:val="21"/>
                    </w:rPr>
                    <w:t>+15m排气筒</w:t>
                  </w:r>
                  <w:r>
                    <w:rPr>
                      <w:rFonts w:hint="eastAsia" w:ascii="Times New Roman" w:hAnsi="Times New Roman" w:cs="Times New Roman"/>
                      <w:bCs/>
                      <w:szCs w:val="21"/>
                      <w:lang w:val="en-US" w:eastAsia="zh-CN"/>
                    </w:rPr>
                    <w:t>P7、，密闭车间</w:t>
                  </w:r>
                  <w:r>
                    <w:rPr>
                      <w:rFonts w:hint="default" w:ascii="Times New Roman" w:hAnsi="Times New Roman" w:cs="Times New Roman"/>
                      <w:szCs w:val="21"/>
                    </w:rPr>
                    <w:t>。</w:t>
                  </w:r>
                </w:p>
              </w:tc>
              <w:tc>
                <w:tcPr>
                  <w:tcW w:w="764" w:type="pct"/>
                  <w:noWrap w:val="0"/>
                  <w:vAlign w:val="center"/>
                </w:tcPr>
                <w:p>
                  <w:pPr>
                    <w:spacing w:line="360" w:lineRule="exact"/>
                    <w:jc w:val="center"/>
                    <w:rPr>
                      <w:rFonts w:hint="default" w:ascii="Times New Roman" w:hAnsi="Times New Roman" w:eastAsia="宋体" w:cs="Times New Roman"/>
                      <w:bCs/>
                      <w:szCs w:val="21"/>
                      <w:lang w:val="en-US" w:eastAsia="zh-CN"/>
                    </w:rPr>
                  </w:pPr>
                  <w:r>
                    <w:rPr>
                      <w:rFonts w:hint="eastAsia" w:ascii="Times New Roman" w:hAnsi="Times New Roman" w:cs="Times New Roman"/>
                      <w:bCs/>
                      <w:szCs w:val="21"/>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jc w:val="center"/>
              </w:trPr>
              <w:tc>
                <w:tcPr>
                  <w:tcW w:w="592" w:type="pct"/>
                  <w:vMerge w:val="continue"/>
                  <w:noWrap w:val="0"/>
                  <w:vAlign w:val="center"/>
                </w:tcPr>
                <w:p>
                  <w:pPr>
                    <w:spacing w:line="360" w:lineRule="exact"/>
                    <w:jc w:val="center"/>
                    <w:rPr>
                      <w:rFonts w:hint="default" w:ascii="Times New Roman" w:hAnsi="Times New Roman" w:cs="Times New Roman"/>
                      <w:bCs/>
                      <w:szCs w:val="21"/>
                    </w:rPr>
                  </w:pPr>
                </w:p>
              </w:tc>
              <w:tc>
                <w:tcPr>
                  <w:tcW w:w="1378" w:type="pct"/>
                  <w:noWrap w:val="0"/>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氨</w:t>
                  </w:r>
                </w:p>
              </w:tc>
              <w:tc>
                <w:tcPr>
                  <w:tcW w:w="2264" w:type="pct"/>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bCs/>
                      <w:szCs w:val="21"/>
                      <w:lang w:eastAsia="zh-CN"/>
                    </w:rPr>
                    <w:t>集气罩</w:t>
                  </w:r>
                  <w:r>
                    <w:rPr>
                      <w:rFonts w:hint="default" w:ascii="Times New Roman" w:hAnsi="Times New Roman" w:cs="Times New Roman"/>
                      <w:bCs/>
                      <w:szCs w:val="21"/>
                    </w:rPr>
                    <w:t>+</w:t>
                  </w:r>
                  <w:r>
                    <w:rPr>
                      <w:rFonts w:hint="eastAsia" w:ascii="Times New Roman" w:hAnsi="Times New Roman" w:cs="Times New Roman"/>
                      <w:bCs/>
                      <w:szCs w:val="21"/>
                      <w:lang w:eastAsia="zh-CN"/>
                    </w:rPr>
                    <w:t>酸式喷淋塔</w:t>
                  </w:r>
                  <w:r>
                    <w:rPr>
                      <w:rFonts w:hint="default" w:ascii="Times New Roman" w:hAnsi="Times New Roman" w:cs="Times New Roman"/>
                      <w:bCs/>
                      <w:szCs w:val="21"/>
                    </w:rPr>
                    <w:t>+15m排气筒</w:t>
                  </w:r>
                  <w:r>
                    <w:rPr>
                      <w:rFonts w:hint="eastAsia" w:ascii="Times New Roman" w:hAnsi="Times New Roman" w:cs="Times New Roman"/>
                      <w:bCs/>
                      <w:szCs w:val="21"/>
                      <w:lang w:val="en-US" w:eastAsia="zh-CN"/>
                    </w:rPr>
                    <w:t>P8、，密闭车间</w:t>
                  </w:r>
                  <w:r>
                    <w:rPr>
                      <w:rFonts w:hint="default" w:ascii="Times New Roman" w:hAnsi="Times New Roman" w:cs="Times New Roman"/>
                      <w:szCs w:val="21"/>
                    </w:rPr>
                    <w:t>。</w:t>
                  </w:r>
                </w:p>
              </w:tc>
              <w:tc>
                <w:tcPr>
                  <w:tcW w:w="764" w:type="pct"/>
                  <w:noWrap w:val="0"/>
                  <w:vAlign w:val="center"/>
                </w:tcPr>
                <w:p>
                  <w:pPr>
                    <w:spacing w:line="360" w:lineRule="exact"/>
                    <w:jc w:val="center"/>
                    <w:rPr>
                      <w:rFonts w:hint="eastAsia" w:ascii="Times New Roman" w:hAnsi="Times New Roman" w:eastAsia="宋体" w:cs="Times New Roman"/>
                      <w:bCs/>
                      <w:szCs w:val="21"/>
                      <w:lang w:val="en-US" w:eastAsia="zh-CN"/>
                    </w:rPr>
                  </w:pPr>
                  <w:r>
                    <w:rPr>
                      <w:rFonts w:hint="eastAsia" w:ascii="Times New Roman" w:hAnsi="Times New Roman" w:cs="Times New Roman"/>
                      <w:bCs/>
                      <w:szCs w:val="21"/>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592" w:type="pct"/>
                  <w:vMerge w:val="continue"/>
                  <w:noWrap w:val="0"/>
                  <w:vAlign w:val="center"/>
                </w:tcPr>
                <w:p>
                  <w:pPr>
                    <w:spacing w:line="360" w:lineRule="exact"/>
                    <w:jc w:val="center"/>
                    <w:rPr>
                      <w:rFonts w:hint="default" w:ascii="Times New Roman" w:hAnsi="Times New Roman" w:cs="Times New Roman"/>
                      <w:bCs/>
                      <w:szCs w:val="21"/>
                    </w:rPr>
                  </w:pPr>
                </w:p>
              </w:tc>
              <w:tc>
                <w:tcPr>
                  <w:tcW w:w="1378" w:type="pct"/>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污水处理恶臭</w:t>
                  </w:r>
                </w:p>
              </w:tc>
              <w:tc>
                <w:tcPr>
                  <w:tcW w:w="2264"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污水处理站</w:t>
                  </w:r>
                  <w:r>
                    <w:rPr>
                      <w:rFonts w:hint="eastAsia" w:ascii="Times New Roman" w:hAnsi="Times New Roman" w:cs="Times New Roman"/>
                      <w:szCs w:val="21"/>
                      <w:lang w:val="en-US" w:eastAsia="zh-CN"/>
                    </w:rPr>
                    <w:t>密闭+</w:t>
                  </w:r>
                  <w:r>
                    <w:rPr>
                      <w:rFonts w:hint="eastAsia" w:ascii="Times New Roman" w:hAnsi="Times New Roman" w:cs="Times New Roman"/>
                      <w:szCs w:val="21"/>
                      <w:lang w:eastAsia="zh-CN"/>
                    </w:rPr>
                    <w:t>活性炭</w:t>
                  </w:r>
                  <w:r>
                    <w:rPr>
                      <w:rFonts w:hint="eastAsia" w:ascii="Times New Roman" w:hAnsi="Times New Roman" w:cs="Times New Roman"/>
                      <w:szCs w:val="21"/>
                      <w:lang w:val="en-US" w:eastAsia="zh-CN"/>
                    </w:rPr>
                    <w:t>+15m排气筒P1</w:t>
                  </w:r>
                </w:p>
              </w:tc>
              <w:tc>
                <w:tcPr>
                  <w:tcW w:w="764" w:type="pct"/>
                  <w:noWrap w:val="0"/>
                  <w:vAlign w:val="center"/>
                </w:tcPr>
                <w:p>
                  <w:pPr>
                    <w:spacing w:line="36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592" w:type="pct"/>
                  <w:vMerge w:val="continue"/>
                  <w:noWrap w:val="0"/>
                  <w:vAlign w:val="center"/>
                </w:tcPr>
                <w:p>
                  <w:pPr>
                    <w:spacing w:line="360" w:lineRule="exact"/>
                    <w:jc w:val="center"/>
                    <w:rPr>
                      <w:rFonts w:hint="default" w:ascii="Times New Roman" w:hAnsi="Times New Roman" w:cs="Times New Roman"/>
                      <w:bCs/>
                      <w:szCs w:val="21"/>
                    </w:rPr>
                  </w:pPr>
                </w:p>
              </w:tc>
              <w:tc>
                <w:tcPr>
                  <w:tcW w:w="1378" w:type="pct"/>
                  <w:noWrap w:val="0"/>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食堂油烟</w:t>
                  </w:r>
                </w:p>
              </w:tc>
              <w:tc>
                <w:tcPr>
                  <w:tcW w:w="2264" w:type="pct"/>
                  <w:noWrap w:val="0"/>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eastAsia="zh-CN"/>
                    </w:rPr>
                    <w:t>吸排油烟机</w:t>
                  </w:r>
                  <w:r>
                    <w:rPr>
                      <w:rFonts w:hint="eastAsia" w:ascii="Times New Roman" w:hAnsi="Times New Roman" w:cs="Times New Roman"/>
                      <w:szCs w:val="21"/>
                      <w:lang w:val="en-US" w:eastAsia="zh-CN"/>
                    </w:rPr>
                    <w:t>+食堂排气筒</w:t>
                  </w:r>
                </w:p>
              </w:tc>
              <w:tc>
                <w:tcPr>
                  <w:tcW w:w="764" w:type="pct"/>
                  <w:noWrap w:val="0"/>
                  <w:vAlign w:val="center"/>
                </w:tcPr>
                <w:p>
                  <w:pPr>
                    <w:spacing w:line="360" w:lineRule="exact"/>
                    <w:jc w:val="center"/>
                    <w:rPr>
                      <w:rFonts w:hint="default" w:ascii="Times New Roman" w:hAnsi="Times New Roman" w:cs="Times New Roman"/>
                      <w:bCs/>
                      <w:szCs w:val="21"/>
                      <w:lang w:val="en-US" w:eastAsia="zh-CN"/>
                    </w:rPr>
                  </w:pPr>
                  <w:r>
                    <w:rPr>
                      <w:rFonts w:hint="eastAsia" w:ascii="Times New Roman" w:hAnsi="Times New Roman" w:eastAsia="宋体" w:cs="Times New Roman"/>
                      <w:bCs/>
                      <w:szCs w:val="21"/>
                      <w:lang w:val="en-US" w:eastAsia="zh-CN"/>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592" w:type="pct"/>
                  <w:noWrap w:val="0"/>
                  <w:vAlign w:val="center"/>
                </w:tcPr>
                <w:p>
                  <w:pPr>
                    <w:spacing w:line="360" w:lineRule="exact"/>
                    <w:jc w:val="center"/>
                    <w:rPr>
                      <w:rFonts w:hint="default" w:ascii="Times New Roman" w:hAnsi="Times New Roman" w:cs="Times New Roman"/>
                      <w:bCs/>
                      <w:szCs w:val="21"/>
                    </w:rPr>
                  </w:pPr>
                  <w:r>
                    <w:rPr>
                      <w:rFonts w:hint="default" w:ascii="Times New Roman" w:hAnsi="Times New Roman" w:cs="Times New Roman"/>
                      <w:bCs/>
                      <w:szCs w:val="21"/>
                    </w:rPr>
                    <w:t>废水</w:t>
                  </w:r>
                </w:p>
              </w:tc>
              <w:tc>
                <w:tcPr>
                  <w:tcW w:w="1378" w:type="pct"/>
                  <w:noWrap w:val="0"/>
                  <w:vAlign w:val="center"/>
                </w:tcPr>
                <w:p>
                  <w:pPr>
                    <w:spacing w:line="360" w:lineRule="exact"/>
                    <w:jc w:val="center"/>
                    <w:rPr>
                      <w:rFonts w:hint="eastAsia" w:ascii="Times New Roman" w:hAnsi="Times New Roman" w:eastAsia="宋体" w:cs="Times New Roman"/>
                      <w:bCs/>
                      <w:szCs w:val="21"/>
                      <w:lang w:eastAsia="zh-CN"/>
                    </w:rPr>
                  </w:pPr>
                  <w:r>
                    <w:rPr>
                      <w:rFonts w:hint="default" w:ascii="Times New Roman" w:hAnsi="Times New Roman" w:cs="Times New Roman"/>
                      <w:bCs/>
                      <w:szCs w:val="21"/>
                    </w:rPr>
                    <w:t>生活污水</w:t>
                  </w:r>
                  <w:r>
                    <w:rPr>
                      <w:rFonts w:hint="eastAsia" w:ascii="Times New Roman" w:hAnsi="Times New Roman" w:cs="Times New Roman"/>
                      <w:bCs/>
                      <w:szCs w:val="21"/>
                      <w:lang w:eastAsia="zh-CN"/>
                    </w:rPr>
                    <w:t>、生产废水、喷淋塔定期排水</w:t>
                  </w:r>
                </w:p>
              </w:tc>
              <w:tc>
                <w:tcPr>
                  <w:tcW w:w="2264" w:type="pct"/>
                  <w:noWrap w:val="0"/>
                  <w:vAlign w:val="center"/>
                </w:tcPr>
                <w:p>
                  <w:pPr>
                    <w:spacing w:line="360" w:lineRule="exact"/>
                    <w:jc w:val="center"/>
                    <w:rPr>
                      <w:rFonts w:hint="eastAsia" w:ascii="Times New Roman" w:hAnsi="Times New Roman" w:eastAsia="宋体" w:cs="Times New Roman"/>
                      <w:bCs/>
                      <w:szCs w:val="21"/>
                      <w:lang w:eastAsia="zh-CN"/>
                    </w:rPr>
                  </w:pPr>
                  <w:r>
                    <w:rPr>
                      <w:rFonts w:hint="eastAsia" w:ascii="Times New Roman" w:hAnsi="Times New Roman" w:cs="Times New Roman"/>
                      <w:bCs/>
                      <w:szCs w:val="21"/>
                      <w:lang w:eastAsia="zh-CN"/>
                    </w:rPr>
                    <w:t>厂区污水处理站</w:t>
                  </w:r>
                </w:p>
              </w:tc>
              <w:tc>
                <w:tcPr>
                  <w:tcW w:w="764" w:type="pct"/>
                  <w:noWrap w:val="0"/>
                  <w:vAlign w:val="center"/>
                </w:tcPr>
                <w:p>
                  <w:pPr>
                    <w:spacing w:line="36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2" w:hRule="atLeast"/>
                <w:jc w:val="center"/>
              </w:trPr>
              <w:tc>
                <w:tcPr>
                  <w:tcW w:w="592" w:type="pct"/>
                  <w:noWrap w:val="0"/>
                  <w:vAlign w:val="center"/>
                </w:tcPr>
                <w:p>
                  <w:pPr>
                    <w:spacing w:line="360" w:lineRule="exact"/>
                    <w:jc w:val="center"/>
                    <w:rPr>
                      <w:rFonts w:hint="default" w:ascii="Times New Roman" w:hAnsi="Times New Roman" w:cs="Times New Roman"/>
                      <w:bCs/>
                      <w:szCs w:val="21"/>
                    </w:rPr>
                  </w:pPr>
                  <w:r>
                    <w:rPr>
                      <w:rFonts w:hint="default" w:ascii="Times New Roman" w:hAnsi="Times New Roman" w:cs="Times New Roman"/>
                      <w:bCs/>
                      <w:szCs w:val="21"/>
                    </w:rPr>
                    <w:t>噪声</w:t>
                  </w:r>
                </w:p>
              </w:tc>
              <w:tc>
                <w:tcPr>
                  <w:tcW w:w="1378" w:type="pct"/>
                  <w:noWrap w:val="0"/>
                  <w:vAlign w:val="center"/>
                </w:tcPr>
                <w:p>
                  <w:pPr>
                    <w:spacing w:line="360" w:lineRule="exact"/>
                    <w:jc w:val="center"/>
                    <w:rPr>
                      <w:rFonts w:hint="default" w:ascii="Times New Roman" w:hAnsi="Times New Roman" w:cs="Times New Roman"/>
                      <w:bCs/>
                      <w:szCs w:val="21"/>
                    </w:rPr>
                  </w:pPr>
                  <w:r>
                    <w:rPr>
                      <w:rFonts w:hint="default" w:ascii="Times New Roman" w:hAnsi="Times New Roman" w:cs="Times New Roman"/>
                      <w:bCs/>
                      <w:szCs w:val="21"/>
                    </w:rPr>
                    <w:t>产噪设备</w:t>
                  </w:r>
                </w:p>
              </w:tc>
              <w:tc>
                <w:tcPr>
                  <w:tcW w:w="2264" w:type="pct"/>
                  <w:noWrap w:val="0"/>
                  <w:vAlign w:val="center"/>
                </w:tcPr>
                <w:p>
                  <w:pPr>
                    <w:spacing w:line="360" w:lineRule="exact"/>
                    <w:jc w:val="center"/>
                    <w:rPr>
                      <w:rFonts w:hint="default" w:ascii="Times New Roman" w:hAnsi="Times New Roman" w:cs="Times New Roman"/>
                      <w:bCs/>
                      <w:szCs w:val="21"/>
                    </w:rPr>
                  </w:pPr>
                  <w:r>
                    <w:rPr>
                      <w:rFonts w:hint="default" w:ascii="Times New Roman" w:hAnsi="Times New Roman" w:cs="Times New Roman"/>
                      <w:szCs w:val="21"/>
                    </w:rPr>
                    <w:t>采取消声、隔声及减振措施，封闭厂房，合理布局，加强厂区周边绿化</w:t>
                  </w:r>
                </w:p>
              </w:tc>
              <w:tc>
                <w:tcPr>
                  <w:tcW w:w="764" w:type="pct"/>
                  <w:noWrap w:val="0"/>
                  <w:vAlign w:val="center"/>
                </w:tcPr>
                <w:p>
                  <w:pPr>
                    <w:spacing w:line="360" w:lineRule="exact"/>
                    <w:jc w:val="center"/>
                    <w:rPr>
                      <w:rFonts w:hint="default" w:ascii="Times New Roman" w:hAnsi="Times New Roman" w:eastAsia="宋体" w:cs="Times New Roman"/>
                      <w:bCs/>
                      <w:szCs w:val="21"/>
                      <w:lang w:eastAsia="zh-CN"/>
                    </w:rPr>
                  </w:pPr>
                  <w:r>
                    <w:rPr>
                      <w:rFonts w:hint="eastAsia" w:ascii="Times New Roman" w:hAnsi="Times New Roman" w:cs="Times New Roman"/>
                      <w:bCs/>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592" w:type="pct"/>
                  <w:vMerge w:val="restart"/>
                  <w:noWrap w:val="0"/>
                  <w:vAlign w:val="center"/>
                </w:tcPr>
                <w:p>
                  <w:pPr>
                    <w:spacing w:line="360" w:lineRule="exact"/>
                    <w:jc w:val="center"/>
                    <w:rPr>
                      <w:rFonts w:hint="default" w:ascii="Times New Roman" w:hAnsi="Times New Roman" w:cs="Times New Roman"/>
                      <w:bCs/>
                      <w:szCs w:val="21"/>
                    </w:rPr>
                  </w:pPr>
                  <w:r>
                    <w:rPr>
                      <w:rFonts w:hint="default" w:ascii="Times New Roman" w:hAnsi="Times New Roman" w:cs="Times New Roman"/>
                      <w:bCs/>
                      <w:szCs w:val="21"/>
                    </w:rPr>
                    <w:t>固废</w:t>
                  </w:r>
                </w:p>
              </w:tc>
              <w:tc>
                <w:tcPr>
                  <w:tcW w:w="1378" w:type="pct"/>
                  <w:noWrap w:val="0"/>
                  <w:vAlign w:val="center"/>
                </w:tcPr>
                <w:p>
                  <w:pPr>
                    <w:spacing w:line="360" w:lineRule="exact"/>
                    <w:jc w:val="center"/>
                    <w:rPr>
                      <w:rFonts w:hint="eastAsia" w:ascii="Times New Roman" w:hAnsi="Times New Roman" w:eastAsia="宋体" w:cs="Times New Roman"/>
                      <w:bCs/>
                      <w:szCs w:val="21"/>
                      <w:lang w:eastAsia="zh-CN"/>
                    </w:rPr>
                  </w:pPr>
                  <w:r>
                    <w:rPr>
                      <w:rFonts w:hint="eastAsia" w:ascii="Times New Roman" w:hAnsi="Times New Roman" w:eastAsia="宋体" w:cs="Times New Roman"/>
                      <w:bCs/>
                      <w:szCs w:val="21"/>
                      <w:lang w:eastAsia="zh-CN"/>
                    </w:rPr>
                    <w:t>一般固废</w:t>
                  </w:r>
                </w:p>
              </w:tc>
              <w:tc>
                <w:tcPr>
                  <w:tcW w:w="2264" w:type="pct"/>
                  <w:noWrap w:val="0"/>
                  <w:vAlign w:val="center"/>
                </w:tcPr>
                <w:p>
                  <w:pPr>
                    <w:spacing w:line="360" w:lineRule="exact"/>
                    <w:jc w:val="center"/>
                    <w:rPr>
                      <w:rFonts w:hint="default" w:ascii="Times New Roman" w:hAnsi="Times New Roman" w:cs="Times New Roman"/>
                      <w:bCs/>
                      <w:szCs w:val="21"/>
                    </w:rPr>
                  </w:pPr>
                  <w:r>
                    <w:rPr>
                      <w:rFonts w:hint="default" w:ascii="Times New Roman" w:hAnsi="Times New Roman" w:cs="Times New Roman"/>
                      <w:bCs/>
                      <w:szCs w:val="21"/>
                    </w:rPr>
                    <w:t>固废暂存设施</w:t>
                  </w:r>
                </w:p>
              </w:tc>
              <w:tc>
                <w:tcPr>
                  <w:tcW w:w="764" w:type="pct"/>
                  <w:noWrap w:val="0"/>
                  <w:vAlign w:val="center"/>
                </w:tcPr>
                <w:p>
                  <w:pPr>
                    <w:spacing w:line="360" w:lineRule="exact"/>
                    <w:jc w:val="center"/>
                    <w:rPr>
                      <w:rFonts w:hint="default" w:ascii="Times New Roman" w:hAnsi="Times New Roman" w:eastAsia="宋体" w:cs="Times New Roman"/>
                      <w:bCs/>
                      <w:szCs w:val="21"/>
                      <w:lang w:eastAsia="zh-CN"/>
                    </w:rPr>
                  </w:pPr>
                  <w:r>
                    <w:rPr>
                      <w:rFonts w:hint="eastAsia" w:ascii="Times New Roman" w:hAnsi="Times New Roman" w:cs="Times New Roman"/>
                      <w:bCs/>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592" w:type="pct"/>
                  <w:vMerge w:val="continue"/>
                  <w:noWrap w:val="0"/>
                  <w:vAlign w:val="center"/>
                </w:tcPr>
                <w:p>
                  <w:pPr>
                    <w:spacing w:line="360" w:lineRule="exact"/>
                    <w:jc w:val="center"/>
                    <w:rPr>
                      <w:rFonts w:hint="default" w:ascii="Times New Roman" w:hAnsi="Times New Roman" w:cs="Times New Roman"/>
                      <w:bCs/>
                      <w:szCs w:val="21"/>
                    </w:rPr>
                  </w:pPr>
                </w:p>
              </w:tc>
              <w:tc>
                <w:tcPr>
                  <w:tcW w:w="1378" w:type="pct"/>
                  <w:noWrap w:val="0"/>
                  <w:vAlign w:val="center"/>
                </w:tcPr>
                <w:p>
                  <w:pPr>
                    <w:spacing w:line="360" w:lineRule="exact"/>
                    <w:jc w:val="center"/>
                    <w:rPr>
                      <w:rFonts w:hint="eastAsia" w:ascii="Times New Roman" w:hAnsi="Times New Roman" w:eastAsia="宋体" w:cs="Times New Roman"/>
                      <w:bCs/>
                      <w:szCs w:val="21"/>
                      <w:lang w:eastAsia="zh-CN"/>
                    </w:rPr>
                  </w:pPr>
                  <w:r>
                    <w:rPr>
                      <w:rFonts w:hint="eastAsia" w:ascii="Times New Roman" w:hAnsi="Times New Roman" w:eastAsia="宋体" w:cs="Times New Roman"/>
                      <w:bCs/>
                      <w:szCs w:val="21"/>
                      <w:lang w:eastAsia="zh-CN"/>
                    </w:rPr>
                    <w:t>危险废物</w:t>
                  </w:r>
                </w:p>
              </w:tc>
              <w:tc>
                <w:tcPr>
                  <w:tcW w:w="2264" w:type="pct"/>
                  <w:noWrap w:val="0"/>
                  <w:vAlign w:val="center"/>
                </w:tcPr>
                <w:p>
                  <w:pPr>
                    <w:spacing w:line="360" w:lineRule="exact"/>
                    <w:jc w:val="center"/>
                    <w:rPr>
                      <w:rFonts w:hint="eastAsia" w:ascii="Times New Roman" w:hAnsi="Times New Roman" w:eastAsia="宋体" w:cs="Times New Roman"/>
                      <w:bCs/>
                      <w:szCs w:val="21"/>
                      <w:lang w:eastAsia="zh-CN"/>
                    </w:rPr>
                  </w:pPr>
                  <w:r>
                    <w:rPr>
                      <w:rFonts w:hint="eastAsia" w:ascii="Times New Roman" w:hAnsi="Times New Roman" w:cs="Times New Roman"/>
                      <w:bCs/>
                      <w:szCs w:val="21"/>
                      <w:lang w:eastAsia="zh-CN"/>
                    </w:rPr>
                    <w:t>危废暂存间</w:t>
                  </w:r>
                </w:p>
              </w:tc>
              <w:tc>
                <w:tcPr>
                  <w:tcW w:w="764" w:type="pct"/>
                  <w:noWrap w:val="0"/>
                  <w:vAlign w:val="center"/>
                </w:tcPr>
                <w:p>
                  <w:pPr>
                    <w:spacing w:line="360" w:lineRule="exact"/>
                    <w:jc w:val="center"/>
                    <w:rPr>
                      <w:rFonts w:hint="default" w:ascii="Times New Roman" w:hAnsi="Times New Roman" w:cs="Times New Roman"/>
                      <w:bCs/>
                      <w:szCs w:val="21"/>
                      <w:lang w:val="en-US" w:eastAsia="zh-CN"/>
                    </w:rPr>
                  </w:pPr>
                  <w:r>
                    <w:rPr>
                      <w:rFonts w:hint="eastAsia" w:ascii="Times New Roman" w:hAnsi="Times New Roman" w:eastAsia="宋体" w:cs="Times New Roman"/>
                      <w:bCs/>
                      <w:szCs w:val="21"/>
                      <w:lang w:val="en-US" w:eastAsia="zh-CN"/>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592" w:type="pct"/>
                  <w:vMerge w:val="continue"/>
                  <w:noWrap w:val="0"/>
                  <w:vAlign w:val="center"/>
                </w:tcPr>
                <w:p>
                  <w:pPr>
                    <w:spacing w:line="360" w:lineRule="exact"/>
                    <w:jc w:val="center"/>
                    <w:rPr>
                      <w:rFonts w:hint="default" w:ascii="Times New Roman" w:hAnsi="Times New Roman" w:cs="Times New Roman"/>
                      <w:bCs/>
                      <w:szCs w:val="21"/>
                    </w:rPr>
                  </w:pPr>
                </w:p>
              </w:tc>
              <w:tc>
                <w:tcPr>
                  <w:tcW w:w="1378" w:type="pct"/>
                  <w:noWrap w:val="0"/>
                  <w:vAlign w:val="center"/>
                </w:tcPr>
                <w:p>
                  <w:pPr>
                    <w:spacing w:line="360" w:lineRule="exact"/>
                    <w:jc w:val="center"/>
                    <w:rPr>
                      <w:rFonts w:hint="default" w:ascii="Times New Roman" w:hAnsi="Times New Roman" w:cs="Times New Roman"/>
                      <w:bCs/>
                      <w:szCs w:val="21"/>
                    </w:rPr>
                  </w:pPr>
                  <w:r>
                    <w:rPr>
                      <w:rFonts w:hint="default" w:ascii="Times New Roman" w:hAnsi="Times New Roman" w:cs="Times New Roman"/>
                      <w:bCs/>
                      <w:szCs w:val="21"/>
                    </w:rPr>
                    <w:t>生活垃圾</w:t>
                  </w:r>
                </w:p>
              </w:tc>
              <w:tc>
                <w:tcPr>
                  <w:tcW w:w="2264" w:type="pct"/>
                  <w:noWrap w:val="0"/>
                  <w:vAlign w:val="center"/>
                </w:tcPr>
                <w:p>
                  <w:pPr>
                    <w:spacing w:line="360" w:lineRule="exact"/>
                    <w:jc w:val="center"/>
                    <w:rPr>
                      <w:rFonts w:hint="default" w:ascii="Times New Roman" w:hAnsi="Times New Roman" w:cs="Times New Roman"/>
                      <w:bCs/>
                      <w:szCs w:val="21"/>
                    </w:rPr>
                  </w:pPr>
                  <w:r>
                    <w:rPr>
                      <w:rFonts w:hint="default" w:ascii="Times New Roman" w:hAnsi="Times New Roman" w:cs="Times New Roman"/>
                      <w:bCs/>
                      <w:szCs w:val="21"/>
                    </w:rPr>
                    <w:t>垃圾收集桶</w:t>
                  </w:r>
                </w:p>
              </w:tc>
              <w:tc>
                <w:tcPr>
                  <w:tcW w:w="764" w:type="pct"/>
                  <w:noWrap w:val="0"/>
                  <w:vAlign w:val="center"/>
                </w:tcPr>
                <w:p>
                  <w:pPr>
                    <w:spacing w:line="360" w:lineRule="exact"/>
                    <w:jc w:val="center"/>
                    <w:rPr>
                      <w:rFonts w:hint="eastAsia" w:ascii="Times New Roman" w:hAnsi="Times New Roman" w:eastAsia="宋体" w:cs="Times New Roman"/>
                      <w:bCs/>
                      <w:szCs w:val="21"/>
                      <w:lang w:eastAsia="zh-CN"/>
                    </w:rPr>
                  </w:pPr>
                  <w:r>
                    <w:rPr>
                      <w:rFonts w:hint="eastAsia" w:ascii="Times New Roman" w:hAnsi="Times New Roman" w:cs="Times New Roman"/>
                      <w:bCs/>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592" w:type="pct"/>
                  <w:noWrap w:val="0"/>
                  <w:vAlign w:val="center"/>
                </w:tcPr>
                <w:p>
                  <w:pPr>
                    <w:spacing w:line="360" w:lineRule="exact"/>
                    <w:jc w:val="center"/>
                    <w:rPr>
                      <w:rFonts w:hint="eastAsia" w:ascii="Times New Roman" w:hAnsi="Times New Roman" w:eastAsia="宋体" w:cs="Times New Roman"/>
                      <w:bCs/>
                      <w:szCs w:val="21"/>
                      <w:lang w:eastAsia="zh-CN"/>
                    </w:rPr>
                  </w:pPr>
                  <w:r>
                    <w:rPr>
                      <w:rFonts w:hint="eastAsia" w:ascii="Times New Roman" w:hAnsi="Times New Roman" w:cs="Times New Roman"/>
                      <w:bCs/>
                      <w:szCs w:val="21"/>
                      <w:lang w:eastAsia="zh-CN"/>
                    </w:rPr>
                    <w:t>其他</w:t>
                  </w:r>
                </w:p>
              </w:tc>
              <w:tc>
                <w:tcPr>
                  <w:tcW w:w="1378" w:type="pct"/>
                  <w:noWrap w:val="0"/>
                  <w:vAlign w:val="center"/>
                </w:tcPr>
                <w:p>
                  <w:pPr>
                    <w:spacing w:line="360" w:lineRule="exact"/>
                    <w:jc w:val="center"/>
                    <w:rPr>
                      <w:rFonts w:hint="eastAsia" w:ascii="Times New Roman" w:hAnsi="Times New Roman" w:eastAsia="宋体" w:cs="Times New Roman"/>
                      <w:bCs/>
                      <w:szCs w:val="21"/>
                      <w:lang w:eastAsia="zh-CN"/>
                    </w:rPr>
                  </w:pPr>
                  <w:r>
                    <w:rPr>
                      <w:rFonts w:hint="eastAsia" w:ascii="Times New Roman" w:hAnsi="Times New Roman" w:cs="Times New Roman"/>
                      <w:bCs/>
                      <w:szCs w:val="21"/>
                      <w:lang w:eastAsia="zh-CN"/>
                    </w:rPr>
                    <w:t>地面硬化</w:t>
                  </w:r>
                </w:p>
              </w:tc>
              <w:tc>
                <w:tcPr>
                  <w:tcW w:w="2264" w:type="pct"/>
                  <w:noWrap w:val="0"/>
                  <w:vAlign w:val="center"/>
                </w:tcPr>
                <w:p>
                  <w:pPr>
                    <w:spacing w:line="360" w:lineRule="exact"/>
                    <w:jc w:val="center"/>
                    <w:rPr>
                      <w:rFonts w:hint="default" w:ascii="Times New Roman" w:hAnsi="Times New Roman" w:eastAsia="宋体" w:cs="Times New Roman"/>
                      <w:bCs/>
                      <w:szCs w:val="21"/>
                      <w:lang w:val="en-US" w:eastAsia="zh-CN"/>
                    </w:rPr>
                  </w:pPr>
                  <w:r>
                    <w:rPr>
                      <w:rFonts w:hint="eastAsia" w:ascii="Times New Roman" w:hAnsi="Times New Roman" w:cs="Times New Roman"/>
                      <w:bCs/>
                      <w:szCs w:val="21"/>
                      <w:lang w:val="en-US" w:eastAsia="zh-CN"/>
                    </w:rPr>
                    <w:t>--</w:t>
                  </w:r>
                </w:p>
              </w:tc>
              <w:tc>
                <w:tcPr>
                  <w:tcW w:w="764" w:type="pct"/>
                  <w:noWrap w:val="0"/>
                  <w:vAlign w:val="center"/>
                </w:tcPr>
                <w:p>
                  <w:pPr>
                    <w:spacing w:line="360" w:lineRule="exact"/>
                    <w:jc w:val="center"/>
                    <w:rPr>
                      <w:rFonts w:hint="default" w:ascii="Times New Roman" w:hAnsi="Times New Roman" w:cs="Times New Roman"/>
                      <w:bCs/>
                      <w:szCs w:val="21"/>
                      <w:lang w:val="en-US" w:eastAsia="zh-CN"/>
                    </w:rPr>
                  </w:pPr>
                  <w:r>
                    <w:rPr>
                      <w:rFonts w:hint="eastAsia" w:ascii="Times New Roman" w:hAnsi="Times New Roman" w:cs="Times New Roman"/>
                      <w:bCs/>
                      <w:szCs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592" w:type="pct"/>
                  <w:noWrap w:val="0"/>
                  <w:vAlign w:val="center"/>
                </w:tcPr>
                <w:p>
                  <w:pPr>
                    <w:spacing w:line="360" w:lineRule="exact"/>
                    <w:jc w:val="center"/>
                    <w:rPr>
                      <w:rFonts w:hint="default" w:ascii="Times New Roman" w:hAnsi="Times New Roman" w:cs="Times New Roman"/>
                      <w:bCs/>
                      <w:szCs w:val="21"/>
                    </w:rPr>
                  </w:pPr>
                  <w:r>
                    <w:rPr>
                      <w:rFonts w:hint="default" w:ascii="Times New Roman" w:hAnsi="Times New Roman" w:cs="Times New Roman"/>
                      <w:bCs/>
                      <w:szCs w:val="21"/>
                    </w:rPr>
                    <w:t>总计</w:t>
                  </w:r>
                </w:p>
              </w:tc>
              <w:tc>
                <w:tcPr>
                  <w:tcW w:w="1378" w:type="pct"/>
                  <w:noWrap w:val="0"/>
                  <w:vAlign w:val="center"/>
                </w:tcPr>
                <w:p>
                  <w:pPr>
                    <w:spacing w:line="360" w:lineRule="exact"/>
                    <w:jc w:val="center"/>
                    <w:rPr>
                      <w:rFonts w:hint="default" w:ascii="Times New Roman" w:hAnsi="Times New Roman" w:cs="Times New Roman"/>
                      <w:bCs/>
                      <w:szCs w:val="21"/>
                    </w:rPr>
                  </w:pPr>
                </w:p>
              </w:tc>
              <w:tc>
                <w:tcPr>
                  <w:tcW w:w="2264" w:type="pct"/>
                  <w:noWrap w:val="0"/>
                  <w:vAlign w:val="center"/>
                </w:tcPr>
                <w:p>
                  <w:pPr>
                    <w:spacing w:line="360" w:lineRule="exact"/>
                    <w:jc w:val="center"/>
                    <w:rPr>
                      <w:rFonts w:hint="default" w:ascii="Times New Roman" w:hAnsi="Times New Roman" w:cs="Times New Roman"/>
                      <w:bCs/>
                      <w:szCs w:val="21"/>
                    </w:rPr>
                  </w:pPr>
                </w:p>
              </w:tc>
              <w:tc>
                <w:tcPr>
                  <w:tcW w:w="764" w:type="pct"/>
                  <w:noWrap w:val="0"/>
                  <w:vAlign w:val="center"/>
                </w:tcPr>
                <w:p>
                  <w:pPr>
                    <w:spacing w:line="360" w:lineRule="exact"/>
                    <w:jc w:val="center"/>
                    <w:rPr>
                      <w:rFonts w:hint="default" w:ascii="Times New Roman" w:hAnsi="Times New Roman" w:eastAsia="宋体" w:cs="Times New Roman"/>
                      <w:bCs/>
                      <w:szCs w:val="21"/>
                      <w:lang w:val="en-US" w:eastAsia="zh-CN"/>
                    </w:rPr>
                  </w:pPr>
                  <w:r>
                    <w:rPr>
                      <w:rFonts w:hint="eastAsia" w:ascii="Times New Roman" w:hAnsi="Times New Roman" w:cs="Times New Roman"/>
                      <w:bCs/>
                      <w:szCs w:val="21"/>
                      <w:lang w:val="en-US" w:eastAsia="zh-CN"/>
                    </w:rPr>
                    <w:t>20</w:t>
                  </w:r>
                </w:p>
              </w:tc>
            </w:tr>
          </w:tbl>
          <w:p>
            <w:pPr>
              <w:jc w:val="both"/>
              <w:rPr>
                <w:b/>
                <w:bCs/>
              </w:rPr>
            </w:pPr>
          </w:p>
        </w:tc>
      </w:tr>
    </w:tbl>
    <w:p>
      <w:pPr>
        <w:numPr>
          <w:ilvl w:val="0"/>
          <w:numId w:val="0"/>
        </w:numPr>
        <w:wordWrap w:val="0"/>
        <w:spacing w:before="0" w:after="0" w:line="240" w:lineRule="auto"/>
        <w:ind w:right="0" w:firstLine="0"/>
        <w:jc w:val="center"/>
        <w:rPr>
          <w:rFonts w:hint="default" w:ascii="Times New Roman" w:hAnsi="Times New Roman" w:eastAsia="Times New Roman"/>
          <w:b/>
          <w:color w:val="auto"/>
          <w:position w:val="0"/>
          <w:sz w:val="24"/>
          <w:szCs w:val="24"/>
        </w:rPr>
      </w:pPr>
      <w:bookmarkStart w:id="13" w:name="_Toc2436"/>
    </w:p>
    <w:bookmarkEnd w:id="13"/>
    <w:p>
      <w:pPr>
        <w:pStyle w:val="45"/>
        <w:pageBreakBefore w:val="0"/>
        <w:numPr>
          <w:ilvl w:val="0"/>
          <w:numId w:val="0"/>
        </w:numPr>
        <w:autoSpaceDE w:val="0"/>
        <w:autoSpaceDN w:val="0"/>
        <w:bidi w:val="0"/>
        <w:snapToGrid/>
        <w:spacing w:before="0" w:after="160" w:line="240" w:lineRule="auto"/>
        <w:ind w:right="0" w:firstLine="0"/>
        <w:jc w:val="left"/>
        <w:outlineLvl w:val="0"/>
        <w:rPr>
          <w:rFonts w:hint="default" w:ascii="Times New Roman" w:hAnsi="Times New Roman" w:eastAsia="Times New Roman"/>
          <w:b/>
          <w:color w:val="auto"/>
          <w:position w:val="0"/>
          <w:sz w:val="24"/>
          <w:szCs w:val="24"/>
        </w:rPr>
      </w:pPr>
    </w:p>
    <w:tbl>
      <w:tblPr>
        <w:tblStyle w:val="39"/>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65" w:hRule="atLeast"/>
          <w:jc w:val="center"/>
        </w:trPr>
        <w:tc>
          <w:tcPr>
            <w:tcW w:w="8522" w:type="dxa"/>
            <w:vAlign w:val="top"/>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0"/>
              <w:jc w:val="both"/>
              <w:textAlignment w:val="auto"/>
              <w:outlineLvl w:val="0"/>
              <w:rPr>
                <w:rFonts w:hint="default" w:ascii="Times New Roman" w:hAnsi="Times New Roman" w:cs="Times New Roman" w:eastAsiaTheme="minorEastAsia"/>
                <w:b/>
                <w:color w:val="auto"/>
                <w:position w:val="0"/>
                <w:sz w:val="24"/>
                <w:szCs w:val="24"/>
              </w:rPr>
            </w:pPr>
            <w:bookmarkStart w:id="14" w:name="_Toc5974"/>
            <w:r>
              <w:rPr>
                <w:rFonts w:hint="default" w:ascii="Times New Roman" w:hAnsi="Times New Roman" w:cs="Times New Roman" w:eastAsiaTheme="minorEastAsia"/>
                <w:b/>
                <w:color w:val="auto"/>
                <w:position w:val="0"/>
                <w:sz w:val="24"/>
                <w:szCs w:val="24"/>
              </w:rPr>
              <w:t>建设项目环境影响报告表主要结论及审批部门审批决定：</w:t>
            </w:r>
            <w:bookmarkEnd w:id="14"/>
          </w:p>
          <w:p>
            <w:pPr>
              <w:pStyle w:val="23"/>
              <w:spacing w:before="156" w:beforeLines="50" w:line="360" w:lineRule="auto"/>
              <w:jc w:val="both"/>
              <w:rPr>
                <w:rFonts w:hint="default" w:ascii="Times New Roman" w:hAnsi="Times New Roman" w:eastAsia="黑体" w:cs="Times New Roman"/>
                <w:sz w:val="24"/>
                <w:szCs w:val="24"/>
              </w:rPr>
            </w:pPr>
            <w:r>
              <w:rPr>
                <w:rFonts w:hint="default" w:ascii="Times New Roman" w:hAnsi="Times New Roman" w:eastAsia="黑体" w:cs="Times New Roman"/>
                <w:bCs/>
                <w:sz w:val="24"/>
                <w:szCs w:val="24"/>
              </w:rPr>
              <w:t xml:space="preserve">(一) </w:t>
            </w:r>
            <w:r>
              <w:rPr>
                <w:rFonts w:hint="default" w:ascii="Times New Roman" w:hAnsi="Times New Roman" w:eastAsia="黑体" w:cs="Times New Roman"/>
                <w:sz w:val="24"/>
                <w:szCs w:val="24"/>
              </w:rPr>
              <w:t>评价结论</w:t>
            </w:r>
          </w:p>
          <w:p>
            <w:pPr>
              <w:spacing w:line="360" w:lineRule="auto"/>
              <w:ind w:firstLine="480" w:firstLineChars="200"/>
              <w:jc w:val="both"/>
              <w:rPr>
                <w:rFonts w:hint="default" w:ascii="Times New Roman" w:hAnsi="Times New Roman" w:cs="Times New Roman"/>
                <w:b/>
                <w:sz w:val="24"/>
              </w:rPr>
            </w:pPr>
            <w:r>
              <w:rPr>
                <w:rFonts w:hint="default" w:ascii="Times New Roman" w:hAnsi="Times New Roman" w:cs="Times New Roman"/>
                <w:b/>
                <w:sz w:val="24"/>
              </w:rPr>
              <w:t>1、项目概况</w:t>
            </w:r>
          </w:p>
          <w:p>
            <w:pPr>
              <w:spacing w:line="360" w:lineRule="auto"/>
              <w:ind w:firstLine="480" w:firstLineChars="200"/>
              <w:jc w:val="both"/>
              <w:rPr>
                <w:rFonts w:hint="default" w:ascii="Times New Roman" w:hAnsi="Times New Roman" w:cs="Times New Roman"/>
                <w:bCs/>
                <w:sz w:val="24"/>
              </w:rPr>
            </w:pPr>
            <w:r>
              <w:rPr>
                <w:rFonts w:hint="default" w:ascii="Times New Roman" w:hAnsi="Times New Roman" w:cs="Times New Roman"/>
                <w:sz w:val="24"/>
              </w:rPr>
              <w:t>本项目是由</w:t>
            </w:r>
            <w:r>
              <w:rPr>
                <w:rFonts w:hint="eastAsia" w:ascii="Times New Roman" w:hAnsi="Times New Roman" w:cs="Times New Roman"/>
                <w:sz w:val="24"/>
                <w:lang w:eastAsia="zh-CN"/>
              </w:rPr>
              <w:t>鄄城龙欣宝典发制品有限公司</w:t>
            </w:r>
            <w:r>
              <w:rPr>
                <w:rFonts w:hint="default" w:ascii="Times New Roman" w:hAnsi="Times New Roman" w:cs="Times New Roman"/>
                <w:bCs/>
                <w:sz w:val="24"/>
              </w:rPr>
              <w:t>投资</w:t>
            </w:r>
            <w:r>
              <w:rPr>
                <w:rFonts w:hint="eastAsia" w:ascii="Times New Roman" w:hAnsi="Times New Roman" w:cs="Times New Roman"/>
                <w:bCs/>
                <w:sz w:val="24"/>
                <w:lang w:eastAsia="zh-CN"/>
              </w:rPr>
              <w:t>1200万元</w:t>
            </w:r>
            <w:r>
              <w:rPr>
                <w:rFonts w:hint="default" w:ascii="Times New Roman" w:hAnsi="Times New Roman" w:cs="Times New Roman"/>
                <w:bCs/>
                <w:sz w:val="24"/>
              </w:rPr>
              <w:t>建设的</w:t>
            </w:r>
            <w:r>
              <w:rPr>
                <w:rFonts w:hint="eastAsia" w:ascii="Times New Roman" w:hAnsi="Times New Roman" w:cs="Times New Roman"/>
                <w:sz w:val="24"/>
                <w:lang w:eastAsia="zh-CN"/>
              </w:rPr>
              <w:t>年产800万件人发制品项目</w:t>
            </w:r>
            <w:r>
              <w:rPr>
                <w:rFonts w:hint="default" w:ascii="Times New Roman" w:hAnsi="Times New Roman" w:cs="Times New Roman"/>
                <w:bCs/>
                <w:sz w:val="24"/>
              </w:rPr>
              <w:t>，该项目为新建项目，</w:t>
            </w:r>
            <w:r>
              <w:rPr>
                <w:rFonts w:hint="default" w:ascii="Times New Roman" w:hAnsi="Times New Roman" w:cs="Times New Roman"/>
                <w:sz w:val="24"/>
              </w:rPr>
              <w:t>用地符合当地总体规划，其选址较为合理。</w:t>
            </w:r>
          </w:p>
          <w:p>
            <w:pPr>
              <w:spacing w:line="360" w:lineRule="auto"/>
              <w:ind w:firstLine="480" w:firstLineChars="200"/>
              <w:jc w:val="both"/>
              <w:rPr>
                <w:rFonts w:hint="default" w:ascii="Times New Roman" w:hAnsi="Times New Roman" w:cs="Times New Roman"/>
                <w:b/>
                <w:sz w:val="24"/>
              </w:rPr>
            </w:pPr>
            <w:r>
              <w:rPr>
                <w:rFonts w:hint="default" w:ascii="Times New Roman" w:hAnsi="Times New Roman" w:cs="Times New Roman"/>
                <w:b/>
                <w:sz w:val="24"/>
              </w:rPr>
              <w:t xml:space="preserve">2、厂址及平面布置 </w:t>
            </w:r>
          </w:p>
          <w:p>
            <w:pPr>
              <w:spacing w:line="360" w:lineRule="auto"/>
              <w:ind w:firstLine="470" w:firstLineChars="196"/>
              <w:jc w:val="both"/>
              <w:rPr>
                <w:rFonts w:hint="default" w:ascii="Times New Roman" w:hAnsi="Times New Roman" w:cs="Times New Roman"/>
                <w:sz w:val="24"/>
              </w:rPr>
            </w:pPr>
            <w:r>
              <w:rPr>
                <w:rFonts w:hint="default" w:ascii="Times New Roman" w:hAnsi="Times New Roman" w:cs="Times New Roman"/>
                <w:sz w:val="24"/>
              </w:rPr>
              <w:t>本项目厂址位于</w:t>
            </w:r>
            <w:r>
              <w:rPr>
                <w:rFonts w:hint="eastAsia" w:ascii="Times New Roman" w:hAnsi="Times New Roman" w:cs="Times New Roman"/>
                <w:sz w:val="24"/>
                <w:lang w:eastAsia="zh-CN"/>
              </w:rPr>
              <w:t>山东省菏泽市鄄城县永定路东、亿城街南、朱庄村西</w:t>
            </w:r>
            <w:r>
              <w:rPr>
                <w:rFonts w:hint="default" w:ascii="Times New Roman" w:hAnsi="Times New Roman" w:cs="Times New Roman"/>
                <w:sz w:val="24"/>
              </w:rPr>
              <w:t>，厂址交通十分方便，运输便利。工程厂房布置合理，水、电、辅助工程配套齐全，项目选址和总平面布置恰当。</w:t>
            </w:r>
          </w:p>
          <w:p>
            <w:pPr>
              <w:spacing w:line="360" w:lineRule="auto"/>
              <w:ind w:firstLine="480"/>
              <w:jc w:val="both"/>
              <w:rPr>
                <w:rFonts w:hint="default" w:ascii="Times New Roman" w:hAnsi="Times New Roman" w:cs="Times New Roman"/>
                <w:b/>
                <w:color w:val="000000"/>
                <w:sz w:val="24"/>
              </w:rPr>
            </w:pPr>
            <w:r>
              <w:rPr>
                <w:rFonts w:hint="default" w:ascii="Times New Roman" w:hAnsi="Times New Roman" w:cs="Times New Roman"/>
                <w:b/>
                <w:color w:val="000000"/>
                <w:sz w:val="24"/>
              </w:rPr>
              <w:t>3、产业政策符合性</w:t>
            </w:r>
          </w:p>
          <w:p>
            <w:pPr>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本项目为</w:t>
            </w:r>
            <w:r>
              <w:rPr>
                <w:rFonts w:hint="eastAsia" w:ascii="Times New Roman" w:hAnsi="Times New Roman" w:cs="Times New Roman"/>
                <w:sz w:val="24"/>
                <w:lang w:eastAsia="zh-CN"/>
              </w:rPr>
              <w:t>年产800万件人发制品项目</w:t>
            </w:r>
            <w:r>
              <w:rPr>
                <w:rFonts w:hint="default" w:ascii="Times New Roman" w:hAnsi="Times New Roman" w:cs="Times New Roman"/>
                <w:sz w:val="24"/>
              </w:rPr>
              <w:t>，</w:t>
            </w:r>
            <w:r>
              <w:rPr>
                <w:rFonts w:hint="default" w:ascii="Times New Roman" w:hAnsi="Times New Roman" w:cs="Times New Roman"/>
                <w:sz w:val="24"/>
                <w:szCs w:val="24"/>
              </w:rPr>
              <w:t>不属于</w:t>
            </w:r>
            <w:r>
              <w:rPr>
                <w:rFonts w:hint="default" w:ascii="Times New Roman" w:hAnsi="Times New Roman" w:cs="Times New Roman"/>
                <w:bCs/>
                <w:sz w:val="24"/>
                <w:szCs w:val="24"/>
              </w:rPr>
              <w:t>发改委发布的《产业结构调整指导目录（201</w:t>
            </w:r>
            <w:r>
              <w:rPr>
                <w:rFonts w:hint="eastAsia" w:ascii="Times New Roman" w:hAnsi="Times New Roman" w:cs="Times New Roman"/>
                <w:bCs/>
                <w:sz w:val="24"/>
                <w:szCs w:val="24"/>
                <w:lang w:val="en-US" w:eastAsia="zh-CN"/>
              </w:rPr>
              <w:t>9</w:t>
            </w:r>
            <w:r>
              <w:rPr>
                <w:rFonts w:hint="default" w:ascii="Times New Roman" w:hAnsi="Times New Roman" w:cs="Times New Roman"/>
                <w:bCs/>
                <w:sz w:val="24"/>
                <w:szCs w:val="24"/>
              </w:rPr>
              <w:t>年本）》（</w:t>
            </w:r>
            <w:r>
              <w:rPr>
                <w:rFonts w:hint="default" w:ascii="Times New Roman" w:hAnsi="Times New Roman" w:cs="Times New Roman"/>
                <w:sz w:val="24"/>
                <w:szCs w:val="24"/>
              </w:rPr>
              <w:t>国家发改委第</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9号令）中</w:t>
            </w:r>
            <w:r>
              <w:rPr>
                <w:rFonts w:hint="default" w:ascii="Times New Roman" w:hAnsi="Times New Roman" w:cs="Times New Roman"/>
                <w:bCs/>
                <w:sz w:val="24"/>
                <w:szCs w:val="24"/>
              </w:rPr>
              <w:t>鼓励类、限制类以及淘汰类项目</w:t>
            </w:r>
            <w:r>
              <w:rPr>
                <w:rFonts w:hint="default" w:ascii="Times New Roman" w:hAnsi="Times New Roman" w:cs="Times New Roman"/>
                <w:sz w:val="24"/>
                <w:szCs w:val="24"/>
              </w:rPr>
              <w:t>，属于允许类项目，</w:t>
            </w:r>
            <w:r>
              <w:rPr>
                <w:rFonts w:hint="default" w:ascii="Times New Roman" w:hAnsi="Times New Roman" w:cs="Times New Roman"/>
                <w:sz w:val="24"/>
              </w:rPr>
              <w:t>项目建设和运营符合国家产业政策的要求。</w:t>
            </w:r>
          </w:p>
          <w:p>
            <w:pPr>
              <w:pStyle w:val="8"/>
              <w:ind w:firstLine="482"/>
              <w:outlineLvl w:val="2"/>
              <w:rPr>
                <w:rFonts w:hint="default" w:ascii="Times New Roman" w:hAnsi="Times New Roman" w:cs="Times New Roman"/>
                <w:sz w:val="24"/>
                <w:szCs w:val="24"/>
              </w:rPr>
            </w:pPr>
            <w:r>
              <w:rPr>
                <w:rFonts w:hint="default" w:ascii="Times New Roman" w:hAnsi="Times New Roman" w:cs="Times New Roman"/>
                <w:sz w:val="24"/>
                <w:szCs w:val="24"/>
              </w:rPr>
              <w:t>4、规划符合性</w:t>
            </w:r>
          </w:p>
          <w:p>
            <w:pPr>
              <w:spacing w:line="360" w:lineRule="auto"/>
              <w:ind w:firstLine="480" w:firstLineChars="200"/>
              <w:jc w:val="left"/>
              <w:rPr>
                <w:rFonts w:hint="default" w:ascii="Times New Roman" w:hAnsi="Times New Roman" w:cs="Times New Roman"/>
                <w:sz w:val="24"/>
                <w:highlight w:val="none"/>
              </w:rPr>
            </w:pPr>
            <w:r>
              <w:rPr>
                <w:rFonts w:hint="default" w:ascii="Times New Roman" w:hAnsi="Times New Roman" w:cs="Times New Roman"/>
                <w:color w:val="000000"/>
                <w:sz w:val="24"/>
              </w:rPr>
              <w:t>本项目位于</w:t>
            </w:r>
            <w:r>
              <w:rPr>
                <w:rFonts w:hint="eastAsia" w:ascii="Times New Roman" w:hAnsi="Times New Roman" w:cs="Times New Roman"/>
                <w:color w:val="000000"/>
                <w:sz w:val="24"/>
                <w:lang w:eastAsia="zh-CN"/>
              </w:rPr>
              <w:t>山东省菏泽市鄄城县永定路东、亿城街南、朱庄村西</w:t>
            </w:r>
            <w:r>
              <w:rPr>
                <w:rFonts w:hint="default" w:ascii="Times New Roman" w:hAnsi="Times New Roman" w:cs="Times New Roman"/>
                <w:sz w:val="24"/>
              </w:rPr>
              <w:t>，</w:t>
            </w:r>
            <w:r>
              <w:rPr>
                <w:rFonts w:hint="default" w:ascii="Times New Roman" w:hAnsi="Times New Roman" w:cs="Times New Roman"/>
                <w:sz w:val="24"/>
                <w:highlight w:val="none"/>
              </w:rPr>
              <w:t>根据</w:t>
            </w:r>
            <w:r>
              <w:rPr>
                <w:rFonts w:hint="default" w:ascii="Times New Roman" w:hAnsi="Times New Roman" w:cs="Times New Roman"/>
                <w:color w:val="000000"/>
                <w:sz w:val="24"/>
                <w:highlight w:val="none"/>
              </w:rPr>
              <w:t>鄄城县</w:t>
            </w:r>
            <w:r>
              <w:rPr>
                <w:rFonts w:hint="eastAsia" w:ascii="Times New Roman" w:hAnsi="Times New Roman" w:cs="Times New Roman"/>
                <w:color w:val="000000"/>
                <w:sz w:val="24"/>
                <w:highlight w:val="none"/>
                <w:lang w:eastAsia="zh-CN"/>
              </w:rPr>
              <w:t>经济开发区管理委员会</w:t>
            </w:r>
            <w:r>
              <w:rPr>
                <w:rFonts w:hint="default" w:ascii="Times New Roman" w:hAnsi="Times New Roman" w:cs="Times New Roman"/>
                <w:sz w:val="24"/>
                <w:highlight w:val="none"/>
              </w:rPr>
              <w:t>出具的</w:t>
            </w:r>
            <w:r>
              <w:rPr>
                <w:rFonts w:hint="eastAsia" w:ascii="Times New Roman" w:hAnsi="Times New Roman" w:cs="Times New Roman"/>
                <w:sz w:val="24"/>
                <w:highlight w:val="none"/>
                <w:lang w:eastAsia="zh-CN"/>
              </w:rPr>
              <w:t>拆迁安置协议</w:t>
            </w:r>
            <w:r>
              <w:rPr>
                <w:rFonts w:hint="default" w:ascii="Times New Roman" w:hAnsi="Times New Roman" w:cs="Times New Roman"/>
                <w:sz w:val="24"/>
                <w:highlight w:val="none"/>
              </w:rPr>
              <w:t>，本项目用地属于</w:t>
            </w:r>
            <w:r>
              <w:rPr>
                <w:rFonts w:hint="eastAsia" w:ascii="Times New Roman" w:hAnsi="Times New Roman" w:cs="Times New Roman"/>
                <w:sz w:val="24"/>
                <w:highlight w:val="none"/>
                <w:lang w:eastAsia="zh-CN"/>
              </w:rPr>
              <w:t>工业建设用地</w:t>
            </w:r>
            <w:r>
              <w:rPr>
                <w:rFonts w:hint="default" w:ascii="Times New Roman" w:hAnsi="Times New Roman" w:cs="Times New Roman"/>
                <w:sz w:val="24"/>
                <w:highlight w:val="none"/>
              </w:rPr>
              <w:t>，符合</w:t>
            </w:r>
            <w:r>
              <w:rPr>
                <w:rFonts w:hint="eastAsia" w:ascii="Times New Roman" w:hAnsi="Times New Roman" w:cs="Times New Roman"/>
                <w:color w:val="000000"/>
                <w:sz w:val="24"/>
                <w:highlight w:val="none"/>
                <w:lang w:eastAsia="zh-CN"/>
              </w:rPr>
              <w:t>经济开发区</w:t>
            </w:r>
            <w:r>
              <w:rPr>
                <w:rFonts w:hint="default" w:ascii="Times New Roman" w:hAnsi="Times New Roman" w:cs="Times New Roman"/>
                <w:sz w:val="24"/>
                <w:highlight w:val="none"/>
              </w:rPr>
              <w:t>总体规划（证明见附件4）。</w:t>
            </w:r>
          </w:p>
          <w:p>
            <w:pPr>
              <w:spacing w:line="360" w:lineRule="auto"/>
              <w:ind w:firstLine="480" w:firstLineChars="200"/>
              <w:jc w:val="both"/>
              <w:rPr>
                <w:rFonts w:hint="default" w:ascii="Times New Roman" w:hAnsi="Times New Roman" w:eastAsia="新宋体" w:cs="Times New Roman"/>
                <w:sz w:val="24"/>
              </w:rPr>
            </w:pPr>
            <w:r>
              <w:rPr>
                <w:rFonts w:hint="default" w:ascii="Times New Roman" w:hAnsi="Times New Roman" w:cs="Times New Roman"/>
                <w:color w:val="000000"/>
                <w:sz w:val="24"/>
              </w:rPr>
              <w:t>本项目位于</w:t>
            </w:r>
            <w:r>
              <w:rPr>
                <w:rFonts w:hint="eastAsia" w:ascii="Times New Roman" w:hAnsi="Times New Roman" w:cs="Times New Roman"/>
                <w:color w:val="000000"/>
                <w:sz w:val="24"/>
                <w:lang w:eastAsia="zh-CN"/>
              </w:rPr>
              <w:t>山东省菏泽市鄄城县永定路东、亿城街南、朱庄村西。位于鄄城县第二人发产业中心内，</w:t>
            </w:r>
            <w:r>
              <w:rPr>
                <w:rFonts w:hint="default" w:ascii="Times New Roman" w:hAnsi="Times New Roman" w:cs="Times New Roman"/>
                <w:sz w:val="24"/>
              </w:rPr>
              <w:t>交通便利，与外部市场联系十分顺畅；公用设施条件较好，水、电等基础设施完备；建设区周围无历史文物、名胜古迹以及珍贵动植物等重要保护目标，无放射性污染及严重的有害气体污染。综上所述，项目的选址基本合理</w:t>
            </w:r>
            <w:r>
              <w:rPr>
                <w:rFonts w:hint="default" w:ascii="Times New Roman" w:hAnsi="Times New Roman" w:eastAsia="新宋体" w:cs="Times New Roman"/>
                <w:sz w:val="24"/>
              </w:rPr>
              <w:t>。</w:t>
            </w:r>
          </w:p>
          <w:p>
            <w:pPr>
              <w:spacing w:line="360" w:lineRule="auto"/>
              <w:ind w:firstLine="482"/>
              <w:jc w:val="both"/>
              <w:rPr>
                <w:rFonts w:hint="default" w:ascii="Times New Roman" w:hAnsi="Times New Roman" w:cs="Times New Roman"/>
                <w:b/>
                <w:sz w:val="24"/>
              </w:rPr>
            </w:pPr>
            <w:r>
              <w:rPr>
                <w:rFonts w:hint="default" w:ascii="Times New Roman" w:hAnsi="Times New Roman" w:cs="Times New Roman"/>
                <w:b/>
                <w:sz w:val="24"/>
              </w:rPr>
              <w:t>5、厂区周围环境质量现状</w:t>
            </w:r>
          </w:p>
          <w:p>
            <w:pPr>
              <w:spacing w:line="360" w:lineRule="auto"/>
              <w:ind w:firstLine="436" w:firstLineChars="182"/>
              <w:jc w:val="both"/>
              <w:rPr>
                <w:rFonts w:hint="default" w:ascii="Times New Roman" w:hAnsi="Times New Roman" w:eastAsia="新宋体" w:cs="Times New Roman"/>
                <w:sz w:val="24"/>
              </w:rPr>
            </w:pPr>
            <w:r>
              <w:rPr>
                <w:rFonts w:hint="default" w:ascii="Times New Roman" w:hAnsi="Times New Roman" w:eastAsia="新宋体" w:cs="Times New Roman"/>
                <w:sz w:val="24"/>
              </w:rPr>
              <w:t>（1）环境空气</w:t>
            </w:r>
          </w:p>
          <w:p>
            <w:pPr>
              <w:spacing w:line="360" w:lineRule="auto"/>
              <w:ind w:firstLine="480" w:firstLineChars="200"/>
              <w:jc w:val="both"/>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项目所在地环境空气质量功能区属二类区，执行《环境空气质量标准》（GB3095-2012）二级标准。</w:t>
            </w:r>
          </w:p>
          <w:p>
            <w:pPr>
              <w:spacing w:line="360" w:lineRule="auto"/>
              <w:ind w:firstLine="480" w:firstLineChars="200"/>
              <w:jc w:val="both"/>
              <w:rPr>
                <w:rFonts w:hint="default" w:ascii="Times New Roman" w:hAnsi="Times New Roman" w:eastAsia="新宋体" w:cs="Times New Roman"/>
                <w:sz w:val="24"/>
              </w:rPr>
            </w:pPr>
            <w:r>
              <w:rPr>
                <w:rFonts w:hint="eastAsia" w:ascii="Times New Roman" w:hAnsi="Times New Roman" w:cs="Times New Roman"/>
                <w:color w:val="000000"/>
                <w:sz w:val="24"/>
                <w:szCs w:val="24"/>
                <w:lang w:eastAsia="zh-CN"/>
              </w:rPr>
              <w:t>根据鄄城县人民政府2020年07月23日发布的《2020年1~5月鄄城县环境质量排名》可知，项目选址区域拟建项目所在区域环境空气中PM2.5均值为63</w:t>
            </w:r>
            <w:r>
              <w:rPr>
                <w:rFonts w:hint="default" w:ascii="Times New Roman" w:hAnsi="Times New Roman" w:cs="Times New Roman"/>
                <w:color w:val="000000"/>
                <w:sz w:val="24"/>
                <w:szCs w:val="24"/>
                <w:lang w:eastAsia="zh-CN"/>
              </w:rPr>
              <w:t>μ</w:t>
            </w:r>
            <w:r>
              <w:rPr>
                <w:rFonts w:hint="eastAsia" w:ascii="Times New Roman" w:hAnsi="Times New Roman" w:cs="Times New Roman"/>
                <w:color w:val="000000"/>
                <w:sz w:val="24"/>
                <w:szCs w:val="24"/>
                <w:lang w:eastAsia="zh-CN"/>
              </w:rPr>
              <w:t>g/m</w:t>
            </w:r>
            <w:r>
              <w:rPr>
                <w:rFonts w:hint="eastAsia" w:ascii="Times New Roman" w:hAnsi="Times New Roman" w:cs="Times New Roman"/>
                <w:color w:val="000000"/>
                <w:sz w:val="24"/>
                <w:szCs w:val="24"/>
                <w:vertAlign w:val="superscript"/>
                <w:lang w:eastAsia="zh-CN"/>
              </w:rPr>
              <w:t>3</w:t>
            </w:r>
            <w:r>
              <w:rPr>
                <w:rFonts w:hint="eastAsia" w:ascii="Times New Roman" w:hAnsi="Times New Roman" w:cs="Times New Roman"/>
                <w:color w:val="000000"/>
                <w:sz w:val="24"/>
                <w:szCs w:val="24"/>
                <w:lang w:eastAsia="zh-CN"/>
              </w:rPr>
              <w:t>，PM10均值为108</w:t>
            </w:r>
            <w:r>
              <w:rPr>
                <w:rFonts w:hint="default" w:ascii="Times New Roman" w:hAnsi="Times New Roman" w:eastAsia="宋体" w:cs="Times New Roman"/>
                <w:color w:val="000000"/>
                <w:sz w:val="24"/>
                <w:szCs w:val="24"/>
                <w:lang w:eastAsia="zh-CN"/>
              </w:rPr>
              <w:t>μ</w:t>
            </w:r>
            <w:r>
              <w:rPr>
                <w:rFonts w:hint="eastAsia" w:ascii="Times New Roman" w:hAnsi="Times New Roman" w:cs="Times New Roman"/>
                <w:color w:val="000000"/>
                <w:sz w:val="24"/>
                <w:szCs w:val="24"/>
                <w:lang w:eastAsia="zh-CN"/>
              </w:rPr>
              <w:t>g/m</w:t>
            </w:r>
            <w:r>
              <w:rPr>
                <w:rFonts w:hint="eastAsia" w:ascii="Times New Roman" w:hAnsi="Times New Roman" w:cs="Times New Roman"/>
                <w:color w:val="000000"/>
                <w:sz w:val="24"/>
                <w:szCs w:val="24"/>
                <w:vertAlign w:val="superscript"/>
                <w:lang w:eastAsia="zh-CN"/>
              </w:rPr>
              <w:t>3</w:t>
            </w:r>
            <w:r>
              <w:rPr>
                <w:rFonts w:hint="eastAsia" w:ascii="Times New Roman" w:hAnsi="Times New Roman" w:cs="Times New Roman"/>
                <w:color w:val="000000"/>
                <w:sz w:val="24"/>
                <w:szCs w:val="24"/>
                <w:lang w:eastAsia="zh-CN"/>
              </w:rPr>
              <w:t>，项目所在区域为达标区。</w:t>
            </w:r>
          </w:p>
          <w:p>
            <w:pPr>
              <w:spacing w:line="360" w:lineRule="auto"/>
              <w:ind w:firstLine="480" w:firstLineChars="200"/>
              <w:jc w:val="both"/>
              <w:rPr>
                <w:rFonts w:hint="default" w:ascii="Times New Roman" w:hAnsi="Times New Roman" w:eastAsia="新宋体" w:cs="Times New Roman"/>
                <w:sz w:val="24"/>
              </w:rPr>
            </w:pPr>
            <w:r>
              <w:rPr>
                <w:rFonts w:hint="default" w:ascii="Times New Roman" w:hAnsi="Times New Roman" w:eastAsia="新宋体" w:cs="Times New Roman"/>
                <w:sz w:val="24"/>
              </w:rPr>
              <w:t>（2）水环境</w:t>
            </w:r>
          </w:p>
          <w:p>
            <w:pPr>
              <w:spacing w:line="360" w:lineRule="auto"/>
              <w:ind w:firstLine="480" w:firstLineChars="200"/>
              <w:jc w:val="both"/>
              <w:rPr>
                <w:rFonts w:hint="default" w:ascii="Times New Roman" w:hAnsi="Times New Roman" w:cs="Times New Roman"/>
                <w:sz w:val="24"/>
              </w:rPr>
            </w:pPr>
            <w:r>
              <w:rPr>
                <w:rFonts w:hint="eastAsia" w:ascii="Times New Roman" w:hAnsi="Times New Roman" w:eastAsia="宋体" w:cs="Times New Roman"/>
                <w:sz w:val="24"/>
                <w:highlight w:val="none"/>
                <w:lang w:eastAsia="zh-CN"/>
              </w:rPr>
              <w:t>四干渠水质已不能满足《地表水环境质量标准》</w:t>
            </w:r>
            <w:r>
              <w:rPr>
                <w:rFonts w:hint="eastAsia" w:ascii="Times New Roman" w:hAnsi="Times New Roman" w:cs="Times New Roman"/>
                <w:sz w:val="24"/>
                <w:highlight w:val="none"/>
                <w:lang w:eastAsia="zh-CN"/>
              </w:rPr>
              <w:t>（</w:t>
            </w:r>
            <w:r>
              <w:rPr>
                <w:rFonts w:hint="eastAsia" w:ascii="Times New Roman" w:hAnsi="Times New Roman" w:eastAsia="宋体" w:cs="Times New Roman"/>
                <w:sz w:val="24"/>
                <w:highlight w:val="none"/>
                <w:lang w:eastAsia="zh-CN"/>
              </w:rPr>
              <w:t>GB3838-2002</w:t>
            </w:r>
            <w:r>
              <w:rPr>
                <w:rFonts w:hint="eastAsia" w:ascii="Times New Roman" w:hAnsi="Times New Roman" w:cs="Times New Roman"/>
                <w:sz w:val="24"/>
                <w:highlight w:val="none"/>
                <w:lang w:eastAsia="zh-CN"/>
              </w:rPr>
              <w:t>）</w:t>
            </w:r>
            <w:r>
              <w:rPr>
                <w:rFonts w:hint="eastAsia" w:ascii="Times New Roman" w:hAnsi="Times New Roman" w:eastAsia="宋体" w:cs="Times New Roman"/>
                <w:sz w:val="24"/>
                <w:highlight w:val="none"/>
                <w:lang w:eastAsia="zh-CN"/>
              </w:rPr>
              <w:t>中III类标准的要求。四干渠河流断面水质超标的原因主要为</w:t>
            </w:r>
            <w:r>
              <w:rPr>
                <w:rFonts w:hint="eastAsia" w:ascii="Times New Roman" w:hAnsi="Times New Roman" w:cs="Times New Roman"/>
                <w:sz w:val="24"/>
                <w:highlight w:val="none"/>
                <w:lang w:eastAsia="zh-CN"/>
              </w:rPr>
              <w:t>：</w:t>
            </w:r>
            <w:r>
              <w:rPr>
                <w:rFonts w:hint="eastAsia" w:ascii="Times New Roman" w:hAnsi="Times New Roman" w:eastAsia="宋体" w:cs="Times New Roman"/>
                <w:sz w:val="24"/>
                <w:highlight w:val="none"/>
                <w:lang w:eastAsia="zh-CN"/>
              </w:rPr>
              <w:t>一是鄄城县经济开发区污水处理厂处理达标后的废水均排入四干渠，超出了河流水质的自身净化能力</w:t>
            </w:r>
            <w:r>
              <w:rPr>
                <w:rFonts w:hint="eastAsia" w:ascii="Times New Roman" w:hAnsi="Times New Roman" w:cs="Times New Roman"/>
                <w:sz w:val="24"/>
                <w:highlight w:val="none"/>
                <w:lang w:eastAsia="zh-CN"/>
              </w:rPr>
              <w:t>；</w:t>
            </w:r>
            <w:r>
              <w:rPr>
                <w:rFonts w:hint="eastAsia" w:ascii="Times New Roman" w:hAnsi="Times New Roman" w:eastAsia="宋体" w:cs="Times New Roman"/>
                <w:sz w:val="24"/>
                <w:highlight w:val="none"/>
                <w:lang w:eastAsia="zh-CN"/>
              </w:rPr>
              <w:t>二是鄄城县部分道路雨水和污水排放管网共用</w:t>
            </w:r>
            <w:r>
              <w:rPr>
                <w:rFonts w:hint="eastAsia" w:ascii="Times New Roman" w:hAnsi="Times New Roman" w:cs="Times New Roman"/>
                <w:sz w:val="24"/>
                <w:highlight w:val="none"/>
                <w:lang w:eastAsia="zh-CN"/>
              </w:rPr>
              <w:t>，</w:t>
            </w:r>
            <w:r>
              <w:rPr>
                <w:rFonts w:hint="eastAsia" w:ascii="Times New Roman" w:hAnsi="Times New Roman" w:eastAsia="宋体" w:cs="Times New Roman"/>
                <w:sz w:val="24"/>
                <w:highlight w:val="none"/>
                <w:lang w:eastAsia="zh-CN"/>
              </w:rPr>
              <w:t>面源污染导致雨水水质较差，进而导致污水水质较差</w:t>
            </w:r>
            <w:r>
              <w:rPr>
                <w:rFonts w:hint="default" w:ascii="Times New Roman" w:hAnsi="Times New Roman" w:cs="Times New Roman"/>
                <w:sz w:val="24"/>
              </w:rPr>
              <w:t>。</w:t>
            </w:r>
          </w:p>
          <w:p>
            <w:pPr>
              <w:spacing w:line="360" w:lineRule="auto"/>
              <w:ind w:firstLine="436" w:firstLineChars="182"/>
              <w:jc w:val="both"/>
              <w:rPr>
                <w:rFonts w:hint="default" w:ascii="Times New Roman" w:hAnsi="Times New Roman" w:eastAsia="新宋体" w:cs="Times New Roman"/>
                <w:sz w:val="24"/>
              </w:rPr>
            </w:pPr>
            <w:r>
              <w:rPr>
                <w:rFonts w:hint="default" w:ascii="Times New Roman" w:hAnsi="Times New Roman" w:eastAsia="新宋体" w:cs="Times New Roman"/>
                <w:sz w:val="24"/>
              </w:rPr>
              <w:t>（3）声环境</w:t>
            </w:r>
          </w:p>
          <w:p>
            <w:pPr>
              <w:spacing w:line="360" w:lineRule="auto"/>
              <w:ind w:firstLine="480" w:firstLineChars="200"/>
              <w:jc w:val="both"/>
              <w:rPr>
                <w:rFonts w:hint="default" w:ascii="Times New Roman" w:hAnsi="Times New Roman" w:eastAsia="新宋体" w:cs="Times New Roman"/>
                <w:sz w:val="24"/>
              </w:rPr>
            </w:pPr>
            <w:r>
              <w:rPr>
                <w:rFonts w:hint="default" w:ascii="Times New Roman" w:hAnsi="Times New Roman" w:eastAsia="新宋体" w:cs="Times New Roman"/>
                <w:sz w:val="24"/>
              </w:rPr>
              <w:t>项目所在地厂界周围环境噪声质量符合《声环境质量标准》（GB3096--2008）</w:t>
            </w:r>
            <w:r>
              <w:rPr>
                <w:rFonts w:hint="eastAsia" w:ascii="Times New Roman" w:hAnsi="Times New Roman" w:eastAsia="新宋体" w:cs="Times New Roman"/>
                <w:sz w:val="24"/>
                <w:lang w:val="en-US" w:eastAsia="zh-CN"/>
              </w:rPr>
              <w:t>3</w:t>
            </w:r>
            <w:r>
              <w:rPr>
                <w:rFonts w:hint="default" w:ascii="Times New Roman" w:hAnsi="Times New Roman" w:eastAsia="新宋体" w:cs="Times New Roman"/>
                <w:sz w:val="24"/>
              </w:rPr>
              <w:t>类标准，声环境质量较好。</w:t>
            </w:r>
          </w:p>
          <w:p>
            <w:pPr>
              <w:spacing w:line="360" w:lineRule="auto"/>
              <w:ind w:firstLine="480" w:firstLineChars="200"/>
              <w:jc w:val="both"/>
              <w:rPr>
                <w:rFonts w:hint="default" w:ascii="Times New Roman" w:hAnsi="Times New Roman" w:eastAsia="新宋体" w:cs="Times New Roman"/>
                <w:sz w:val="24"/>
              </w:rPr>
            </w:pPr>
            <w:r>
              <w:rPr>
                <w:rFonts w:hint="default" w:ascii="Times New Roman" w:hAnsi="Times New Roman" w:eastAsia="新宋体" w:cs="Times New Roman"/>
                <w:sz w:val="24"/>
              </w:rPr>
              <w:t>（4）</w:t>
            </w:r>
            <w:r>
              <w:rPr>
                <w:rFonts w:hint="eastAsia" w:ascii="Times New Roman" w:hAnsi="Times New Roman" w:eastAsia="新宋体" w:cs="Times New Roman"/>
                <w:sz w:val="24"/>
                <w:lang w:eastAsia="zh-CN"/>
              </w:rPr>
              <w:t>土壤</w:t>
            </w:r>
            <w:r>
              <w:rPr>
                <w:rFonts w:hint="default" w:ascii="Times New Roman" w:hAnsi="Times New Roman" w:eastAsia="新宋体" w:cs="Times New Roman"/>
                <w:sz w:val="24"/>
              </w:rPr>
              <w:t>环境</w:t>
            </w:r>
          </w:p>
          <w:p>
            <w:pPr>
              <w:spacing w:line="360" w:lineRule="auto"/>
              <w:ind w:firstLine="482"/>
              <w:jc w:val="both"/>
              <w:rPr>
                <w:rFonts w:hint="default" w:ascii="Times New Roman" w:hAnsi="Times New Roman" w:cs="Times New Roman"/>
                <w:color w:val="000000"/>
                <w:sz w:val="24"/>
              </w:rPr>
            </w:pPr>
            <w:r>
              <w:rPr>
                <w:rFonts w:hint="eastAsia" w:ascii="Times New Roman" w:hAnsi="Times New Roman" w:cs="Times New Roman"/>
                <w:b w:val="0"/>
                <w:bCs/>
                <w:sz w:val="24"/>
                <w:lang w:eastAsia="zh-CN"/>
              </w:rPr>
              <w:t>该项目所在区域土壤环境现状总体较好，符合《土壤环境质量</w:t>
            </w:r>
            <w:r>
              <w:rPr>
                <w:rFonts w:hint="eastAsia" w:ascii="Times New Roman" w:hAnsi="Times New Roman" w:cs="Times New Roman"/>
                <w:b w:val="0"/>
                <w:bCs/>
                <w:sz w:val="24"/>
                <w:lang w:val="en-US" w:eastAsia="zh-CN"/>
              </w:rPr>
              <w:t>-工业建设用地土壤污染风险管控标准</w:t>
            </w:r>
            <w:r>
              <w:rPr>
                <w:rFonts w:hint="eastAsia" w:ascii="Times New Roman" w:hAnsi="Times New Roman" w:cs="Times New Roman"/>
                <w:b w:val="0"/>
                <w:bCs/>
                <w:sz w:val="24"/>
                <w:lang w:eastAsia="zh-CN"/>
              </w:rPr>
              <w:t>》（</w:t>
            </w:r>
            <w:r>
              <w:rPr>
                <w:rFonts w:hint="eastAsia" w:ascii="Times New Roman" w:hAnsi="Times New Roman" w:cs="Times New Roman"/>
                <w:b w:val="0"/>
                <w:bCs/>
                <w:sz w:val="24"/>
                <w:lang w:val="en-US" w:eastAsia="zh-CN"/>
              </w:rPr>
              <w:t>GB36600-2018</w:t>
            </w:r>
            <w:r>
              <w:rPr>
                <w:rFonts w:hint="eastAsia" w:ascii="Times New Roman" w:hAnsi="Times New Roman" w:cs="Times New Roman"/>
                <w:b w:val="0"/>
                <w:bCs/>
                <w:sz w:val="24"/>
                <w:lang w:eastAsia="zh-CN"/>
              </w:rPr>
              <w:t>）中表</w:t>
            </w:r>
            <w:r>
              <w:rPr>
                <w:rFonts w:hint="eastAsia" w:ascii="Times New Roman" w:hAnsi="Times New Roman" w:cs="Times New Roman"/>
                <w:b w:val="0"/>
                <w:bCs/>
                <w:sz w:val="24"/>
                <w:lang w:val="en-US" w:eastAsia="zh-CN"/>
              </w:rPr>
              <w:t>1第二类用地筛选值标准的要求</w:t>
            </w:r>
            <w:r>
              <w:rPr>
                <w:rFonts w:hint="default" w:ascii="Times New Roman" w:hAnsi="Times New Roman" w:cs="Times New Roman"/>
                <w:color w:val="000000"/>
                <w:sz w:val="24"/>
              </w:rPr>
              <w:t>。</w:t>
            </w:r>
          </w:p>
          <w:p>
            <w:pPr>
              <w:pStyle w:val="37"/>
              <w:spacing w:line="360" w:lineRule="auto"/>
              <w:ind w:firstLine="482" w:firstLineChars="0"/>
              <w:jc w:val="both"/>
              <w:rPr>
                <w:rFonts w:hint="default" w:ascii="Times New Roman" w:hAnsi="Times New Roman" w:cs="Times New Roman"/>
                <w:b/>
                <w:sz w:val="24"/>
              </w:rPr>
            </w:pPr>
            <w:r>
              <w:rPr>
                <w:rFonts w:hint="default" w:ascii="Times New Roman" w:hAnsi="Times New Roman" w:cs="Times New Roman"/>
                <w:b/>
                <w:sz w:val="24"/>
              </w:rPr>
              <w:t>6、污染物排放及对环境影响情况</w:t>
            </w:r>
          </w:p>
          <w:p>
            <w:pPr>
              <w:spacing w:line="360" w:lineRule="auto"/>
              <w:ind w:firstLine="480" w:firstLineChars="200"/>
              <w:jc w:val="both"/>
              <w:rPr>
                <w:rFonts w:hint="eastAsia" w:ascii="Times New Roman" w:hAnsi="Times New Roman" w:eastAsia="宋体" w:cs="Times New Roman"/>
                <w:sz w:val="24"/>
                <w:lang w:eastAsia="zh-CN"/>
              </w:rPr>
            </w:pPr>
            <w:r>
              <w:rPr>
                <w:rFonts w:hint="eastAsia" w:ascii="Times New Roman" w:hAnsi="Times New Roman" w:cs="Times New Roman"/>
                <w:sz w:val="24"/>
                <w:lang w:eastAsia="zh-CN"/>
              </w:rPr>
              <w:t>本项目运营期的废气主要为泡酸过程中挥发处的极少的硫酸雾、氯化氢、氨气以及污水处理站产生的异味和食堂油烟废气。</w:t>
            </w:r>
          </w:p>
          <w:p>
            <w:pPr>
              <w:spacing w:line="480" w:lineRule="exact"/>
              <w:ind w:firstLine="480"/>
              <w:jc w:val="both"/>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w:t>
            </w:r>
            <w:r>
              <w:rPr>
                <w:rFonts w:hint="eastAsia" w:ascii="Times New Roman" w:hAnsi="Times New Roman" w:cs="Times New Roman"/>
                <w:sz w:val="24"/>
                <w:szCs w:val="24"/>
                <w:lang w:eastAsia="zh-CN"/>
              </w:rPr>
              <w:t>）污水处理站异味</w:t>
            </w:r>
          </w:p>
          <w:p>
            <w:pPr>
              <w:spacing w:line="480" w:lineRule="exact"/>
              <w:ind w:firstLine="480"/>
              <w:jc w:val="both"/>
              <w:rPr>
                <w:rFonts w:hint="default" w:ascii="Times New Roman" w:hAnsi="Times New Roman" w:cs="Times New Roman"/>
                <w:sz w:val="24"/>
                <w:szCs w:val="24"/>
                <w:lang w:val="en-US"/>
              </w:rPr>
            </w:pPr>
            <w:r>
              <w:rPr>
                <w:rFonts w:eastAsia="宋体"/>
                <w:b w:val="0"/>
                <w:bCs w:val="0"/>
                <w:sz w:val="24"/>
              </w:rPr>
              <w:t>本项目</w:t>
            </w:r>
            <w:r>
              <w:rPr>
                <w:rFonts w:hint="eastAsia" w:eastAsia="宋体"/>
                <w:b w:val="0"/>
                <w:bCs w:val="0"/>
                <w:sz w:val="24"/>
              </w:rPr>
              <w:t>厂区设污水处理站，污水处理站运行过程中</w:t>
            </w:r>
            <w:r>
              <w:rPr>
                <w:rFonts w:eastAsia="宋体"/>
                <w:b w:val="0"/>
                <w:bCs w:val="0"/>
                <w:sz w:val="24"/>
              </w:rPr>
              <w:t>会挥发出少量恶臭气体，主要是氨和硫化氢</w:t>
            </w:r>
            <w:r>
              <w:rPr>
                <w:rFonts w:hint="eastAsia" w:eastAsia="宋体"/>
                <w:b w:val="0"/>
                <w:bCs w:val="0"/>
                <w:sz w:val="24"/>
              </w:rPr>
              <w:t>。</w:t>
            </w:r>
            <w:r>
              <w:rPr>
                <w:rFonts w:hint="eastAsia" w:eastAsia="宋体"/>
                <w:b w:val="0"/>
                <w:bCs w:val="0"/>
                <w:sz w:val="24"/>
                <w:lang w:eastAsia="zh-CN"/>
              </w:rPr>
              <w:t>在采用污水生化处理设备加盖密闭，收集后经活性炭装置处理后，经</w:t>
            </w:r>
            <w:r>
              <w:rPr>
                <w:rFonts w:hint="eastAsia" w:eastAsia="宋体"/>
                <w:b w:val="0"/>
                <w:bCs w:val="0"/>
                <w:sz w:val="24"/>
                <w:lang w:val="en-US" w:eastAsia="zh-CN"/>
              </w:rPr>
              <w:t>15m排气筒P7排放</w:t>
            </w:r>
            <w:r>
              <w:rPr>
                <w:rFonts w:hint="eastAsia" w:eastAsia="宋体"/>
                <w:b w:val="0"/>
                <w:bCs w:val="0"/>
                <w:sz w:val="24"/>
                <w:lang w:eastAsia="zh-CN"/>
              </w:rPr>
              <w:t>，</w:t>
            </w:r>
            <w:r>
              <w:rPr>
                <w:rFonts w:hint="eastAsia" w:eastAsia="宋体"/>
                <w:b w:val="0"/>
                <w:bCs w:val="0"/>
                <w:sz w:val="24"/>
              </w:rPr>
              <w:t>本项目恶臭气体氨、硫化氢</w:t>
            </w:r>
            <w:r>
              <w:rPr>
                <w:rFonts w:hint="eastAsia" w:eastAsia="宋体"/>
                <w:b w:val="0"/>
                <w:bCs w:val="0"/>
                <w:sz w:val="24"/>
                <w:lang w:eastAsia="zh-CN"/>
              </w:rPr>
              <w:t>有</w:t>
            </w:r>
            <w:r>
              <w:rPr>
                <w:rFonts w:hint="eastAsia" w:eastAsia="宋体"/>
                <w:b w:val="0"/>
                <w:bCs w:val="0"/>
                <w:sz w:val="24"/>
              </w:rPr>
              <w:t>组织排放满足《恶臭污染物排放标准》（GB14554-1993）</w:t>
            </w:r>
            <w:r>
              <w:rPr>
                <w:rFonts w:hint="eastAsia"/>
                <w:kern w:val="0"/>
                <w:sz w:val="24"/>
                <w:lang w:eastAsia="zh-CN"/>
              </w:rPr>
              <w:t>表</w:t>
            </w:r>
            <w:r>
              <w:rPr>
                <w:rFonts w:hint="eastAsia"/>
                <w:kern w:val="0"/>
                <w:sz w:val="24"/>
                <w:lang w:val="en-US" w:eastAsia="zh-CN"/>
              </w:rPr>
              <w:t>2恶臭污染物排放标准</w:t>
            </w:r>
            <w:r>
              <w:rPr>
                <w:rFonts w:hint="eastAsia" w:ascii="Times New Roman" w:hAnsi="Times New Roman" w:cs="Times New Roman"/>
                <w:color w:val="auto"/>
                <w:sz w:val="24"/>
                <w:szCs w:val="24"/>
                <w:highlight w:val="none"/>
                <w:vertAlign w:val="baseline"/>
                <w:lang w:val="en-US" w:eastAsia="zh-CN"/>
              </w:rPr>
              <w:t>。</w:t>
            </w:r>
          </w:p>
          <w:p>
            <w:pPr>
              <w:spacing w:line="480" w:lineRule="exact"/>
              <w:ind w:firstLine="480"/>
              <w:jc w:val="both"/>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2</w:t>
            </w:r>
            <w:r>
              <w:rPr>
                <w:rFonts w:hint="eastAsia" w:ascii="Times New Roman" w:hAnsi="Times New Roman" w:cs="Times New Roman"/>
                <w:sz w:val="24"/>
                <w:szCs w:val="24"/>
                <w:highlight w:val="none"/>
                <w:lang w:eastAsia="zh-CN"/>
              </w:rPr>
              <w:t>）泡酸、中和挥发废气</w:t>
            </w:r>
          </w:p>
          <w:p>
            <w:pPr>
              <w:spacing w:line="480" w:lineRule="exact"/>
              <w:ind w:firstLine="480"/>
              <w:jc w:val="both"/>
              <w:rPr>
                <w:rFonts w:hint="eastAsia"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lang w:val="en-US" w:eastAsia="zh-CN"/>
              </w:rPr>
              <w:t>项目拟在泡酸工序上方设集气罩（收集效率90%），每2条生产线的废气收集后经1台碱式喷淋塔处理（处理效率90%），处理后经一根15m排气筒进行排放。项目共3条排酸排气筒（P1、P2、P3），</w:t>
            </w:r>
            <w:r>
              <w:rPr>
                <w:rFonts w:hint="eastAsia" w:ascii="Times New Roman" w:hAnsi="Times New Roman" w:cs="Times New Roman"/>
                <w:sz w:val="24"/>
                <w:szCs w:val="24"/>
                <w:highlight w:val="none"/>
                <w:lang w:eastAsia="zh-CN"/>
              </w:rPr>
              <w:t>硫酸雾、氯化氢排放可以满足</w:t>
            </w:r>
            <w:r>
              <w:rPr>
                <w:rFonts w:hint="default" w:ascii="Times New Roman" w:hAnsi="Times New Roman" w:cs="Times New Roman"/>
                <w:sz w:val="24"/>
                <w:highlight w:val="none"/>
              </w:rPr>
              <w:t>《大气污染物综合排放标准》（GB16297-1996）表2</w:t>
            </w:r>
            <w:r>
              <w:rPr>
                <w:rFonts w:hint="eastAsia" w:ascii="Times New Roman" w:hAnsi="Times New Roman" w:cs="Times New Roman"/>
                <w:sz w:val="24"/>
                <w:highlight w:val="none"/>
                <w:lang w:eastAsia="zh-CN"/>
              </w:rPr>
              <w:t>中相应</w:t>
            </w:r>
            <w:r>
              <w:rPr>
                <w:rFonts w:hint="default" w:ascii="Times New Roman" w:hAnsi="Times New Roman" w:cs="Times New Roman"/>
                <w:sz w:val="24"/>
                <w:highlight w:val="none"/>
              </w:rPr>
              <w:t>二级</w:t>
            </w:r>
            <w:r>
              <w:rPr>
                <w:rFonts w:hint="eastAsia" w:ascii="Times New Roman" w:hAnsi="Times New Roman" w:cs="Times New Roman"/>
                <w:sz w:val="24"/>
                <w:highlight w:val="none"/>
                <w:lang w:eastAsia="zh-CN"/>
              </w:rPr>
              <w:t>排放</w:t>
            </w:r>
            <w:r>
              <w:rPr>
                <w:rFonts w:hint="default" w:ascii="Times New Roman" w:hAnsi="Times New Roman" w:cs="Times New Roman"/>
                <w:sz w:val="24"/>
                <w:highlight w:val="none"/>
              </w:rPr>
              <w:t>标准</w:t>
            </w:r>
            <w:r>
              <w:rPr>
                <w:rFonts w:hint="eastAsia" w:ascii="Times New Roman" w:hAnsi="Times New Roman" w:cs="Times New Roman"/>
                <w:sz w:val="24"/>
                <w:highlight w:val="none"/>
                <w:lang w:eastAsia="zh-CN"/>
              </w:rPr>
              <w:t>（硫酸雾：</w:t>
            </w:r>
            <w:r>
              <w:rPr>
                <w:rFonts w:hint="eastAsia" w:ascii="Times New Roman" w:hAnsi="Times New Roman" w:cs="Times New Roman"/>
                <w:sz w:val="24"/>
                <w:highlight w:val="none"/>
                <w:lang w:val="en-US" w:eastAsia="zh-CN"/>
              </w:rPr>
              <w:t>45mg/m</w:t>
            </w:r>
            <w:r>
              <w:rPr>
                <w:rFonts w:hint="eastAsia" w:ascii="Times New Roman" w:hAnsi="Times New Roman" w:cs="Times New Roman"/>
                <w:sz w:val="24"/>
                <w:highlight w:val="none"/>
                <w:vertAlign w:val="superscript"/>
                <w:lang w:val="en-US" w:eastAsia="zh-CN"/>
              </w:rPr>
              <w:t>3</w:t>
            </w:r>
            <w:r>
              <w:rPr>
                <w:rFonts w:hint="eastAsia" w:ascii="Times New Roman" w:hAnsi="Times New Roman" w:cs="Times New Roman"/>
                <w:sz w:val="24"/>
                <w:highlight w:val="none"/>
                <w:lang w:val="en-US" w:eastAsia="zh-CN"/>
              </w:rPr>
              <w:t>、1.5kg/h；氯化氢：100mg/m</w:t>
            </w:r>
            <w:r>
              <w:rPr>
                <w:rFonts w:hint="eastAsia" w:ascii="Times New Roman" w:hAnsi="Times New Roman" w:cs="Times New Roman"/>
                <w:sz w:val="24"/>
                <w:highlight w:val="none"/>
                <w:vertAlign w:val="superscript"/>
                <w:lang w:val="en-US" w:eastAsia="zh-CN"/>
              </w:rPr>
              <w:t>3</w:t>
            </w:r>
            <w:r>
              <w:rPr>
                <w:rFonts w:hint="eastAsia" w:ascii="Times New Roman" w:hAnsi="Times New Roman" w:cs="Times New Roman"/>
                <w:sz w:val="24"/>
                <w:highlight w:val="none"/>
                <w:lang w:val="en-US" w:eastAsia="zh-CN"/>
              </w:rPr>
              <w:t>、0.26kg/h</w:t>
            </w:r>
            <w:r>
              <w:rPr>
                <w:rFonts w:hint="eastAsia" w:ascii="Times New Roman" w:hAnsi="Times New Roman" w:cs="Times New Roman"/>
                <w:sz w:val="24"/>
                <w:highlight w:val="none"/>
                <w:lang w:eastAsia="zh-CN"/>
              </w:rPr>
              <w:t>）。</w:t>
            </w:r>
          </w:p>
          <w:p>
            <w:pPr>
              <w:numPr>
                <w:ilvl w:val="0"/>
                <w:numId w:val="0"/>
              </w:numPr>
              <w:spacing w:line="480" w:lineRule="exact"/>
              <w:ind w:firstLine="480" w:firstLineChars="200"/>
              <w:jc w:val="both"/>
              <w:rPr>
                <w:rFonts w:hint="eastAsia" w:ascii="Times New Roman" w:hAnsi="Times New Roman" w:cs="Times New Roman"/>
                <w:sz w:val="24"/>
                <w:highlight w:val="none"/>
                <w:lang w:eastAsia="zh-CN"/>
              </w:rPr>
            </w:pPr>
            <w:r>
              <w:rPr>
                <w:rFonts w:hint="eastAsia" w:ascii="Times New Roman" w:hAnsi="Times New Roman" w:cs="Times New Roman"/>
                <w:sz w:val="24"/>
                <w:szCs w:val="24"/>
                <w:highlight w:val="none"/>
                <w:lang w:val="en-US" w:eastAsia="zh-CN"/>
              </w:rPr>
              <w:t>项目拟在中和工序上方设集气罩（收集效率90%），每2条生产线的废气收集后经1台酸式喷淋塔处理（处理效率90%），处理后经一根15m排气筒进行排放。项目共3条排碱排气筒（P4、P5、P6），</w:t>
            </w:r>
            <w:r>
              <w:rPr>
                <w:rFonts w:hint="eastAsia" w:ascii="Times New Roman" w:hAnsi="Times New Roman" w:cs="Times New Roman"/>
                <w:sz w:val="24"/>
                <w:szCs w:val="24"/>
                <w:highlight w:val="none"/>
                <w:lang w:eastAsia="zh-CN"/>
              </w:rPr>
              <w:t>氨排放可以满足</w:t>
            </w:r>
            <w:r>
              <w:rPr>
                <w:rFonts w:hint="eastAsia" w:ascii="Times New Roman" w:hAnsi="Times New Roman" w:cs="Times New Roman"/>
                <w:sz w:val="24"/>
                <w:highlight w:val="none"/>
                <w:lang w:eastAsia="zh-CN"/>
              </w:rPr>
              <w:t>《恶臭污染物排放标准》（</w:t>
            </w:r>
            <w:r>
              <w:rPr>
                <w:rFonts w:hint="eastAsia" w:ascii="Times New Roman" w:hAnsi="Times New Roman" w:cs="Times New Roman"/>
                <w:sz w:val="24"/>
                <w:highlight w:val="none"/>
                <w:lang w:val="en-US" w:eastAsia="zh-CN"/>
              </w:rPr>
              <w:t>GB14554-1993</w:t>
            </w:r>
            <w:r>
              <w:rPr>
                <w:rFonts w:hint="eastAsia" w:ascii="Times New Roman" w:hAnsi="Times New Roman" w:cs="Times New Roman"/>
                <w:sz w:val="24"/>
                <w:highlight w:val="none"/>
                <w:lang w:eastAsia="zh-CN"/>
              </w:rPr>
              <w:t>）</w:t>
            </w:r>
            <w:r>
              <w:rPr>
                <w:rFonts w:hint="default" w:ascii="Times New Roman" w:hAnsi="Times New Roman" w:cs="Times New Roman"/>
                <w:sz w:val="24"/>
                <w:highlight w:val="none"/>
              </w:rPr>
              <w:t>表2</w:t>
            </w:r>
            <w:r>
              <w:rPr>
                <w:rFonts w:hint="eastAsia" w:ascii="Times New Roman" w:hAnsi="Times New Roman" w:cs="Times New Roman"/>
                <w:sz w:val="24"/>
                <w:highlight w:val="none"/>
                <w:lang w:eastAsia="zh-CN"/>
              </w:rPr>
              <w:t>中的标准值要求（氨：</w:t>
            </w:r>
            <w:r>
              <w:rPr>
                <w:rFonts w:hint="eastAsia" w:ascii="Times New Roman" w:hAnsi="Times New Roman" w:cs="Times New Roman"/>
                <w:sz w:val="24"/>
                <w:highlight w:val="none"/>
                <w:lang w:val="en-US" w:eastAsia="zh-CN"/>
              </w:rPr>
              <w:t>4.9kg/h</w:t>
            </w:r>
            <w:r>
              <w:rPr>
                <w:rFonts w:hint="eastAsia" w:ascii="Times New Roman" w:hAnsi="Times New Roman" w:cs="Times New Roman"/>
                <w:sz w:val="24"/>
                <w:highlight w:val="none"/>
                <w:lang w:eastAsia="zh-CN"/>
              </w:rPr>
              <w:t>）。</w:t>
            </w:r>
          </w:p>
          <w:p>
            <w:pPr>
              <w:numPr>
                <w:ilvl w:val="0"/>
                <w:numId w:val="0"/>
              </w:numPr>
              <w:spacing w:line="480" w:lineRule="exact"/>
              <w:ind w:firstLine="480" w:firstLineChars="200"/>
              <w:jc w:val="both"/>
              <w:rPr>
                <w:rFonts w:hint="eastAsia" w:ascii="Times New Roman" w:hAnsi="Times New Roman" w:cs="Times New Roman"/>
                <w:sz w:val="24"/>
                <w:szCs w:val="24"/>
                <w:highlight w:val="none"/>
                <w:lang w:val="en-US" w:eastAsia="zh-CN"/>
              </w:rPr>
            </w:pPr>
            <w:r>
              <w:rPr>
                <w:rFonts w:hint="eastAsia" w:ascii="Times New Roman" w:hAnsi="Times New Roman" w:cs="Times New Roman"/>
                <w:sz w:val="24"/>
                <w:highlight w:val="none"/>
                <w:lang w:eastAsia="zh-CN"/>
              </w:rPr>
              <w:t>项目建设对周边大气环境和环境敏感点影响较小。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（3）食堂油烟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sz w:val="24"/>
              </w:rPr>
            </w:pPr>
            <w:r>
              <w:rPr>
                <w:rFonts w:hint="default" w:ascii="Times New Roman" w:hAnsi="Times New Roman" w:cs="Times New Roman"/>
                <w:sz w:val="24"/>
                <w:lang w:eastAsia="zh-CN"/>
              </w:rPr>
              <w:t>项目设有</w:t>
            </w:r>
            <w:r>
              <w:rPr>
                <w:rFonts w:hint="eastAsia" w:ascii="Times New Roman" w:hAnsi="Times New Roman" w:cs="Times New Roman"/>
                <w:sz w:val="24"/>
                <w:lang w:eastAsia="zh-CN"/>
              </w:rPr>
              <w:t>一</w:t>
            </w:r>
            <w:r>
              <w:rPr>
                <w:rFonts w:hint="default" w:ascii="Times New Roman" w:hAnsi="Times New Roman" w:cs="Times New Roman"/>
                <w:sz w:val="24"/>
              </w:rPr>
              <w:t>只基准灶头，</w:t>
            </w:r>
            <w:r>
              <w:rPr>
                <w:rFonts w:hint="default" w:ascii="Times New Roman" w:hAnsi="Times New Roman" w:cs="Times New Roman"/>
                <w:sz w:val="24"/>
                <w:lang w:eastAsia="zh-CN"/>
              </w:rPr>
              <w:t>属于小型饮食业单位。</w:t>
            </w:r>
            <w:r>
              <w:rPr>
                <w:rFonts w:hint="default" w:ascii="Times New Roman" w:hAnsi="Times New Roman" w:cs="Times New Roman"/>
                <w:sz w:val="24"/>
              </w:rPr>
              <w:t>其单灶头</w:t>
            </w:r>
            <w:r>
              <w:rPr>
                <w:rFonts w:hint="eastAsia" w:ascii="Times New Roman" w:hAnsi="Times New Roman" w:cs="Times New Roman"/>
                <w:sz w:val="24"/>
                <w:lang w:eastAsia="zh-CN"/>
              </w:rPr>
              <w:t>上方安装</w:t>
            </w:r>
            <w:r>
              <w:rPr>
                <w:rFonts w:hint="default" w:ascii="Times New Roman" w:hAnsi="Times New Roman" w:cs="Times New Roman"/>
                <w:sz w:val="24"/>
              </w:rPr>
              <w:t>吸排油烟机</w:t>
            </w:r>
            <w:r>
              <w:rPr>
                <w:rFonts w:hint="eastAsia"/>
                <w:sz w:val="24"/>
                <w:lang w:eastAsia="zh-CN"/>
              </w:rPr>
              <w:t>，油烟经高于食堂屋顶</w:t>
            </w:r>
            <w:r>
              <w:rPr>
                <w:rFonts w:hint="eastAsia"/>
                <w:sz w:val="24"/>
                <w:lang w:val="en-US" w:eastAsia="zh-CN"/>
              </w:rPr>
              <w:t>1.</w:t>
            </w:r>
            <w:r>
              <w:rPr>
                <w:rFonts w:hint="eastAsia"/>
                <w:sz w:val="24"/>
                <w:lang w:eastAsia="zh-CN"/>
              </w:rPr>
              <w:t>5米的排气筒排放，满足</w:t>
            </w:r>
            <w:r>
              <w:rPr>
                <w:rFonts w:hint="eastAsia"/>
                <w:sz w:val="24"/>
                <w:szCs w:val="24"/>
                <w:lang w:val="zh-CN"/>
              </w:rPr>
              <w:t>《</w:t>
            </w:r>
            <w:r>
              <w:rPr>
                <w:rFonts w:hint="eastAsia"/>
                <w:sz w:val="24"/>
                <w:szCs w:val="24"/>
                <w:lang w:eastAsia="zh-CN"/>
              </w:rPr>
              <w:t>山东省饮食油烟排放标准</w:t>
            </w:r>
            <w:r>
              <w:rPr>
                <w:rFonts w:hint="eastAsia"/>
                <w:sz w:val="24"/>
                <w:szCs w:val="24"/>
                <w:lang w:val="zh-CN"/>
              </w:rPr>
              <w:t>》</w:t>
            </w:r>
            <w:r>
              <w:rPr>
                <w:rFonts w:hint="eastAsia"/>
                <w:sz w:val="24"/>
                <w:szCs w:val="24"/>
                <w:lang w:eastAsia="zh-CN"/>
              </w:rPr>
              <w:t>(DB37/ 597—2006)表</w:t>
            </w:r>
            <w:r>
              <w:rPr>
                <w:rFonts w:hint="eastAsia"/>
                <w:sz w:val="24"/>
                <w:szCs w:val="24"/>
                <w:lang w:val="en-US" w:eastAsia="zh-CN"/>
              </w:rPr>
              <w:t>2中油烟最高允许排放浓度1.5mg/m</w:t>
            </w:r>
            <w:r>
              <w:rPr>
                <w:rFonts w:hint="eastAsia"/>
                <w:sz w:val="24"/>
                <w:szCs w:val="24"/>
                <w:vertAlign w:val="superscript"/>
                <w:lang w:val="en-US" w:eastAsia="zh-CN"/>
              </w:rPr>
              <w:t>3</w:t>
            </w:r>
            <w:r>
              <w:rPr>
                <w:rFonts w:hint="eastAsia"/>
                <w:sz w:val="24"/>
                <w:szCs w:val="24"/>
                <w:lang w:val="en-US" w:eastAsia="zh-CN"/>
              </w:rPr>
              <w:t>限值。</w:t>
            </w:r>
          </w:p>
          <w:p>
            <w:pPr>
              <w:pStyle w:val="2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cs="Times New Roman"/>
                <w:sz w:val="24"/>
              </w:rPr>
            </w:pPr>
            <w:r>
              <w:rPr>
                <w:rFonts w:hint="eastAsia"/>
                <w:sz w:val="24"/>
              </w:rPr>
              <w:t>该项目食堂燃料采用</w:t>
            </w:r>
            <w:r>
              <w:rPr>
                <w:rFonts w:hint="eastAsia"/>
                <w:sz w:val="24"/>
                <w:lang w:eastAsia="zh-CN"/>
              </w:rPr>
              <w:t>管道天然气</w:t>
            </w:r>
            <w:r>
              <w:rPr>
                <w:rFonts w:hint="eastAsia"/>
                <w:sz w:val="24"/>
              </w:rPr>
              <w:t>为清洁燃料，产生少量SO</w:t>
            </w:r>
            <w:r>
              <w:rPr>
                <w:rFonts w:hint="eastAsia"/>
                <w:sz w:val="24"/>
                <w:vertAlign w:val="subscript"/>
              </w:rPr>
              <w:t>2</w:t>
            </w:r>
            <w:r>
              <w:rPr>
                <w:rFonts w:hint="eastAsia"/>
                <w:sz w:val="24"/>
              </w:rPr>
              <w:t>、NO</w:t>
            </w:r>
            <w:r>
              <w:rPr>
                <w:rFonts w:hint="eastAsia"/>
                <w:sz w:val="24"/>
                <w:vertAlign w:val="subscript"/>
              </w:rPr>
              <w:t>X</w:t>
            </w:r>
            <w:r>
              <w:rPr>
                <w:rFonts w:hint="eastAsia"/>
                <w:sz w:val="24"/>
              </w:rPr>
              <w:t>和烟尘等污染物，由于项目规模较小，液化气用量较小，燃料废气产生量较小，本报告不做具体分析</w:t>
            </w:r>
            <w:r>
              <w:rPr>
                <w:rFonts w:hint="default" w:ascii="Times New Roman" w:hAnsi="Times New Roman" w:cs="Times New Roman"/>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outlineLvl w:val="9"/>
              <w:rPr>
                <w:rFonts w:hint="eastAsia" w:ascii="Times New Roman" w:hAnsi="Times New Roman" w:eastAsia="宋体" w:cs="Times New Roman"/>
                <w:sz w:val="24"/>
                <w:lang w:eastAsia="zh-CN"/>
              </w:rPr>
            </w:pPr>
            <w:r>
              <w:rPr>
                <w:rFonts w:hint="default" w:ascii="Times New Roman" w:hAnsi="Times New Roman" w:cs="Times New Roman"/>
                <w:sz w:val="24"/>
              </w:rPr>
              <w:t>（</w:t>
            </w:r>
            <w:r>
              <w:rPr>
                <w:rFonts w:hint="eastAsia" w:ascii="Times New Roman" w:hAnsi="Times New Roman" w:cs="Times New Roman"/>
                <w:sz w:val="24"/>
                <w:lang w:val="en-US" w:eastAsia="zh-CN"/>
              </w:rPr>
              <w:t>4</w:t>
            </w:r>
            <w:r>
              <w:rPr>
                <w:rFonts w:hint="default" w:ascii="Times New Roman" w:hAnsi="Times New Roman" w:cs="Times New Roman"/>
                <w:sz w:val="24"/>
              </w:rPr>
              <w:t>）无组织</w:t>
            </w:r>
            <w:r>
              <w:rPr>
                <w:rFonts w:hint="eastAsia" w:ascii="Times New Roman" w:hAnsi="Times New Roman" w:cs="Times New Roman"/>
                <w:sz w:val="24"/>
                <w:lang w:eastAsia="zh-CN"/>
              </w:rPr>
              <w:t>废气</w:t>
            </w:r>
          </w:p>
          <w:p>
            <w:pPr>
              <w:spacing w:line="360" w:lineRule="auto"/>
              <w:ind w:firstLine="480" w:firstLineChars="200"/>
              <w:jc w:val="both"/>
              <w:rPr>
                <w:rFonts w:hint="default" w:ascii="Times New Roman" w:hAnsi="Times New Roman" w:cs="Times New Roman"/>
                <w:sz w:val="24"/>
                <w:szCs w:val="22"/>
              </w:rPr>
            </w:pPr>
            <w:r>
              <w:rPr>
                <w:rFonts w:hint="default" w:ascii="Times New Roman" w:hAnsi="Times New Roman" w:cs="Times New Roman"/>
                <w:sz w:val="24"/>
              </w:rPr>
              <w:t>本项目无组织</w:t>
            </w:r>
            <w:r>
              <w:rPr>
                <w:rFonts w:hint="eastAsia" w:ascii="Times New Roman" w:hAnsi="Times New Roman" w:cs="Times New Roman"/>
                <w:sz w:val="24"/>
                <w:lang w:eastAsia="zh-CN"/>
              </w:rPr>
              <w:t>废气主要为未被收集的硫酸雾、氯化氢、氨气</w:t>
            </w:r>
            <w:r>
              <w:rPr>
                <w:rFonts w:hint="default" w:ascii="Times New Roman" w:hAnsi="Times New Roman" w:cs="Times New Roman"/>
                <w:sz w:val="24"/>
                <w:szCs w:val="22"/>
              </w:rPr>
              <w:t>。</w:t>
            </w:r>
          </w:p>
          <w:p>
            <w:pPr>
              <w:spacing w:line="480" w:lineRule="exact"/>
              <w:ind w:firstLine="480"/>
              <w:jc w:val="both"/>
              <w:rPr>
                <w:rFonts w:hint="default" w:ascii="Times New Roman" w:hAnsi="Times New Roman" w:eastAsia="新宋体" w:cs="Times New Roman"/>
                <w:sz w:val="24"/>
              </w:rPr>
            </w:pPr>
            <w:r>
              <w:rPr>
                <w:rFonts w:hint="eastAsia" w:ascii="Times New Roman" w:hAnsi="Times New Roman" w:cs="Times New Roman"/>
                <w:sz w:val="24"/>
                <w:szCs w:val="24"/>
                <w:lang w:val="en-US" w:eastAsia="zh-CN"/>
              </w:rPr>
              <w:t>项目未被收集的</w:t>
            </w:r>
            <w:r>
              <w:rPr>
                <w:rFonts w:hint="eastAsia" w:ascii="Times New Roman" w:hAnsi="Times New Roman" w:cs="Times New Roman"/>
                <w:sz w:val="24"/>
                <w:lang w:eastAsia="zh-CN"/>
              </w:rPr>
              <w:t>硫酸雾、氯化氢、氨气</w:t>
            </w:r>
            <w:r>
              <w:rPr>
                <w:rFonts w:hint="eastAsia" w:ascii="Times New Roman" w:hAnsi="Times New Roman" w:cs="Times New Roman"/>
                <w:kern w:val="2"/>
                <w:sz w:val="24"/>
                <w:szCs w:val="24"/>
                <w:lang w:val="en-US" w:eastAsia="zh-CN" w:bidi="ar-SA"/>
              </w:rPr>
              <w:t>。通过采取车间密闭等措施，项目厂界硫酸雾、氯化氢排放满足</w:t>
            </w:r>
            <w:r>
              <w:rPr>
                <w:rFonts w:hint="default" w:ascii="Times New Roman" w:hAnsi="Times New Roman" w:cs="Times New Roman"/>
                <w:sz w:val="24"/>
                <w:highlight w:val="none"/>
              </w:rPr>
              <w:t>《大气污染物综合排放标准》（GB16297-1996）表2</w:t>
            </w:r>
            <w:r>
              <w:rPr>
                <w:rFonts w:hint="eastAsia" w:ascii="Times New Roman" w:hAnsi="Times New Roman" w:cs="Times New Roman"/>
                <w:sz w:val="24"/>
                <w:highlight w:val="none"/>
                <w:lang w:eastAsia="zh-CN"/>
              </w:rPr>
              <w:t>中厂界浓度标准</w:t>
            </w:r>
            <w:r>
              <w:rPr>
                <w:rFonts w:hint="eastAsia" w:ascii="Times New Roman" w:hAnsi="Times New Roman" w:cs="Times New Roman"/>
                <w:kern w:val="2"/>
                <w:sz w:val="24"/>
                <w:szCs w:val="24"/>
                <w:lang w:val="en-US" w:eastAsia="zh-CN" w:bidi="ar-SA"/>
              </w:rPr>
              <w:t>，</w:t>
            </w:r>
            <w:r>
              <w:rPr>
                <w:rFonts w:hint="eastAsia" w:ascii="Times New Roman" w:hAnsi="Times New Roman" w:cs="Times New Roman"/>
                <w:sz w:val="24"/>
                <w:szCs w:val="24"/>
                <w:highlight w:val="none"/>
                <w:lang w:eastAsia="zh-CN"/>
              </w:rPr>
              <w:t>氨排放可以满足</w:t>
            </w:r>
            <w:r>
              <w:rPr>
                <w:rFonts w:hint="eastAsia" w:ascii="Times New Roman" w:hAnsi="Times New Roman" w:cs="Times New Roman"/>
                <w:sz w:val="24"/>
                <w:highlight w:val="none"/>
                <w:lang w:eastAsia="zh-CN"/>
              </w:rPr>
              <w:t>《恶臭污染物排放标准》（</w:t>
            </w:r>
            <w:r>
              <w:rPr>
                <w:rFonts w:hint="eastAsia" w:ascii="Times New Roman" w:hAnsi="Times New Roman" w:cs="Times New Roman"/>
                <w:sz w:val="24"/>
                <w:highlight w:val="none"/>
                <w:lang w:val="en-US" w:eastAsia="zh-CN"/>
              </w:rPr>
              <w:t>GB14554-1993</w:t>
            </w:r>
            <w:r>
              <w:rPr>
                <w:rFonts w:hint="eastAsia" w:ascii="Times New Roman" w:hAnsi="Times New Roman" w:cs="Times New Roman"/>
                <w:sz w:val="24"/>
                <w:highlight w:val="none"/>
                <w:lang w:eastAsia="zh-CN"/>
              </w:rPr>
              <w:t>）</w:t>
            </w:r>
            <w:r>
              <w:rPr>
                <w:rFonts w:hint="default" w:ascii="Times New Roman" w:hAnsi="Times New Roman" w:cs="Times New Roman"/>
                <w:sz w:val="24"/>
                <w:highlight w:val="none"/>
              </w:rPr>
              <w:t>表</w:t>
            </w:r>
            <w:r>
              <w:rPr>
                <w:rFonts w:hint="eastAsia" w:ascii="Times New Roman" w:hAnsi="Times New Roman" w:cs="Times New Roman"/>
                <w:sz w:val="24"/>
                <w:highlight w:val="none"/>
                <w:lang w:val="en-US" w:eastAsia="zh-CN"/>
              </w:rPr>
              <w:t>1</w:t>
            </w:r>
            <w:r>
              <w:rPr>
                <w:rFonts w:hint="eastAsia" w:ascii="Times New Roman" w:hAnsi="Times New Roman" w:cs="Times New Roman"/>
                <w:sz w:val="24"/>
                <w:highlight w:val="none"/>
                <w:lang w:eastAsia="zh-CN"/>
              </w:rPr>
              <w:t>厂界浓度二级标准。</w:t>
            </w:r>
            <w:r>
              <w:rPr>
                <w:rFonts w:hint="default" w:ascii="Times New Roman" w:hAnsi="Times New Roman" w:cs="Times New Roman"/>
                <w:kern w:val="0"/>
                <w:sz w:val="24"/>
              </w:rPr>
              <w:t>对周围大气环境影响很小</w:t>
            </w:r>
            <w:r>
              <w:rPr>
                <w:rFonts w:hint="default" w:ascii="Times New Roman" w:hAnsi="Times New Roman" w:cs="Times New Roman"/>
                <w:sz w:val="24"/>
              </w:rPr>
              <w:t>。</w:t>
            </w:r>
          </w:p>
          <w:p>
            <w:pPr>
              <w:spacing w:line="360" w:lineRule="auto"/>
              <w:ind w:firstLine="480" w:firstLineChars="200"/>
              <w:jc w:val="both"/>
              <w:rPr>
                <w:rFonts w:hint="default" w:ascii="Times New Roman" w:hAnsi="Times New Roman" w:cs="Times New Roman"/>
                <w:color w:val="000000"/>
                <w:sz w:val="24"/>
              </w:rPr>
            </w:pPr>
            <w:r>
              <w:rPr>
                <w:rFonts w:hint="default" w:ascii="Times New Roman" w:hAnsi="Times New Roman" w:cs="Times New Roman"/>
                <w:color w:val="000000"/>
                <w:sz w:val="24"/>
              </w:rPr>
              <w:t>（2）废水</w:t>
            </w:r>
          </w:p>
          <w:p>
            <w:pPr>
              <w:spacing w:line="360" w:lineRule="auto"/>
              <w:ind w:firstLine="480" w:firstLineChars="200"/>
              <w:jc w:val="both"/>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项目运营期废水主要为生产废水（泡酸去鳞片、中和、清洗过程中产生）、</w:t>
            </w:r>
            <w:r>
              <w:rPr>
                <w:rFonts w:hint="eastAsia" w:ascii="Times New Roman" w:hAnsi="Times New Roman" w:cs="Times New Roman"/>
                <w:bCs/>
                <w:sz w:val="24"/>
                <w:highlight w:val="none"/>
                <w:lang w:val="en-GB" w:eastAsia="zh-CN"/>
              </w:rPr>
              <w:t>喷淋塔定期排水</w:t>
            </w:r>
            <w:r>
              <w:rPr>
                <w:rFonts w:hint="eastAsia" w:ascii="Times New Roman" w:hAnsi="Times New Roman" w:cs="Times New Roman"/>
                <w:sz w:val="24"/>
                <w:szCs w:val="24"/>
                <w:lang w:eastAsia="zh-CN"/>
              </w:rPr>
              <w:t>及生活废水。</w:t>
            </w:r>
          </w:p>
          <w:p>
            <w:pPr>
              <w:spacing w:line="360" w:lineRule="auto"/>
              <w:ind w:firstLine="480" w:firstLineChars="200"/>
              <w:jc w:val="left"/>
              <w:rPr>
                <w:rFonts w:hint="default" w:ascii="Times New Roman" w:hAnsi="Times New Roman" w:eastAsia="宋体" w:cs="Times New Roman"/>
                <w:sz w:val="24"/>
                <w:lang w:val="en-US" w:eastAsia="zh-CN"/>
              </w:rPr>
            </w:pPr>
            <w:r>
              <w:rPr>
                <w:rFonts w:hint="eastAsia" w:ascii="Times New Roman" w:hAnsi="Times New Roman" w:cs="Times New Roman"/>
                <w:sz w:val="24"/>
                <w:lang w:eastAsia="zh-CN"/>
              </w:rPr>
              <w:t>生产废水产生量</w:t>
            </w:r>
            <w:r>
              <w:rPr>
                <w:rFonts w:hint="eastAsia" w:ascii="Times New Roman" w:hAnsi="Times New Roman" w:cs="Times New Roman"/>
                <w:sz w:val="24"/>
                <w:lang w:val="en-US" w:eastAsia="zh-CN"/>
              </w:rPr>
              <w:t>约为11200m</w:t>
            </w:r>
            <w:r>
              <w:rPr>
                <w:rFonts w:hint="eastAsia" w:ascii="Times New Roman" w:hAnsi="Times New Roman" w:cs="Times New Roman"/>
                <w:sz w:val="24"/>
                <w:vertAlign w:val="superscript"/>
                <w:lang w:val="en-US" w:eastAsia="zh-CN"/>
              </w:rPr>
              <w:t>3</w:t>
            </w:r>
            <w:r>
              <w:rPr>
                <w:rFonts w:hint="eastAsia" w:ascii="Times New Roman" w:hAnsi="Times New Roman" w:cs="Times New Roman"/>
                <w:sz w:val="24"/>
                <w:lang w:val="en-US" w:eastAsia="zh-CN"/>
              </w:rPr>
              <w:t>/a，主要污染物为COD、BOD</w:t>
            </w:r>
            <w:r>
              <w:rPr>
                <w:rFonts w:hint="eastAsia" w:ascii="Times New Roman" w:hAnsi="Times New Roman" w:cs="Times New Roman"/>
                <w:sz w:val="24"/>
                <w:vertAlign w:val="subscript"/>
                <w:lang w:val="en-US" w:eastAsia="zh-CN"/>
              </w:rPr>
              <w:t>5</w:t>
            </w:r>
            <w:r>
              <w:rPr>
                <w:rFonts w:hint="eastAsia" w:ascii="Times New Roman" w:hAnsi="Times New Roman" w:cs="Times New Roman"/>
                <w:sz w:val="24"/>
                <w:lang w:val="en-US" w:eastAsia="zh-CN"/>
              </w:rPr>
              <w:t>、SS、氨氮、PH和色度，各污染物的产生量为COD：11.82t/a、BOD</w:t>
            </w:r>
            <w:r>
              <w:rPr>
                <w:rFonts w:hint="eastAsia" w:ascii="Times New Roman" w:hAnsi="Times New Roman" w:cs="Times New Roman"/>
                <w:sz w:val="24"/>
                <w:vertAlign w:val="subscript"/>
                <w:lang w:val="en-US" w:eastAsia="zh-CN"/>
              </w:rPr>
              <w:t>5</w:t>
            </w:r>
            <w:r>
              <w:rPr>
                <w:rFonts w:hint="eastAsia" w:ascii="Times New Roman" w:hAnsi="Times New Roman" w:cs="Times New Roman"/>
                <w:sz w:val="24"/>
                <w:vertAlign w:val="baseline"/>
                <w:lang w:val="en-US" w:eastAsia="zh-CN"/>
              </w:rPr>
              <w:t>：3.39</w:t>
            </w:r>
            <w:r>
              <w:rPr>
                <w:rFonts w:hint="eastAsia" w:ascii="Times New Roman" w:hAnsi="Times New Roman" w:cs="Times New Roman"/>
                <w:sz w:val="24"/>
                <w:lang w:val="en-US" w:eastAsia="zh-CN"/>
              </w:rPr>
              <w:t>t/a、SS：3.27t/a、氨氮：3.70t/a。</w:t>
            </w:r>
          </w:p>
          <w:p>
            <w:pPr>
              <w:spacing w:line="360" w:lineRule="auto"/>
              <w:ind w:firstLine="480" w:firstLineChars="200"/>
              <w:jc w:val="both"/>
              <w:rPr>
                <w:rFonts w:hint="default" w:ascii="Times New Roman" w:hAnsi="Times New Roman" w:cs="Times New Roman"/>
                <w:sz w:val="24"/>
              </w:rPr>
            </w:pPr>
            <w:r>
              <w:rPr>
                <w:rFonts w:hint="eastAsia"/>
                <w:color w:val="000000"/>
                <w:sz w:val="24"/>
                <w:szCs w:val="24"/>
                <w:highlight w:val="none"/>
                <w:lang w:val="en-US" w:eastAsia="zh-CN"/>
              </w:rPr>
              <w:t>喷淋塔定期外排水为9m</w:t>
            </w:r>
            <w:r>
              <w:rPr>
                <w:rFonts w:hint="eastAsia"/>
                <w:color w:val="000000"/>
                <w:sz w:val="24"/>
                <w:szCs w:val="24"/>
                <w:highlight w:val="none"/>
                <w:vertAlign w:val="superscript"/>
                <w:lang w:val="en-US" w:eastAsia="zh-CN"/>
              </w:rPr>
              <w:t>3</w:t>
            </w:r>
            <w:r>
              <w:rPr>
                <w:rFonts w:hint="eastAsia"/>
                <w:color w:val="000000"/>
                <w:sz w:val="24"/>
                <w:szCs w:val="24"/>
                <w:highlight w:val="none"/>
                <w:lang w:val="en-US" w:eastAsia="zh-CN"/>
              </w:rPr>
              <w:t>/a，</w:t>
            </w:r>
            <w:r>
              <w:rPr>
                <w:rFonts w:hint="eastAsia" w:ascii="Times New Roman" w:hAnsi="Times New Roman" w:cs="Times New Roman"/>
                <w:sz w:val="24"/>
                <w:lang w:val="en-US" w:eastAsia="zh-CN"/>
              </w:rPr>
              <w:t>主要污染物为COD、BOD</w:t>
            </w:r>
            <w:r>
              <w:rPr>
                <w:rFonts w:hint="eastAsia" w:ascii="Times New Roman" w:hAnsi="Times New Roman" w:cs="Times New Roman"/>
                <w:sz w:val="24"/>
                <w:vertAlign w:val="subscript"/>
                <w:lang w:val="en-US" w:eastAsia="zh-CN"/>
              </w:rPr>
              <w:t>5</w:t>
            </w:r>
            <w:r>
              <w:rPr>
                <w:rFonts w:hint="eastAsia" w:ascii="Times New Roman" w:hAnsi="Times New Roman" w:cs="Times New Roman"/>
                <w:sz w:val="24"/>
                <w:lang w:val="en-US" w:eastAsia="zh-CN"/>
              </w:rPr>
              <w:t>、SS、氨氮，污染物浓度分别为COD：200mg/L、BOD</w:t>
            </w:r>
            <w:r>
              <w:rPr>
                <w:rFonts w:hint="eastAsia" w:ascii="Times New Roman" w:hAnsi="Times New Roman" w:cs="Times New Roman"/>
                <w:sz w:val="24"/>
                <w:vertAlign w:val="subscript"/>
                <w:lang w:val="en-US" w:eastAsia="zh-CN"/>
              </w:rPr>
              <w:t>5</w:t>
            </w:r>
            <w:r>
              <w:rPr>
                <w:rFonts w:hint="eastAsia" w:ascii="Times New Roman" w:hAnsi="Times New Roman" w:cs="Times New Roman"/>
                <w:sz w:val="24"/>
                <w:vertAlign w:val="baseline"/>
                <w:lang w:val="en-US" w:eastAsia="zh-CN"/>
              </w:rPr>
              <w:t>：100</w:t>
            </w:r>
            <w:r>
              <w:rPr>
                <w:rFonts w:hint="eastAsia" w:ascii="Times New Roman" w:hAnsi="Times New Roman" w:cs="Times New Roman"/>
                <w:sz w:val="24"/>
                <w:lang w:val="en-US" w:eastAsia="zh-CN"/>
              </w:rPr>
              <w:t>mg/L、SS：50mg/L、氨氮：20mg/L。各污染物的产生量为COD：0.0018t/a、BOD</w:t>
            </w:r>
            <w:r>
              <w:rPr>
                <w:rFonts w:hint="eastAsia" w:ascii="Times New Roman" w:hAnsi="Times New Roman" w:cs="Times New Roman"/>
                <w:sz w:val="24"/>
                <w:vertAlign w:val="subscript"/>
                <w:lang w:val="en-US" w:eastAsia="zh-CN"/>
              </w:rPr>
              <w:t>5</w:t>
            </w:r>
            <w:r>
              <w:rPr>
                <w:rFonts w:hint="eastAsia" w:ascii="Times New Roman" w:hAnsi="Times New Roman" w:cs="Times New Roman"/>
                <w:sz w:val="24"/>
                <w:vertAlign w:val="baseline"/>
                <w:lang w:val="en-US" w:eastAsia="zh-CN"/>
              </w:rPr>
              <w:t>：0.009</w:t>
            </w:r>
            <w:r>
              <w:rPr>
                <w:rFonts w:hint="eastAsia" w:ascii="Times New Roman" w:hAnsi="Times New Roman" w:cs="Times New Roman"/>
                <w:sz w:val="24"/>
                <w:lang w:val="en-US" w:eastAsia="zh-CN"/>
              </w:rPr>
              <w:t>t/a、SS：0.0009t/a、氨氮：0.00036t/a</w:t>
            </w:r>
            <w:r>
              <w:rPr>
                <w:rFonts w:hint="default" w:ascii="Times New Roman" w:hAnsi="Times New Roman" w:cs="Times New Roman"/>
                <w:sz w:val="24"/>
              </w:rPr>
              <w:t>。</w:t>
            </w:r>
          </w:p>
          <w:p>
            <w:pPr>
              <w:spacing w:line="360" w:lineRule="auto"/>
              <w:ind w:firstLine="480" w:firstLineChars="200"/>
              <w:jc w:val="both"/>
              <w:rPr>
                <w:rFonts w:hint="eastAsia" w:ascii="Times New Roman" w:hAnsi="Times New Roman" w:cs="Times New Roman"/>
                <w:sz w:val="24"/>
                <w:lang w:val="en-US" w:eastAsia="zh-CN"/>
              </w:rPr>
            </w:pPr>
            <w:r>
              <w:rPr>
                <w:rFonts w:hint="default" w:ascii="Times New Roman" w:hAnsi="Times New Roman" w:cs="Times New Roman"/>
                <w:sz w:val="24"/>
              </w:rPr>
              <w:t>生活污水产生量约</w:t>
            </w:r>
            <w:r>
              <w:rPr>
                <w:rFonts w:hint="eastAsia" w:ascii="Times New Roman" w:hAnsi="Times New Roman" w:cs="Times New Roman"/>
                <w:sz w:val="24"/>
                <w:lang w:val="en-US" w:eastAsia="zh-CN"/>
              </w:rPr>
              <w:t>4080</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/a</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主要污染物为COD、BOD</w:t>
            </w:r>
            <w:r>
              <w:rPr>
                <w:rFonts w:hint="eastAsia" w:ascii="Times New Roman" w:hAnsi="Times New Roman" w:cs="Times New Roman"/>
                <w:sz w:val="24"/>
                <w:vertAlign w:val="subscript"/>
                <w:lang w:val="en-US" w:eastAsia="zh-CN"/>
              </w:rPr>
              <w:t>5</w:t>
            </w:r>
            <w:r>
              <w:rPr>
                <w:rFonts w:hint="eastAsia" w:ascii="Times New Roman" w:hAnsi="Times New Roman" w:cs="Times New Roman"/>
                <w:sz w:val="24"/>
                <w:lang w:val="en-US" w:eastAsia="zh-CN"/>
              </w:rPr>
              <w:t>、SS、氨氮，各污染物的产生量为COD：1.84t/a、BOD</w:t>
            </w:r>
            <w:r>
              <w:rPr>
                <w:rFonts w:hint="eastAsia" w:ascii="Times New Roman" w:hAnsi="Times New Roman" w:cs="Times New Roman"/>
                <w:sz w:val="24"/>
                <w:vertAlign w:val="subscript"/>
                <w:lang w:val="en-US" w:eastAsia="zh-CN"/>
              </w:rPr>
              <w:t>5</w:t>
            </w:r>
            <w:r>
              <w:rPr>
                <w:rFonts w:hint="eastAsia" w:ascii="Times New Roman" w:hAnsi="Times New Roman" w:cs="Times New Roman"/>
                <w:sz w:val="24"/>
                <w:vertAlign w:val="baseline"/>
                <w:lang w:val="en-US" w:eastAsia="zh-CN"/>
              </w:rPr>
              <w:t>：1.02</w:t>
            </w:r>
            <w:r>
              <w:rPr>
                <w:rFonts w:hint="eastAsia" w:ascii="Times New Roman" w:hAnsi="Times New Roman" w:cs="Times New Roman"/>
                <w:sz w:val="24"/>
                <w:lang w:val="en-US" w:eastAsia="zh-CN"/>
              </w:rPr>
              <w:t>t/a、SS：0.82t/a、氨氮：0.12t/a</w:t>
            </w:r>
            <w:r>
              <w:rPr>
                <w:rFonts w:hint="default" w:ascii="Times New Roman" w:hAnsi="Times New Roman" w:cs="Times New Roman"/>
                <w:sz w:val="24"/>
              </w:rPr>
              <w:t>。</w:t>
            </w:r>
          </w:p>
          <w:p>
            <w:pPr>
              <w:spacing w:line="360" w:lineRule="auto"/>
              <w:ind w:firstLine="480" w:firstLineChars="200"/>
              <w:jc w:val="both"/>
              <w:rPr>
                <w:rFonts w:hint="default" w:ascii="Times New Roman" w:hAnsi="Times New Roman" w:cs="Times New Roman"/>
                <w:color w:val="000000"/>
                <w:sz w:val="24"/>
                <w:szCs w:val="24"/>
              </w:rPr>
            </w:pPr>
            <w:r>
              <w:rPr>
                <w:rFonts w:hint="default" w:ascii="Times New Roman" w:hAnsi="Times New Roman" w:cs="Times New Roman"/>
                <w:sz w:val="24"/>
              </w:rPr>
              <w:t>项目</w:t>
            </w:r>
            <w:r>
              <w:rPr>
                <w:rFonts w:hint="eastAsia" w:ascii="Times New Roman" w:hAnsi="Times New Roman" w:cs="Times New Roman"/>
                <w:sz w:val="24"/>
                <w:lang w:eastAsia="zh-CN"/>
              </w:rPr>
              <w:t>生活</w:t>
            </w:r>
            <w:r>
              <w:rPr>
                <w:rFonts w:hint="default" w:ascii="Times New Roman" w:hAnsi="Times New Roman" w:cs="Times New Roman"/>
                <w:sz w:val="24"/>
              </w:rPr>
              <w:t>污水</w:t>
            </w:r>
            <w:r>
              <w:rPr>
                <w:rFonts w:hint="eastAsia" w:ascii="Times New Roman" w:hAnsi="Times New Roman" w:cs="Times New Roman"/>
                <w:sz w:val="24"/>
                <w:lang w:val="en-US" w:eastAsia="zh-CN"/>
              </w:rPr>
              <w:t>排入厂区污水处理站、生产废水、</w:t>
            </w:r>
            <w:r>
              <w:rPr>
                <w:rFonts w:hint="eastAsia"/>
                <w:color w:val="000000"/>
                <w:sz w:val="24"/>
                <w:szCs w:val="24"/>
                <w:highlight w:val="none"/>
                <w:lang w:val="en-US" w:eastAsia="zh-CN"/>
              </w:rPr>
              <w:t>喷淋塔定期外排水</w:t>
            </w:r>
            <w:r>
              <w:rPr>
                <w:rFonts w:hint="eastAsia" w:ascii="Times New Roman" w:hAnsi="Times New Roman" w:cs="Times New Roman"/>
                <w:sz w:val="24"/>
                <w:lang w:val="en-US" w:eastAsia="zh-CN"/>
              </w:rPr>
              <w:t>混合处理后，水质满足《污水排入城镇下水道水质标准》（GB/T31962-2015）表1 B等级标准后，经市政管网排至鄄城县第二污水处理厂进行深度处理</w:t>
            </w:r>
            <w:r>
              <w:rPr>
                <w:rFonts w:hint="default" w:ascii="Times New Roman" w:hAnsi="Times New Roman" w:cs="Times New Roman"/>
                <w:snapToGrid w:val="0"/>
                <w:kern w:val="0"/>
                <w:sz w:val="24"/>
                <w:szCs w:val="24"/>
              </w:rPr>
              <w:t>。</w:t>
            </w:r>
            <w:r>
              <w:rPr>
                <w:rFonts w:hint="default" w:ascii="Times New Roman" w:hAnsi="Times New Roman" w:cs="Times New Roman"/>
                <w:color w:val="000000"/>
                <w:sz w:val="24"/>
                <w:szCs w:val="24"/>
              </w:rPr>
              <w:t>对周围环境影响不大。</w:t>
            </w:r>
          </w:p>
          <w:p>
            <w:pPr>
              <w:spacing w:line="360" w:lineRule="auto"/>
              <w:ind w:firstLine="480" w:firstLineChars="200"/>
              <w:jc w:val="both"/>
              <w:rPr>
                <w:rFonts w:hint="default" w:ascii="Times New Roman" w:hAnsi="Times New Roman" w:cs="Times New Roman"/>
                <w:color w:val="000000"/>
                <w:sz w:val="24"/>
              </w:rPr>
            </w:pPr>
            <w:r>
              <w:rPr>
                <w:rFonts w:hint="default" w:ascii="Times New Roman" w:hAnsi="Times New Roman" w:cs="Times New Roman"/>
                <w:color w:val="000000"/>
                <w:sz w:val="24"/>
              </w:rPr>
              <w:t>（3）噪声</w:t>
            </w:r>
          </w:p>
          <w:p>
            <w:pPr>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该项目生产过程中会产生机械噪声，通过选用低噪声设备、基础减振、合理布置、绿化吸声等降噪措施降低噪声值，采取上述措施后，各厂界噪声均符合《工业企业厂界环境噪声排放标准》(GB12348-2008)中</w:t>
            </w:r>
            <w:r>
              <w:rPr>
                <w:rFonts w:hint="eastAsia" w:ascii="Times New Roman" w:hAnsi="Times New Roman" w:cs="Times New Roman"/>
                <w:sz w:val="24"/>
                <w:lang w:val="en-US" w:eastAsia="zh-CN"/>
              </w:rPr>
              <w:t>3</w:t>
            </w:r>
            <w:r>
              <w:rPr>
                <w:rFonts w:hint="default" w:ascii="Times New Roman" w:hAnsi="Times New Roman" w:cs="Times New Roman"/>
                <w:sz w:val="24"/>
              </w:rPr>
              <w:t>类标准要求，对周围环境影响较小。</w:t>
            </w:r>
          </w:p>
          <w:p>
            <w:pPr>
              <w:spacing w:line="360" w:lineRule="auto"/>
              <w:ind w:firstLine="480" w:firstLineChars="200"/>
              <w:jc w:val="both"/>
              <w:rPr>
                <w:rFonts w:hint="default" w:ascii="Times New Roman" w:hAnsi="Times New Roman" w:cs="Times New Roman"/>
                <w:bCs/>
                <w:sz w:val="24"/>
              </w:rPr>
            </w:pPr>
            <w:r>
              <w:rPr>
                <w:rFonts w:hint="default" w:ascii="Times New Roman" w:hAnsi="Times New Roman" w:cs="Times New Roman"/>
                <w:bCs/>
                <w:color w:val="000000"/>
                <w:sz w:val="24"/>
              </w:rPr>
              <w:t>（4）</w:t>
            </w:r>
            <w:r>
              <w:rPr>
                <w:rFonts w:hint="default" w:ascii="Times New Roman" w:hAnsi="Times New Roman" w:cs="Times New Roman"/>
                <w:bCs/>
                <w:sz w:val="24"/>
              </w:rPr>
              <w:t>固体废物</w:t>
            </w:r>
          </w:p>
          <w:p>
            <w:pPr>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本项目产生的固废包括</w:t>
            </w:r>
            <w:r>
              <w:rPr>
                <w:rFonts w:hint="eastAsia" w:ascii="Times New Roman" w:hAnsi="Times New Roman" w:cs="Times New Roman"/>
                <w:sz w:val="24"/>
                <w:lang w:eastAsia="zh-CN"/>
              </w:rPr>
              <w:t>下脚料、废包装物、化学试剂桶、废活性炭、污水处理站污泥，</w:t>
            </w:r>
            <w:r>
              <w:rPr>
                <w:rFonts w:hint="default" w:ascii="Times New Roman" w:hAnsi="Times New Roman" w:cs="Times New Roman"/>
                <w:sz w:val="24"/>
              </w:rPr>
              <w:t>职工生活垃圾等。</w:t>
            </w:r>
          </w:p>
          <w:p>
            <w:pPr>
              <w:spacing w:line="360" w:lineRule="auto"/>
              <w:ind w:firstLine="480" w:firstLineChars="200"/>
              <w:jc w:val="both"/>
              <w:rPr>
                <w:rFonts w:hint="eastAsia" w:ascii="Times New Roman" w:hAnsi="Times New Roman" w:cs="Times New Roman"/>
                <w:sz w:val="24"/>
                <w:lang w:eastAsia="zh-CN"/>
              </w:rPr>
            </w:pPr>
            <w:r>
              <w:rPr>
                <w:rFonts w:hint="eastAsia" w:ascii="Times New Roman" w:hAnsi="Times New Roman" w:cs="Times New Roman"/>
                <w:sz w:val="24"/>
                <w:szCs w:val="22"/>
                <w:lang w:eastAsia="zh-CN"/>
              </w:rPr>
              <w:t>下脚料、废包装物（</w:t>
            </w:r>
            <w:r>
              <w:rPr>
                <w:rFonts w:hint="eastAsia" w:ascii="Times New Roman" w:hAnsi="Times New Roman" w:cs="Times New Roman"/>
                <w:sz w:val="24"/>
                <w:lang w:eastAsia="zh-CN"/>
              </w:rPr>
              <w:t>洗发香波、护发素</w:t>
            </w:r>
            <w:r>
              <w:rPr>
                <w:rFonts w:hint="eastAsia" w:ascii="Times New Roman" w:hAnsi="Times New Roman" w:cs="Times New Roman"/>
                <w:sz w:val="24"/>
                <w:szCs w:val="22"/>
                <w:lang w:eastAsia="zh-CN"/>
              </w:rPr>
              <w:t>）</w:t>
            </w:r>
            <w:r>
              <w:rPr>
                <w:rFonts w:hint="default" w:ascii="Times New Roman" w:hAnsi="Times New Roman" w:cs="Times New Roman"/>
                <w:sz w:val="24"/>
                <w:szCs w:val="22"/>
                <w:lang w:eastAsia="zh-CN"/>
              </w:rPr>
              <w:t>收集后外</w:t>
            </w:r>
            <w:r>
              <w:rPr>
                <w:rFonts w:hint="eastAsia" w:ascii="Times New Roman" w:hAnsi="Times New Roman" w:cs="Times New Roman"/>
                <w:sz w:val="24"/>
                <w:szCs w:val="22"/>
                <w:lang w:eastAsia="zh-CN"/>
              </w:rPr>
              <w:t>售进行综合利用；污水处理站污泥</w:t>
            </w:r>
            <w:r>
              <w:rPr>
                <w:rFonts w:hint="eastAsia" w:ascii="Times New Roman" w:hAnsi="Times New Roman" w:cs="Times New Roman"/>
                <w:sz w:val="24"/>
                <w:lang w:val="en-US" w:eastAsia="zh-CN"/>
              </w:rPr>
              <w:t>该部分废物不属于危险废物，但存储应注意防渗，不得污染地下水及周边土壤</w:t>
            </w:r>
            <w:r>
              <w:rPr>
                <w:rFonts w:hint="eastAsia" w:ascii="Times New Roman" w:hAnsi="Times New Roman" w:cs="Times New Roman"/>
                <w:sz w:val="24"/>
                <w:lang w:eastAsia="zh-CN"/>
              </w:rPr>
              <w:t>，定期交由专门的污泥处置单位进行安全处置</w:t>
            </w:r>
            <w:r>
              <w:rPr>
                <w:rFonts w:hint="eastAsia" w:ascii="Times New Roman" w:hAnsi="Times New Roman" w:cs="Times New Roman"/>
                <w:sz w:val="24"/>
                <w:lang w:val="en-US" w:eastAsia="zh-CN"/>
              </w:rPr>
              <w:t>；</w:t>
            </w:r>
            <w:r>
              <w:rPr>
                <w:rFonts w:hint="default" w:ascii="Times New Roman" w:hAnsi="Times New Roman" w:cs="Times New Roman"/>
                <w:sz w:val="24"/>
              </w:rPr>
              <w:t>职工生活垃圾收集后由环卫部门外运处理</w:t>
            </w:r>
            <w:r>
              <w:rPr>
                <w:rFonts w:hint="eastAsia" w:ascii="Times New Roman" w:hAnsi="Times New Roman" w:cs="Times New Roman"/>
                <w:sz w:val="24"/>
                <w:lang w:eastAsia="zh-CN"/>
              </w:rPr>
              <w:t>。</w:t>
            </w:r>
          </w:p>
          <w:p>
            <w:pPr>
              <w:spacing w:line="360" w:lineRule="auto"/>
              <w:ind w:firstLine="480" w:firstLineChars="200"/>
              <w:jc w:val="both"/>
              <w:rPr>
                <w:rFonts w:hint="default" w:ascii="Times New Roman" w:hAnsi="Times New Roman" w:cs="Times New Roman"/>
                <w:sz w:val="24"/>
              </w:rPr>
            </w:pPr>
            <w:r>
              <w:rPr>
                <w:rFonts w:hint="eastAsia" w:ascii="Times New Roman" w:hAnsi="Times New Roman" w:cs="Times New Roman"/>
                <w:sz w:val="24"/>
                <w:lang w:eastAsia="zh-CN"/>
              </w:rPr>
              <w:t>化学试剂桶（硫酸、</w:t>
            </w:r>
            <w:r>
              <w:rPr>
                <w:rFonts w:hint="eastAsia" w:ascii="Times New Roman" w:hAnsi="Times New Roman" w:cs="Times New Roman"/>
                <w:sz w:val="24"/>
                <w:lang w:val="en-US" w:eastAsia="zh-CN"/>
              </w:rPr>
              <w:t>NaOH、双氧水、次氯酸钠</w:t>
            </w:r>
            <w:r>
              <w:rPr>
                <w:rFonts w:hint="eastAsia" w:ascii="Times New Roman" w:hAnsi="Times New Roman" w:cs="Times New Roman"/>
                <w:sz w:val="24"/>
                <w:lang w:eastAsia="zh-CN"/>
              </w:rPr>
              <w:t>）、废润滑油</w:t>
            </w:r>
            <w:r>
              <w:rPr>
                <w:rFonts w:hint="eastAsia" w:ascii="Times New Roman" w:hAnsi="Times New Roman" w:cs="Times New Roman"/>
                <w:sz w:val="24"/>
                <w:lang w:val="en-US" w:eastAsia="zh-CN"/>
              </w:rPr>
              <w:t>/桶</w:t>
            </w:r>
            <w:r>
              <w:rPr>
                <w:rFonts w:hint="eastAsia" w:ascii="Times New Roman" w:hAnsi="Times New Roman" w:cs="Times New Roman"/>
                <w:sz w:val="24"/>
                <w:lang w:eastAsia="zh-CN"/>
              </w:rPr>
              <w:t>及污水处理产生的废活性炭，暂存于危废间，由资质单位进行清运并做安全处置。</w:t>
            </w:r>
          </w:p>
          <w:p>
            <w:pPr>
              <w:spacing w:line="360" w:lineRule="auto"/>
              <w:ind w:firstLine="480" w:firstLineChars="200"/>
              <w:jc w:val="both"/>
              <w:rPr>
                <w:rFonts w:hint="default" w:ascii="Times New Roman" w:hAnsi="Times New Roman" w:cs="Times New Roman"/>
                <w:color w:val="000000"/>
                <w:sz w:val="24"/>
              </w:rPr>
            </w:pPr>
            <w:r>
              <w:rPr>
                <w:rFonts w:hint="default" w:ascii="Times New Roman" w:hAnsi="Times New Roman" w:cs="Times New Roman"/>
                <w:sz w:val="24"/>
              </w:rPr>
              <w:t>固废暂存处作硬化防渗处理，</w:t>
            </w:r>
            <w:r>
              <w:rPr>
                <w:rFonts w:hint="eastAsia" w:ascii="Times New Roman" w:hAnsi="Times New Roman" w:cs="Times New Roman"/>
                <w:sz w:val="24"/>
                <w:lang w:eastAsia="zh-CN"/>
              </w:rPr>
              <w:t>一般</w:t>
            </w:r>
            <w:r>
              <w:rPr>
                <w:rFonts w:hint="default" w:ascii="Times New Roman" w:hAnsi="Times New Roman" w:cs="Times New Roman"/>
                <w:sz w:val="24"/>
              </w:rPr>
              <w:t>固体废物的处置符合《一般工业固体废物贮存、处置场污染控制标准》（GB18599－2001）及修改单</w:t>
            </w:r>
            <w:r>
              <w:rPr>
                <w:rFonts w:hint="eastAsia" w:ascii="Times New Roman" w:hAnsi="Times New Roman" w:cs="Times New Roman"/>
                <w:sz w:val="24"/>
                <w:lang w:eastAsia="zh-CN"/>
              </w:rPr>
              <w:t>、</w:t>
            </w:r>
            <w:r>
              <w:rPr>
                <w:rFonts w:hint="default" w:ascii="Times New Roman" w:hAnsi="Times New Roman" w:cs="Times New Roman"/>
                <w:sz w:val="24"/>
              </w:rPr>
              <w:t>要求，</w:t>
            </w:r>
            <w:r>
              <w:rPr>
                <w:rFonts w:hint="eastAsia" w:ascii="Times New Roman" w:hAnsi="Times New Roman" w:cs="Times New Roman"/>
                <w:sz w:val="24"/>
                <w:lang w:eastAsia="zh-CN"/>
              </w:rPr>
              <w:t>危险废物的处置符合《危险废物贮存污染控制标准》（</w:t>
            </w:r>
            <w:r>
              <w:rPr>
                <w:rFonts w:hint="eastAsia" w:ascii="Times New Roman" w:hAnsi="Times New Roman" w:cs="Times New Roman"/>
                <w:sz w:val="24"/>
                <w:lang w:val="en-US" w:eastAsia="zh-CN"/>
              </w:rPr>
              <w:t>GB18597-2001</w:t>
            </w:r>
            <w:r>
              <w:rPr>
                <w:rFonts w:hint="eastAsia" w:ascii="Times New Roman" w:hAnsi="Times New Roman" w:cs="Times New Roman"/>
                <w:sz w:val="24"/>
                <w:lang w:eastAsia="zh-CN"/>
              </w:rPr>
              <w:t>）</w:t>
            </w:r>
            <w:r>
              <w:rPr>
                <w:rFonts w:hint="default" w:ascii="Times New Roman" w:hAnsi="Times New Roman" w:eastAsia="新宋体" w:cs="Times New Roman"/>
                <w:sz w:val="24"/>
              </w:rPr>
              <w:t>及其修改单</w:t>
            </w:r>
            <w:r>
              <w:rPr>
                <w:rFonts w:hint="eastAsia" w:ascii="Times New Roman" w:hAnsi="Times New Roman" w:eastAsia="新宋体" w:cs="Times New Roman"/>
                <w:sz w:val="24"/>
                <w:lang w:eastAsia="zh-CN"/>
              </w:rPr>
              <w:t>要求，</w:t>
            </w:r>
            <w:r>
              <w:rPr>
                <w:rFonts w:hint="default" w:ascii="Times New Roman" w:hAnsi="Times New Roman" w:cs="Times New Roman"/>
                <w:sz w:val="24"/>
              </w:rPr>
              <w:t>对周边环境影响很小。</w:t>
            </w:r>
          </w:p>
          <w:p>
            <w:pPr>
              <w:spacing w:line="360" w:lineRule="auto"/>
              <w:ind w:firstLine="480" w:firstLineChars="200"/>
              <w:jc w:val="both"/>
              <w:rPr>
                <w:rFonts w:hint="default" w:ascii="Times New Roman" w:hAnsi="Times New Roman" w:cs="Times New Roman"/>
                <w:b/>
                <w:color w:val="000000"/>
                <w:sz w:val="24"/>
              </w:rPr>
            </w:pPr>
            <w:r>
              <w:rPr>
                <w:rFonts w:hint="default" w:ascii="Times New Roman" w:hAnsi="Times New Roman" w:cs="Times New Roman"/>
                <w:b/>
                <w:color w:val="000000"/>
                <w:sz w:val="24"/>
              </w:rPr>
              <w:t>7、项目环保措施与要求</w:t>
            </w:r>
          </w:p>
          <w:p>
            <w:pPr>
              <w:spacing w:line="360" w:lineRule="auto"/>
              <w:ind w:firstLine="480" w:firstLineChars="200"/>
              <w:jc w:val="both"/>
              <w:rPr>
                <w:rFonts w:hint="default" w:ascii="Times New Roman" w:hAnsi="Times New Roman" w:cs="Times New Roman"/>
                <w:bCs/>
                <w:kern w:val="0"/>
                <w:sz w:val="24"/>
              </w:rPr>
            </w:pPr>
            <w:r>
              <w:rPr>
                <w:rFonts w:hint="default" w:ascii="Times New Roman" w:hAnsi="Times New Roman" w:cs="Times New Roman"/>
                <w:bCs/>
                <w:kern w:val="0"/>
                <w:sz w:val="24"/>
              </w:rPr>
              <w:t>建设项目环保措施一览表如下：</w:t>
            </w:r>
          </w:p>
          <w:p>
            <w:pPr>
              <w:spacing w:line="360" w:lineRule="auto"/>
              <w:jc w:val="center"/>
              <w:rPr>
                <w:rFonts w:hint="default" w:ascii="Times New Roman" w:hAnsi="Times New Roman" w:cs="Times New Roman"/>
                <w:b/>
                <w:bCs/>
                <w:kern w:val="0"/>
                <w:sz w:val="24"/>
              </w:rPr>
            </w:pPr>
            <w:r>
              <w:rPr>
                <w:rFonts w:hint="default" w:ascii="Times New Roman" w:hAnsi="Times New Roman" w:cs="Times New Roman"/>
                <w:b/>
                <w:bCs/>
                <w:kern w:val="0"/>
                <w:sz w:val="24"/>
              </w:rPr>
              <w:t>表9-1   建设项目环保措施一览表</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788"/>
              <w:gridCol w:w="1218"/>
              <w:gridCol w:w="1286"/>
              <w:gridCol w:w="2354"/>
              <w:gridCol w:w="2647"/>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475" w:type="pct"/>
                  <w:noWrap w:val="0"/>
                  <w:vAlign w:val="center"/>
                </w:tcPr>
                <w:p>
                  <w:pPr>
                    <w:spacing w:line="400" w:lineRule="exact"/>
                    <w:ind w:firstLine="220" w:firstLineChars="100"/>
                    <w:rPr>
                      <w:rFonts w:hint="default" w:ascii="Times New Roman" w:hAnsi="Times New Roman" w:cs="Times New Roman"/>
                      <w:szCs w:val="21"/>
                    </w:rPr>
                  </w:pPr>
                  <w:r>
                    <w:rPr>
                      <w:rFonts w:hint="default" w:ascii="Times New Roman" w:hAnsi="Times New Roman" w:cs="Times New Roman"/>
                      <w:szCs w:val="21"/>
                    </w:rPr>
                    <w:t>内容</w:t>
                  </w:r>
                </w:p>
                <w:p>
                  <w:pPr>
                    <w:spacing w:line="400" w:lineRule="exact"/>
                    <w:rPr>
                      <w:rFonts w:hint="default" w:ascii="Times New Roman" w:hAnsi="Times New Roman" w:cs="Times New Roman"/>
                      <w:szCs w:val="21"/>
                    </w:rPr>
                  </w:pPr>
                  <w:r>
                    <w:rPr>
                      <w:rFonts w:hint="default" w:ascii="Times New Roman" w:hAnsi="Times New Roman" w:cs="Times New Roman"/>
                      <w:szCs w:val="21"/>
                    </w:rPr>
                    <w:t>类型</w:t>
                  </w:r>
                </w:p>
              </w:tc>
              <w:tc>
                <w:tcPr>
                  <w:tcW w:w="734" w:type="pct"/>
                  <w:noWrap w:val="0"/>
                  <w:vAlign w:val="center"/>
                </w:tcPr>
                <w:p>
                  <w:pPr>
                    <w:spacing w:line="400" w:lineRule="exact"/>
                    <w:jc w:val="center"/>
                    <w:rPr>
                      <w:rFonts w:hint="default" w:ascii="Times New Roman" w:hAnsi="Times New Roman" w:cs="Times New Roman"/>
                      <w:szCs w:val="21"/>
                    </w:rPr>
                  </w:pPr>
                  <w:r>
                    <w:rPr>
                      <w:rFonts w:hint="default" w:ascii="Times New Roman" w:hAnsi="Times New Roman" w:cs="Times New Roman"/>
                      <w:szCs w:val="21"/>
                    </w:rPr>
                    <w:t>排放源</w:t>
                  </w:r>
                </w:p>
              </w:tc>
              <w:tc>
                <w:tcPr>
                  <w:tcW w:w="775" w:type="pct"/>
                  <w:noWrap w:val="0"/>
                  <w:vAlign w:val="center"/>
                </w:tcPr>
                <w:p>
                  <w:pPr>
                    <w:spacing w:line="400" w:lineRule="exact"/>
                    <w:jc w:val="center"/>
                    <w:rPr>
                      <w:rFonts w:hint="default" w:ascii="Times New Roman" w:hAnsi="Times New Roman" w:cs="Times New Roman"/>
                      <w:szCs w:val="21"/>
                    </w:rPr>
                  </w:pPr>
                  <w:r>
                    <w:rPr>
                      <w:rFonts w:hint="default" w:ascii="Times New Roman" w:hAnsi="Times New Roman" w:cs="Times New Roman"/>
                      <w:szCs w:val="21"/>
                    </w:rPr>
                    <w:t>污染物名称</w:t>
                  </w:r>
                </w:p>
              </w:tc>
              <w:tc>
                <w:tcPr>
                  <w:tcW w:w="1419" w:type="pct"/>
                  <w:tcBorders>
                    <w:bottom w:val="single" w:color="auto" w:sz="2" w:space="0"/>
                  </w:tcBorders>
                  <w:noWrap w:val="0"/>
                  <w:vAlign w:val="center"/>
                </w:tcPr>
                <w:p>
                  <w:pPr>
                    <w:spacing w:line="400" w:lineRule="exact"/>
                    <w:jc w:val="center"/>
                    <w:rPr>
                      <w:rFonts w:hint="default" w:ascii="Times New Roman" w:hAnsi="Times New Roman" w:cs="Times New Roman"/>
                      <w:szCs w:val="21"/>
                    </w:rPr>
                  </w:pPr>
                  <w:r>
                    <w:rPr>
                      <w:rFonts w:hint="default" w:ascii="Times New Roman" w:hAnsi="Times New Roman" w:cs="Times New Roman"/>
                      <w:szCs w:val="21"/>
                    </w:rPr>
                    <w:t>防治措施</w:t>
                  </w:r>
                </w:p>
              </w:tc>
              <w:tc>
                <w:tcPr>
                  <w:tcW w:w="1595" w:type="pct"/>
                  <w:noWrap w:val="0"/>
                  <w:vAlign w:val="center"/>
                </w:tcPr>
                <w:p>
                  <w:pPr>
                    <w:spacing w:line="400" w:lineRule="exact"/>
                    <w:jc w:val="center"/>
                    <w:rPr>
                      <w:rFonts w:hint="default" w:ascii="Times New Roman" w:hAnsi="Times New Roman" w:cs="Times New Roman"/>
                      <w:szCs w:val="21"/>
                    </w:rPr>
                  </w:pPr>
                  <w:r>
                    <w:rPr>
                      <w:rFonts w:hint="default" w:ascii="Times New Roman" w:hAnsi="Times New Roman" w:cs="Times New Roman"/>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98" w:hRule="atLeast"/>
                <w:jc w:val="center"/>
              </w:trPr>
              <w:tc>
                <w:tcPr>
                  <w:tcW w:w="475" w:type="pct"/>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大</w:t>
                  </w:r>
                </w:p>
                <w:p>
                  <w:pPr>
                    <w:jc w:val="center"/>
                    <w:rPr>
                      <w:rFonts w:hint="default" w:ascii="Times New Roman" w:hAnsi="Times New Roman" w:cs="Times New Roman"/>
                      <w:szCs w:val="21"/>
                    </w:rPr>
                  </w:pPr>
                  <w:r>
                    <w:rPr>
                      <w:rFonts w:hint="default" w:ascii="Times New Roman" w:hAnsi="Times New Roman" w:cs="Times New Roman"/>
                      <w:szCs w:val="21"/>
                    </w:rPr>
                    <w:t>气</w:t>
                  </w:r>
                </w:p>
                <w:p>
                  <w:pPr>
                    <w:jc w:val="center"/>
                    <w:rPr>
                      <w:rFonts w:hint="default" w:ascii="Times New Roman" w:hAnsi="Times New Roman" w:cs="Times New Roman"/>
                      <w:szCs w:val="21"/>
                    </w:rPr>
                  </w:pPr>
                  <w:r>
                    <w:rPr>
                      <w:rFonts w:hint="default" w:ascii="Times New Roman" w:hAnsi="Times New Roman" w:cs="Times New Roman"/>
                      <w:szCs w:val="21"/>
                    </w:rPr>
                    <w:t>污</w:t>
                  </w:r>
                </w:p>
                <w:p>
                  <w:pPr>
                    <w:jc w:val="center"/>
                    <w:rPr>
                      <w:rFonts w:hint="default" w:ascii="Times New Roman" w:hAnsi="Times New Roman" w:cs="Times New Roman"/>
                      <w:szCs w:val="21"/>
                    </w:rPr>
                  </w:pPr>
                  <w:r>
                    <w:rPr>
                      <w:rFonts w:hint="default" w:ascii="Times New Roman" w:hAnsi="Times New Roman" w:cs="Times New Roman"/>
                      <w:szCs w:val="21"/>
                    </w:rPr>
                    <w:t>染</w:t>
                  </w:r>
                </w:p>
                <w:p>
                  <w:pPr>
                    <w:jc w:val="center"/>
                    <w:rPr>
                      <w:rFonts w:hint="default" w:ascii="Times New Roman" w:hAnsi="Times New Roman" w:cs="Times New Roman"/>
                      <w:szCs w:val="21"/>
                    </w:rPr>
                  </w:pPr>
                  <w:r>
                    <w:rPr>
                      <w:rFonts w:hint="default" w:ascii="Times New Roman" w:hAnsi="Times New Roman" w:cs="Times New Roman"/>
                      <w:szCs w:val="21"/>
                    </w:rPr>
                    <w:t>物</w:t>
                  </w:r>
                </w:p>
              </w:tc>
              <w:tc>
                <w:tcPr>
                  <w:tcW w:w="734" w:type="pct"/>
                  <w:noWrap w:val="0"/>
                  <w:vAlign w:val="center"/>
                </w:tcPr>
                <w:p>
                  <w:pPr>
                    <w:autoSpaceDE w:val="0"/>
                    <w:autoSpaceDN w:val="0"/>
                    <w:jc w:val="center"/>
                    <w:rPr>
                      <w:rFonts w:hint="default" w:ascii="Times New Roman" w:hAnsi="Times New Roman" w:cs="Times New Roman"/>
                      <w:szCs w:val="21"/>
                    </w:rPr>
                  </w:pPr>
                  <w:r>
                    <w:rPr>
                      <w:rFonts w:hint="eastAsia" w:ascii="Times New Roman" w:hAnsi="Times New Roman" w:cs="Times New Roman"/>
                      <w:bCs/>
                      <w:szCs w:val="21"/>
                      <w:lang w:eastAsia="zh-CN"/>
                    </w:rPr>
                    <w:t>泡酸工序</w:t>
                  </w:r>
                </w:p>
              </w:tc>
              <w:tc>
                <w:tcPr>
                  <w:tcW w:w="775" w:type="pct"/>
                  <w:noWrap w:val="0"/>
                  <w:vAlign w:val="center"/>
                </w:tcPr>
                <w:p>
                  <w:pPr>
                    <w:jc w:val="center"/>
                    <w:rPr>
                      <w:rFonts w:hint="default" w:ascii="Times New Roman" w:hAnsi="Times New Roman" w:cs="Times New Roman"/>
                      <w:szCs w:val="21"/>
                    </w:rPr>
                  </w:pPr>
                  <w:r>
                    <w:rPr>
                      <w:rFonts w:hint="eastAsia" w:ascii="Times New Roman" w:hAnsi="Times New Roman" w:cs="Times New Roman"/>
                      <w:bCs/>
                      <w:szCs w:val="21"/>
                      <w:lang w:eastAsia="zh-CN"/>
                    </w:rPr>
                    <w:t>硫酸雾</w:t>
                  </w:r>
                </w:p>
              </w:tc>
              <w:tc>
                <w:tcPr>
                  <w:tcW w:w="1419" w:type="pct"/>
                  <w:tcBorders>
                    <w:top w:val="single" w:color="auto" w:sz="2" w:space="0"/>
                  </w:tcBorders>
                  <w:noWrap w:val="0"/>
                  <w:vAlign w:val="center"/>
                </w:tcPr>
                <w:p>
                  <w:pPr>
                    <w:jc w:val="center"/>
                    <w:rPr>
                      <w:rFonts w:hint="default" w:ascii="Times New Roman" w:hAnsi="Times New Roman" w:cs="Times New Roman"/>
                      <w:szCs w:val="21"/>
                    </w:rPr>
                  </w:pPr>
                  <w:r>
                    <w:rPr>
                      <w:rFonts w:hint="eastAsia" w:ascii="Times New Roman" w:hAnsi="Times New Roman" w:cs="Times New Roman"/>
                      <w:bCs/>
                      <w:szCs w:val="21"/>
                      <w:lang w:eastAsia="zh-CN"/>
                    </w:rPr>
                    <w:t>集气罩</w:t>
                  </w:r>
                  <w:r>
                    <w:rPr>
                      <w:rFonts w:hint="default" w:ascii="Times New Roman" w:hAnsi="Times New Roman" w:cs="Times New Roman"/>
                      <w:bCs/>
                      <w:szCs w:val="21"/>
                    </w:rPr>
                    <w:t>+</w:t>
                  </w:r>
                  <w:r>
                    <w:rPr>
                      <w:rFonts w:hint="eastAsia" w:ascii="Times New Roman" w:hAnsi="Times New Roman" w:cs="Times New Roman"/>
                      <w:bCs/>
                      <w:szCs w:val="21"/>
                      <w:lang w:eastAsia="zh-CN"/>
                    </w:rPr>
                    <w:t>碱式喷淋塔</w:t>
                  </w:r>
                  <w:r>
                    <w:rPr>
                      <w:rFonts w:hint="default" w:ascii="Times New Roman" w:hAnsi="Times New Roman" w:cs="Times New Roman"/>
                      <w:bCs/>
                      <w:szCs w:val="21"/>
                    </w:rPr>
                    <w:t>+15m排气筒</w:t>
                  </w:r>
                  <w:r>
                    <w:rPr>
                      <w:rFonts w:hint="eastAsia" w:ascii="Times New Roman" w:hAnsi="Times New Roman" w:cs="Times New Roman"/>
                      <w:bCs/>
                      <w:szCs w:val="21"/>
                      <w:lang w:val="en-US" w:eastAsia="zh-CN"/>
                    </w:rPr>
                    <w:t>P7</w:t>
                  </w:r>
                </w:p>
              </w:tc>
              <w:tc>
                <w:tcPr>
                  <w:tcW w:w="1595" w:type="pct"/>
                  <w:tcBorders>
                    <w:bottom w:val="single" w:color="auto" w:sz="4"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满足《大气污染物综合排放标准》（GB16297-1996）表2</w:t>
                  </w:r>
                  <w:r>
                    <w:rPr>
                      <w:rFonts w:hint="default" w:ascii="Times New Roman" w:hAnsi="Times New Roman" w:cs="Times New Roman"/>
                      <w:szCs w:val="21"/>
                      <w:lang w:eastAsia="zh-CN"/>
                    </w:rPr>
                    <w:t>中相应</w:t>
                  </w:r>
                  <w:r>
                    <w:rPr>
                      <w:rFonts w:hint="default" w:ascii="Times New Roman" w:hAnsi="Times New Roman" w:cs="Times New Roman"/>
                      <w:szCs w:val="21"/>
                    </w:rPr>
                    <w:t>二级</w:t>
                  </w:r>
                  <w:r>
                    <w:rPr>
                      <w:rFonts w:hint="default" w:ascii="Times New Roman" w:hAnsi="Times New Roman" w:cs="Times New Roman"/>
                      <w:szCs w:val="21"/>
                      <w:lang w:eastAsia="zh-CN"/>
                    </w:rPr>
                    <w:t>排放</w:t>
                  </w:r>
                  <w:r>
                    <w:rPr>
                      <w:rFonts w:hint="default" w:ascii="Times New Roman" w:hAnsi="Times New Roman" w:cs="Times New Roman"/>
                      <w:szCs w:val="21"/>
                    </w:rPr>
                    <w:t>标准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05" w:hRule="atLeast"/>
                <w:jc w:val="center"/>
              </w:trPr>
              <w:tc>
                <w:tcPr>
                  <w:tcW w:w="475" w:type="pct"/>
                  <w:vMerge w:val="continue"/>
                  <w:noWrap w:val="0"/>
                  <w:vAlign w:val="center"/>
                </w:tcPr>
                <w:p>
                  <w:pPr>
                    <w:jc w:val="center"/>
                    <w:rPr>
                      <w:rFonts w:hint="default" w:ascii="Times New Roman" w:hAnsi="Times New Roman" w:cs="Times New Roman"/>
                      <w:szCs w:val="21"/>
                    </w:rPr>
                  </w:pPr>
                </w:p>
              </w:tc>
              <w:tc>
                <w:tcPr>
                  <w:tcW w:w="734" w:type="pct"/>
                  <w:noWrap w:val="0"/>
                  <w:vAlign w:val="center"/>
                </w:tcPr>
                <w:p>
                  <w:pPr>
                    <w:autoSpaceDE w:val="0"/>
                    <w:autoSpaceDN w:val="0"/>
                    <w:jc w:val="center"/>
                    <w:rPr>
                      <w:rFonts w:hint="default" w:ascii="Times New Roman" w:hAnsi="Times New Roman" w:cs="Times New Roman"/>
                      <w:b/>
                      <w:bCs/>
                      <w:szCs w:val="21"/>
                    </w:rPr>
                  </w:pPr>
                  <w:r>
                    <w:rPr>
                      <w:rFonts w:hint="eastAsia" w:ascii="Times New Roman" w:hAnsi="Times New Roman" w:cs="Times New Roman"/>
                      <w:bCs/>
                      <w:szCs w:val="21"/>
                      <w:lang w:eastAsia="zh-CN"/>
                    </w:rPr>
                    <w:t>中和工序</w:t>
                  </w:r>
                </w:p>
              </w:tc>
              <w:tc>
                <w:tcPr>
                  <w:tcW w:w="775" w:type="pct"/>
                  <w:noWrap w:val="0"/>
                  <w:vAlign w:val="center"/>
                </w:tcPr>
                <w:p>
                  <w:pPr>
                    <w:jc w:val="center"/>
                    <w:rPr>
                      <w:rFonts w:hint="default" w:ascii="Times New Roman" w:hAnsi="Times New Roman" w:cs="Times New Roman"/>
                      <w:szCs w:val="21"/>
                    </w:rPr>
                  </w:pPr>
                  <w:r>
                    <w:rPr>
                      <w:rFonts w:hint="eastAsia" w:ascii="Times New Roman" w:hAnsi="Times New Roman" w:cs="Times New Roman"/>
                      <w:bCs/>
                      <w:szCs w:val="21"/>
                      <w:lang w:val="en-US" w:eastAsia="zh-CN"/>
                    </w:rPr>
                    <w:t>氨</w:t>
                  </w:r>
                </w:p>
              </w:tc>
              <w:tc>
                <w:tcPr>
                  <w:tcW w:w="1419" w:type="pct"/>
                  <w:tcBorders>
                    <w:top w:val="single" w:color="auto" w:sz="8" w:space="0"/>
                    <w:bottom w:val="single" w:color="auto" w:sz="2" w:space="0"/>
                  </w:tcBorders>
                  <w:noWrap w:val="0"/>
                  <w:vAlign w:val="center"/>
                </w:tcPr>
                <w:p>
                  <w:pPr>
                    <w:jc w:val="center"/>
                    <w:rPr>
                      <w:rFonts w:hint="default" w:ascii="Times New Roman" w:hAnsi="Times New Roman" w:cs="Times New Roman"/>
                      <w:szCs w:val="21"/>
                    </w:rPr>
                  </w:pPr>
                  <w:r>
                    <w:rPr>
                      <w:rFonts w:hint="eastAsia" w:ascii="Times New Roman" w:hAnsi="Times New Roman" w:cs="Times New Roman"/>
                      <w:bCs/>
                      <w:szCs w:val="21"/>
                      <w:lang w:eastAsia="zh-CN"/>
                    </w:rPr>
                    <w:t>集气罩</w:t>
                  </w:r>
                  <w:r>
                    <w:rPr>
                      <w:rFonts w:hint="default" w:ascii="Times New Roman" w:hAnsi="Times New Roman" w:cs="Times New Roman"/>
                      <w:bCs/>
                      <w:szCs w:val="21"/>
                    </w:rPr>
                    <w:t>+</w:t>
                  </w:r>
                  <w:r>
                    <w:rPr>
                      <w:rFonts w:hint="eastAsia" w:ascii="Times New Roman" w:hAnsi="Times New Roman" w:cs="Times New Roman"/>
                      <w:bCs/>
                      <w:szCs w:val="21"/>
                      <w:lang w:eastAsia="zh-CN"/>
                    </w:rPr>
                    <w:t>酸式喷淋塔</w:t>
                  </w:r>
                  <w:r>
                    <w:rPr>
                      <w:rFonts w:hint="default" w:ascii="Times New Roman" w:hAnsi="Times New Roman" w:cs="Times New Roman"/>
                      <w:bCs/>
                      <w:szCs w:val="21"/>
                    </w:rPr>
                    <w:t>+15m排气筒</w:t>
                  </w:r>
                  <w:r>
                    <w:rPr>
                      <w:rFonts w:hint="eastAsia" w:ascii="Times New Roman" w:hAnsi="Times New Roman" w:cs="Times New Roman"/>
                      <w:bCs/>
                      <w:szCs w:val="21"/>
                      <w:lang w:val="en-US" w:eastAsia="zh-CN"/>
                    </w:rPr>
                    <w:t>P8</w:t>
                  </w:r>
                </w:p>
              </w:tc>
              <w:tc>
                <w:tcPr>
                  <w:tcW w:w="1595" w:type="pct"/>
                  <w:vMerge w:val="restart"/>
                  <w:tcBorders>
                    <w:top w:val="single" w:color="auto" w:sz="4"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满足《恶臭污染物排放标准》（GB14554-1993）表2中的标准值要求</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11" w:hRule="atLeast"/>
                <w:jc w:val="center"/>
              </w:trPr>
              <w:tc>
                <w:tcPr>
                  <w:tcW w:w="475" w:type="pct"/>
                  <w:vMerge w:val="continue"/>
                  <w:noWrap w:val="0"/>
                  <w:vAlign w:val="center"/>
                </w:tcPr>
                <w:p>
                  <w:pPr>
                    <w:jc w:val="center"/>
                    <w:rPr>
                      <w:rFonts w:hint="default" w:ascii="Times New Roman" w:hAnsi="Times New Roman" w:cs="Times New Roman"/>
                      <w:szCs w:val="21"/>
                    </w:rPr>
                  </w:pPr>
                </w:p>
              </w:tc>
              <w:tc>
                <w:tcPr>
                  <w:tcW w:w="734" w:type="pct"/>
                  <w:noWrap w:val="0"/>
                  <w:vAlign w:val="center"/>
                </w:tcPr>
                <w:p>
                  <w:pPr>
                    <w:autoSpaceDE w:val="0"/>
                    <w:autoSpaceDN w:val="0"/>
                    <w:jc w:val="center"/>
                    <w:rPr>
                      <w:rFonts w:hint="eastAsia" w:ascii="Times New Roman" w:hAnsi="Times New Roman" w:cs="Times New Roman"/>
                      <w:bCs/>
                      <w:szCs w:val="21"/>
                      <w:lang w:eastAsia="zh-CN"/>
                    </w:rPr>
                  </w:pPr>
                  <w:r>
                    <w:rPr>
                      <w:rFonts w:hint="eastAsia" w:ascii="Times New Roman" w:hAnsi="Times New Roman" w:cs="Times New Roman"/>
                      <w:bCs/>
                      <w:szCs w:val="21"/>
                      <w:lang w:eastAsia="zh-CN"/>
                    </w:rPr>
                    <w:t>污水处理工序</w:t>
                  </w:r>
                </w:p>
              </w:tc>
              <w:tc>
                <w:tcPr>
                  <w:tcW w:w="775" w:type="pct"/>
                  <w:noWrap w:val="0"/>
                  <w:vAlign w:val="center"/>
                </w:tcPr>
                <w:p>
                  <w:pPr>
                    <w:jc w:val="center"/>
                    <w:rPr>
                      <w:rFonts w:hint="eastAsia" w:ascii="Times New Roman" w:hAnsi="Times New Roman" w:cs="Times New Roman"/>
                      <w:bCs/>
                      <w:szCs w:val="21"/>
                      <w:lang w:val="en-US" w:eastAsia="zh-CN"/>
                    </w:rPr>
                  </w:pPr>
                  <w:r>
                    <w:rPr>
                      <w:rFonts w:hint="eastAsia" w:ascii="Times New Roman" w:hAnsi="Times New Roman" w:cs="Times New Roman"/>
                      <w:bCs/>
                      <w:szCs w:val="21"/>
                      <w:lang w:val="en-US" w:eastAsia="zh-CN"/>
                    </w:rPr>
                    <w:t>臭气浓度、氨、硫化氢</w:t>
                  </w:r>
                </w:p>
              </w:tc>
              <w:tc>
                <w:tcPr>
                  <w:tcW w:w="1419" w:type="pct"/>
                  <w:tcBorders>
                    <w:top w:val="single" w:color="auto" w:sz="8" w:space="0"/>
                    <w:bottom w:val="single" w:color="auto" w:sz="2" w:space="0"/>
                  </w:tcBorders>
                  <w:noWrap w:val="0"/>
                  <w:vAlign w:val="center"/>
                </w:tcPr>
                <w:p>
                  <w:pPr>
                    <w:jc w:val="center"/>
                    <w:rPr>
                      <w:rFonts w:hint="eastAsia" w:ascii="Times New Roman" w:hAnsi="Times New Roman" w:cs="Times New Roman"/>
                      <w:bCs/>
                      <w:szCs w:val="21"/>
                      <w:lang w:eastAsia="zh-CN"/>
                    </w:rPr>
                  </w:pPr>
                  <w:r>
                    <w:rPr>
                      <w:rFonts w:hint="eastAsia" w:ascii="Times New Roman" w:hAnsi="Times New Roman" w:cs="Times New Roman"/>
                      <w:bCs/>
                      <w:szCs w:val="21"/>
                      <w:lang w:eastAsia="zh-CN"/>
                    </w:rPr>
                    <w:t>加盖密闭</w:t>
                  </w:r>
                  <w:r>
                    <w:rPr>
                      <w:rFonts w:hint="default" w:ascii="Times New Roman" w:hAnsi="Times New Roman" w:cs="Times New Roman"/>
                      <w:bCs/>
                      <w:szCs w:val="21"/>
                    </w:rPr>
                    <w:t>+</w:t>
                  </w:r>
                  <w:r>
                    <w:rPr>
                      <w:rFonts w:hint="eastAsia" w:ascii="Times New Roman" w:hAnsi="Times New Roman" w:cs="Times New Roman"/>
                      <w:bCs/>
                      <w:szCs w:val="21"/>
                      <w:lang w:eastAsia="zh-CN"/>
                    </w:rPr>
                    <w:t>活性炭装置</w:t>
                  </w:r>
                  <w:r>
                    <w:rPr>
                      <w:rFonts w:hint="default" w:ascii="Times New Roman" w:hAnsi="Times New Roman" w:cs="Times New Roman"/>
                      <w:bCs/>
                      <w:szCs w:val="21"/>
                    </w:rPr>
                    <w:t>+15m排气筒</w:t>
                  </w:r>
                  <w:r>
                    <w:rPr>
                      <w:rFonts w:hint="eastAsia" w:ascii="Times New Roman" w:hAnsi="Times New Roman" w:cs="Times New Roman"/>
                      <w:bCs/>
                      <w:szCs w:val="21"/>
                      <w:lang w:val="en-US" w:eastAsia="zh-CN"/>
                    </w:rPr>
                    <w:t>P1</w:t>
                  </w:r>
                </w:p>
              </w:tc>
              <w:tc>
                <w:tcPr>
                  <w:tcW w:w="1595" w:type="pct"/>
                  <w:vMerge w:val="continue"/>
                  <w:tcBorders>
                    <w:bottom w:val="single" w:color="auto" w:sz="4" w:space="0"/>
                  </w:tcBorders>
                  <w:noWrap w:val="0"/>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475" w:type="pct"/>
                  <w:vMerge w:val="continue"/>
                  <w:noWrap w:val="0"/>
                  <w:vAlign w:val="center"/>
                </w:tcPr>
                <w:p>
                  <w:pPr>
                    <w:jc w:val="center"/>
                    <w:rPr>
                      <w:rFonts w:hint="default" w:ascii="Times New Roman" w:hAnsi="Times New Roman" w:cs="Times New Roman"/>
                      <w:szCs w:val="21"/>
                    </w:rPr>
                  </w:pPr>
                </w:p>
              </w:tc>
              <w:tc>
                <w:tcPr>
                  <w:tcW w:w="734" w:type="pct"/>
                  <w:noWrap w:val="0"/>
                  <w:vAlign w:val="center"/>
                </w:tcPr>
                <w:p>
                  <w:pPr>
                    <w:autoSpaceDE w:val="0"/>
                    <w:autoSpaceDN w:val="0"/>
                    <w:jc w:val="center"/>
                    <w:rPr>
                      <w:rFonts w:hint="default" w:ascii="Times New Roman" w:hAnsi="Times New Roman" w:cs="Times New Roman"/>
                      <w:szCs w:val="21"/>
                    </w:rPr>
                  </w:pPr>
                  <w:r>
                    <w:rPr>
                      <w:rFonts w:hint="eastAsia" w:ascii="Times New Roman" w:hAnsi="Times New Roman" w:cs="Times New Roman"/>
                      <w:bCs/>
                      <w:szCs w:val="21"/>
                      <w:lang w:eastAsia="zh-CN"/>
                    </w:rPr>
                    <w:t>泡酸工序</w:t>
                  </w:r>
                </w:p>
              </w:tc>
              <w:tc>
                <w:tcPr>
                  <w:tcW w:w="775" w:type="pct"/>
                  <w:noWrap w:val="0"/>
                  <w:vAlign w:val="center"/>
                </w:tcPr>
                <w:p>
                  <w:pPr>
                    <w:jc w:val="center"/>
                    <w:rPr>
                      <w:rFonts w:hint="default" w:ascii="Times New Roman" w:hAnsi="Times New Roman" w:cs="Times New Roman"/>
                    </w:rPr>
                  </w:pPr>
                  <w:r>
                    <w:rPr>
                      <w:rFonts w:hint="default" w:ascii="Times New Roman" w:hAnsi="Times New Roman" w:cs="Times New Roman"/>
                      <w:bCs/>
                      <w:szCs w:val="21"/>
                    </w:rPr>
                    <w:t>无组织</w:t>
                  </w:r>
                  <w:r>
                    <w:rPr>
                      <w:rFonts w:hint="eastAsia" w:ascii="Times New Roman" w:hAnsi="Times New Roman" w:cs="Times New Roman"/>
                      <w:bCs/>
                      <w:szCs w:val="21"/>
                      <w:lang w:eastAsia="zh-CN"/>
                    </w:rPr>
                    <w:t>硫酸雾、氯化氢</w:t>
                  </w:r>
                </w:p>
              </w:tc>
              <w:tc>
                <w:tcPr>
                  <w:tcW w:w="1419" w:type="pct"/>
                  <w:vMerge w:val="restart"/>
                  <w:tcBorders>
                    <w:top w:val="single" w:color="auto" w:sz="2" w:space="0"/>
                  </w:tcBorders>
                  <w:noWrap w:val="0"/>
                  <w:vAlign w:val="center"/>
                </w:tcPr>
                <w:p>
                  <w:pPr>
                    <w:jc w:val="center"/>
                    <w:rPr>
                      <w:rFonts w:hint="default" w:ascii="Times New Roman" w:hAnsi="Times New Roman" w:cs="Times New Roman"/>
                    </w:rPr>
                  </w:pPr>
                  <w:r>
                    <w:rPr>
                      <w:rFonts w:hint="default" w:ascii="Times New Roman" w:hAnsi="Times New Roman" w:cs="Times New Roman"/>
                      <w:szCs w:val="21"/>
                    </w:rPr>
                    <w:t>厂房封闭</w:t>
                  </w:r>
                </w:p>
              </w:tc>
              <w:tc>
                <w:tcPr>
                  <w:tcW w:w="1595" w:type="pct"/>
                  <w:tcBorders>
                    <w:top w:val="single" w:color="auto" w:sz="4" w:space="0"/>
                    <w:bottom w:val="single" w:color="auto" w:sz="4"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满足《大气污染物综合排放标准》（GB16297-1996）表2厂界浓度标准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475" w:type="pct"/>
                  <w:vMerge w:val="continue"/>
                  <w:noWrap w:val="0"/>
                  <w:vAlign w:val="center"/>
                </w:tcPr>
                <w:p>
                  <w:pPr>
                    <w:jc w:val="center"/>
                    <w:rPr>
                      <w:rFonts w:hint="default" w:ascii="Times New Roman" w:hAnsi="Times New Roman" w:cs="Times New Roman"/>
                      <w:szCs w:val="21"/>
                    </w:rPr>
                  </w:pPr>
                </w:p>
              </w:tc>
              <w:tc>
                <w:tcPr>
                  <w:tcW w:w="734" w:type="pct"/>
                  <w:noWrap w:val="0"/>
                  <w:vAlign w:val="center"/>
                </w:tcPr>
                <w:p>
                  <w:pPr>
                    <w:autoSpaceDE w:val="0"/>
                    <w:autoSpaceDN w:val="0"/>
                    <w:jc w:val="center"/>
                    <w:rPr>
                      <w:rFonts w:hint="default" w:ascii="Times New Roman" w:hAnsi="Times New Roman" w:cs="Times New Roman"/>
                      <w:szCs w:val="21"/>
                    </w:rPr>
                  </w:pPr>
                  <w:r>
                    <w:rPr>
                      <w:rFonts w:hint="eastAsia" w:ascii="Times New Roman" w:hAnsi="Times New Roman" w:cs="Times New Roman"/>
                      <w:bCs/>
                      <w:szCs w:val="21"/>
                      <w:lang w:eastAsia="zh-CN"/>
                    </w:rPr>
                    <w:t>中和工序</w:t>
                  </w:r>
                </w:p>
              </w:tc>
              <w:tc>
                <w:tcPr>
                  <w:tcW w:w="775" w:type="pct"/>
                  <w:noWrap w:val="0"/>
                  <w:vAlign w:val="center"/>
                </w:tcPr>
                <w:p>
                  <w:pPr>
                    <w:jc w:val="center"/>
                    <w:rPr>
                      <w:rFonts w:hint="default" w:ascii="Times New Roman" w:hAnsi="Times New Roman" w:cs="Times New Roman"/>
                      <w:szCs w:val="21"/>
                    </w:rPr>
                  </w:pPr>
                  <w:r>
                    <w:rPr>
                      <w:rFonts w:hint="default" w:ascii="Times New Roman" w:hAnsi="Times New Roman" w:cs="Times New Roman"/>
                      <w:bCs/>
                      <w:szCs w:val="21"/>
                    </w:rPr>
                    <w:t>无组织</w:t>
                  </w:r>
                  <w:r>
                    <w:rPr>
                      <w:rFonts w:hint="eastAsia" w:ascii="Times New Roman" w:hAnsi="Times New Roman" w:cs="Times New Roman"/>
                      <w:bCs/>
                      <w:szCs w:val="21"/>
                      <w:lang w:eastAsia="zh-CN"/>
                    </w:rPr>
                    <w:t>氨</w:t>
                  </w:r>
                </w:p>
              </w:tc>
              <w:tc>
                <w:tcPr>
                  <w:tcW w:w="1419" w:type="pct"/>
                  <w:vMerge w:val="continue"/>
                  <w:noWrap w:val="0"/>
                  <w:vAlign w:val="center"/>
                </w:tcPr>
                <w:p>
                  <w:pPr>
                    <w:jc w:val="center"/>
                    <w:rPr>
                      <w:rFonts w:hint="default" w:ascii="Times New Roman" w:hAnsi="Times New Roman" w:cs="Times New Roman"/>
                      <w:szCs w:val="21"/>
                    </w:rPr>
                  </w:pPr>
                </w:p>
              </w:tc>
              <w:tc>
                <w:tcPr>
                  <w:tcW w:w="1595" w:type="pct"/>
                  <w:tcBorders>
                    <w:top w:val="single" w:color="auto" w:sz="4" w:space="0"/>
                    <w:bottom w:val="single" w:color="auto" w:sz="4"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eastAsia="zh-CN"/>
                    </w:rPr>
                    <w:t>《恶臭污染物排放标准》（</w:t>
                  </w:r>
                  <w:r>
                    <w:rPr>
                      <w:rFonts w:hint="default" w:ascii="Times New Roman" w:hAnsi="Times New Roman" w:cs="Times New Roman"/>
                      <w:szCs w:val="21"/>
                      <w:lang w:val="en-US" w:eastAsia="zh-CN"/>
                    </w:rPr>
                    <w:t>GB14554-1993</w:t>
                  </w:r>
                  <w:r>
                    <w:rPr>
                      <w:rFonts w:hint="default" w:ascii="Times New Roman" w:hAnsi="Times New Roman" w:cs="Times New Roman"/>
                      <w:szCs w:val="21"/>
                      <w:lang w:eastAsia="zh-CN"/>
                    </w:rPr>
                    <w:t>）</w:t>
                  </w:r>
                  <w:r>
                    <w:rPr>
                      <w:rFonts w:hint="default" w:ascii="Times New Roman" w:hAnsi="Times New Roman" w:cs="Times New Roman"/>
                      <w:szCs w:val="21"/>
                    </w:rPr>
                    <w:t>表</w:t>
                  </w:r>
                  <w:r>
                    <w:rPr>
                      <w:rFonts w:hint="default" w:ascii="Times New Roman" w:hAnsi="Times New Roman" w:cs="Times New Roman"/>
                      <w:szCs w:val="21"/>
                      <w:lang w:val="en-US" w:eastAsia="zh-CN"/>
                    </w:rPr>
                    <w:t>1</w:t>
                  </w:r>
                  <w:r>
                    <w:rPr>
                      <w:rFonts w:hint="default" w:ascii="Times New Roman" w:hAnsi="Times New Roman" w:cs="Times New Roman"/>
                      <w:szCs w:val="21"/>
                      <w:lang w:eastAsia="zh-CN"/>
                    </w:rPr>
                    <w:t>厂界浓度二级标准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046" w:hRule="atLeast"/>
                <w:jc w:val="center"/>
              </w:trPr>
              <w:tc>
                <w:tcPr>
                  <w:tcW w:w="47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水</w:t>
                  </w:r>
                </w:p>
                <w:p>
                  <w:pPr>
                    <w:jc w:val="center"/>
                    <w:rPr>
                      <w:rFonts w:hint="default" w:ascii="Times New Roman" w:hAnsi="Times New Roman" w:cs="Times New Roman"/>
                      <w:szCs w:val="21"/>
                    </w:rPr>
                  </w:pPr>
                  <w:r>
                    <w:rPr>
                      <w:rFonts w:hint="default" w:ascii="Times New Roman" w:hAnsi="Times New Roman" w:cs="Times New Roman"/>
                      <w:szCs w:val="21"/>
                    </w:rPr>
                    <w:t>污</w:t>
                  </w:r>
                </w:p>
                <w:p>
                  <w:pPr>
                    <w:jc w:val="center"/>
                    <w:rPr>
                      <w:rFonts w:hint="default" w:ascii="Times New Roman" w:hAnsi="Times New Roman" w:cs="Times New Roman"/>
                      <w:szCs w:val="21"/>
                    </w:rPr>
                  </w:pPr>
                  <w:r>
                    <w:rPr>
                      <w:rFonts w:hint="default" w:ascii="Times New Roman" w:hAnsi="Times New Roman" w:cs="Times New Roman"/>
                      <w:szCs w:val="21"/>
                    </w:rPr>
                    <w:t>染</w:t>
                  </w:r>
                </w:p>
                <w:p>
                  <w:pPr>
                    <w:jc w:val="center"/>
                    <w:rPr>
                      <w:rFonts w:hint="default" w:ascii="Times New Roman" w:hAnsi="Times New Roman" w:cs="Times New Roman"/>
                      <w:szCs w:val="21"/>
                    </w:rPr>
                  </w:pPr>
                  <w:r>
                    <w:rPr>
                      <w:rFonts w:hint="default" w:ascii="Times New Roman" w:hAnsi="Times New Roman" w:cs="Times New Roman"/>
                      <w:szCs w:val="21"/>
                    </w:rPr>
                    <w:t>物</w:t>
                  </w:r>
                </w:p>
              </w:tc>
              <w:tc>
                <w:tcPr>
                  <w:tcW w:w="734" w:type="pct"/>
                  <w:noWrap w:val="0"/>
                  <w:vAlign w:val="center"/>
                </w:tcPr>
                <w:p>
                  <w:pPr>
                    <w:jc w:val="center"/>
                    <w:rPr>
                      <w:rFonts w:hint="default" w:ascii="Times New Roman" w:hAnsi="Times New Roman" w:cs="Times New Roman"/>
                      <w:szCs w:val="21"/>
                    </w:rPr>
                  </w:pPr>
                  <w:r>
                    <w:rPr>
                      <w:rFonts w:hint="eastAsia" w:ascii="Times New Roman" w:hAnsi="Times New Roman" w:cs="Times New Roman"/>
                      <w:szCs w:val="21"/>
                      <w:lang w:eastAsia="zh-CN"/>
                    </w:rPr>
                    <w:t>生产废水、喷淋塔定期外排水、</w:t>
                  </w:r>
                  <w:r>
                    <w:rPr>
                      <w:rFonts w:hint="default" w:ascii="Times New Roman" w:hAnsi="Times New Roman" w:cs="Times New Roman"/>
                      <w:szCs w:val="21"/>
                    </w:rPr>
                    <w:t>生活污水</w:t>
                  </w:r>
                </w:p>
              </w:tc>
              <w:tc>
                <w:tcPr>
                  <w:tcW w:w="77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CODcr</w:t>
                  </w:r>
                </w:p>
                <w:p>
                  <w:pPr>
                    <w:jc w:val="center"/>
                    <w:rPr>
                      <w:rFonts w:hint="default" w:ascii="Times New Roman" w:hAnsi="Times New Roman" w:cs="Times New Roman"/>
                      <w:szCs w:val="21"/>
                    </w:rPr>
                  </w:pPr>
                  <w:r>
                    <w:rPr>
                      <w:rFonts w:hint="default" w:ascii="Times New Roman" w:hAnsi="Times New Roman" w:cs="Times New Roman"/>
                      <w:szCs w:val="21"/>
                    </w:rPr>
                    <w:t>SS</w:t>
                  </w:r>
                </w:p>
                <w:p>
                  <w:pPr>
                    <w:jc w:val="center"/>
                    <w:rPr>
                      <w:rFonts w:hint="default" w:ascii="Times New Roman" w:hAnsi="Times New Roman" w:cs="Times New Roman"/>
                      <w:szCs w:val="21"/>
                    </w:rPr>
                  </w:pPr>
                  <w:r>
                    <w:rPr>
                      <w:rFonts w:hint="default" w:ascii="Times New Roman" w:hAnsi="Times New Roman" w:cs="Times New Roman"/>
                      <w:szCs w:val="21"/>
                    </w:rPr>
                    <w:t>BOD</w:t>
                  </w:r>
                  <w:r>
                    <w:rPr>
                      <w:rFonts w:hint="default" w:ascii="Times New Roman" w:hAnsi="Times New Roman" w:cs="Times New Roman"/>
                      <w:szCs w:val="21"/>
                      <w:vertAlign w:val="subscript"/>
                    </w:rPr>
                    <w:t>5</w:t>
                  </w:r>
                </w:p>
                <w:p>
                  <w:pPr>
                    <w:jc w:val="center"/>
                    <w:rPr>
                      <w:rFonts w:hint="default" w:ascii="Times New Roman" w:hAnsi="Times New Roman" w:cs="Times New Roman"/>
                      <w:szCs w:val="21"/>
                    </w:rPr>
                  </w:pPr>
                  <w:r>
                    <w:rPr>
                      <w:rFonts w:hint="default" w:ascii="Times New Roman" w:hAnsi="Times New Roman" w:cs="Times New Roman"/>
                      <w:szCs w:val="21"/>
                    </w:rPr>
                    <w:t>NH</w:t>
                  </w:r>
                  <w:r>
                    <w:rPr>
                      <w:rFonts w:hint="default" w:ascii="Times New Roman" w:hAnsi="Times New Roman" w:cs="Times New Roman"/>
                      <w:szCs w:val="21"/>
                      <w:vertAlign w:val="subscript"/>
                    </w:rPr>
                    <w:t>3</w:t>
                  </w:r>
                  <w:r>
                    <w:rPr>
                      <w:rFonts w:hint="default" w:ascii="Times New Roman" w:hAnsi="Times New Roman" w:cs="Times New Roman"/>
                      <w:szCs w:val="21"/>
                    </w:rPr>
                    <w:t>-N</w:t>
                  </w:r>
                </w:p>
              </w:tc>
              <w:tc>
                <w:tcPr>
                  <w:tcW w:w="1419" w:type="pct"/>
                  <w:noWrap w:val="0"/>
                  <w:vAlign w:val="center"/>
                </w:tcPr>
                <w:p>
                  <w:pPr>
                    <w:jc w:val="center"/>
                    <w:rPr>
                      <w:rFonts w:hint="default" w:ascii="Times New Roman" w:hAnsi="Times New Roman" w:cs="Times New Roman"/>
                      <w:szCs w:val="21"/>
                    </w:rPr>
                  </w:pPr>
                  <w:r>
                    <w:rPr>
                      <w:rFonts w:hint="eastAsia" w:ascii="Times New Roman" w:hAnsi="Times New Roman" w:cs="Times New Roman"/>
                      <w:bCs/>
                      <w:szCs w:val="21"/>
                      <w:lang w:eastAsia="zh-CN"/>
                    </w:rPr>
                    <w:t>经厂区污水处理站处理达标后，</w:t>
                  </w:r>
                  <w:r>
                    <w:rPr>
                      <w:rFonts w:hint="eastAsia" w:ascii="Times New Roman" w:hAnsi="Times New Roman" w:cs="Times New Roman"/>
                      <w:bCs/>
                      <w:szCs w:val="21"/>
                      <w:lang w:val="en-US" w:eastAsia="zh-CN"/>
                    </w:rPr>
                    <w:t>经市政管网排至鄄城县第二污水处理厂进行深度处理</w:t>
                  </w:r>
                </w:p>
              </w:tc>
              <w:tc>
                <w:tcPr>
                  <w:tcW w:w="1595" w:type="pct"/>
                  <w:tcBorders>
                    <w:top w:val="single" w:color="auto" w:sz="4" w:space="0"/>
                    <w:bottom w:val="single" w:color="auto" w:sz="4"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《污水排入城镇下水道水质标准》（GB/T31962-2015）表1 B等级标准后</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07" w:hRule="atLeast"/>
                <w:jc w:val="center"/>
              </w:trPr>
              <w:tc>
                <w:tcPr>
                  <w:tcW w:w="475" w:type="pct"/>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固</w:t>
                  </w:r>
                </w:p>
                <w:p>
                  <w:pPr>
                    <w:jc w:val="center"/>
                    <w:rPr>
                      <w:rFonts w:hint="default" w:ascii="Times New Roman" w:hAnsi="Times New Roman" w:cs="Times New Roman"/>
                      <w:szCs w:val="21"/>
                    </w:rPr>
                  </w:pPr>
                  <w:r>
                    <w:rPr>
                      <w:rFonts w:hint="default" w:ascii="Times New Roman" w:hAnsi="Times New Roman" w:cs="Times New Roman"/>
                      <w:szCs w:val="21"/>
                    </w:rPr>
                    <w:t>体</w:t>
                  </w:r>
                </w:p>
                <w:p>
                  <w:pPr>
                    <w:jc w:val="center"/>
                    <w:rPr>
                      <w:rFonts w:hint="default" w:ascii="Times New Roman" w:hAnsi="Times New Roman" w:cs="Times New Roman"/>
                      <w:szCs w:val="21"/>
                    </w:rPr>
                  </w:pPr>
                  <w:r>
                    <w:rPr>
                      <w:rFonts w:hint="default" w:ascii="Times New Roman" w:hAnsi="Times New Roman" w:cs="Times New Roman"/>
                      <w:szCs w:val="21"/>
                    </w:rPr>
                    <w:t>废</w:t>
                  </w:r>
                </w:p>
                <w:p>
                  <w:pPr>
                    <w:jc w:val="center"/>
                    <w:rPr>
                      <w:rFonts w:hint="default" w:ascii="Times New Roman" w:hAnsi="Times New Roman" w:cs="Times New Roman"/>
                      <w:szCs w:val="21"/>
                    </w:rPr>
                  </w:pPr>
                  <w:r>
                    <w:rPr>
                      <w:rFonts w:hint="default" w:ascii="Times New Roman" w:hAnsi="Times New Roman" w:cs="Times New Roman"/>
                      <w:szCs w:val="21"/>
                    </w:rPr>
                    <w:t>物</w:t>
                  </w:r>
                </w:p>
              </w:tc>
              <w:tc>
                <w:tcPr>
                  <w:tcW w:w="734" w:type="pct"/>
                  <w:noWrap w:val="0"/>
                  <w:vAlign w:val="center"/>
                </w:tcPr>
                <w:p>
                  <w:pPr>
                    <w:jc w:val="center"/>
                    <w:rPr>
                      <w:rFonts w:hint="default" w:ascii="Times New Roman" w:hAnsi="Times New Roman" w:cs="Times New Roman"/>
                      <w:szCs w:val="21"/>
                    </w:rPr>
                  </w:pPr>
                  <w:r>
                    <w:rPr>
                      <w:rFonts w:hint="eastAsia" w:ascii="Times New Roman" w:hAnsi="Times New Roman" w:cs="Times New Roman"/>
                      <w:szCs w:val="21"/>
                      <w:lang w:eastAsia="zh-CN"/>
                    </w:rPr>
                    <w:t>污水处理</w:t>
                  </w:r>
                </w:p>
              </w:tc>
              <w:tc>
                <w:tcPr>
                  <w:tcW w:w="775" w:type="pct"/>
                  <w:noWrap w:val="0"/>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污泥</w:t>
                  </w:r>
                </w:p>
              </w:tc>
              <w:tc>
                <w:tcPr>
                  <w:tcW w:w="1419" w:type="pct"/>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交由专门的污泥处置单位进行安全处置</w:t>
                  </w:r>
                </w:p>
              </w:tc>
              <w:tc>
                <w:tcPr>
                  <w:tcW w:w="1595" w:type="pct"/>
                  <w:tcBorders>
                    <w:top w:val="single" w:color="auto" w:sz="4" w:space="0"/>
                    <w:bottom w:val="single" w:color="auto" w:sz="4"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bCs/>
                      <w:szCs w:val="21"/>
                    </w:rPr>
                    <w:t xml:space="preserve">实现资源再利用 </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07" w:hRule="atLeast"/>
                <w:jc w:val="center"/>
              </w:trPr>
              <w:tc>
                <w:tcPr>
                  <w:tcW w:w="475" w:type="pct"/>
                  <w:vMerge w:val="continue"/>
                  <w:noWrap w:val="0"/>
                  <w:vAlign w:val="center"/>
                </w:tcPr>
                <w:p>
                  <w:pPr>
                    <w:jc w:val="center"/>
                    <w:rPr>
                      <w:rFonts w:hint="default" w:ascii="Times New Roman" w:hAnsi="Times New Roman" w:cs="Times New Roman"/>
                      <w:szCs w:val="21"/>
                    </w:rPr>
                  </w:pPr>
                </w:p>
              </w:tc>
              <w:tc>
                <w:tcPr>
                  <w:tcW w:w="734" w:type="pct"/>
                  <w:noWrap w:val="0"/>
                  <w:vAlign w:val="center"/>
                </w:tcPr>
                <w:p>
                  <w:pPr>
                    <w:jc w:val="center"/>
                    <w:rPr>
                      <w:rFonts w:hint="eastAsia" w:ascii="Times New Roman" w:hAnsi="Times New Roman" w:cs="Times New Roman"/>
                      <w:szCs w:val="21"/>
                      <w:lang w:eastAsia="zh-CN"/>
                    </w:rPr>
                  </w:pPr>
                  <w:r>
                    <w:rPr>
                      <w:rFonts w:hint="eastAsia" w:ascii="Times New Roman" w:hAnsi="Times New Roman" w:cs="Times New Roman"/>
                      <w:szCs w:val="21"/>
                      <w:lang w:eastAsia="zh-CN"/>
                    </w:rPr>
                    <w:t>生产</w:t>
                  </w:r>
                </w:p>
              </w:tc>
              <w:tc>
                <w:tcPr>
                  <w:tcW w:w="775" w:type="pct"/>
                  <w:noWrap w:val="0"/>
                  <w:vAlign w:val="center"/>
                </w:tcPr>
                <w:p>
                  <w:pPr>
                    <w:jc w:val="center"/>
                    <w:rPr>
                      <w:rFonts w:hint="default" w:ascii="Times New Roman" w:hAnsi="Times New Roman" w:cs="Times New Roman"/>
                      <w:szCs w:val="21"/>
                    </w:rPr>
                  </w:pPr>
                  <w:r>
                    <w:rPr>
                      <w:rFonts w:hint="eastAsia" w:ascii="Times New Roman" w:hAnsi="Times New Roman" w:eastAsia="宋体" w:cs="Times New Roman"/>
                      <w:szCs w:val="21"/>
                      <w:lang w:eastAsia="zh-CN"/>
                    </w:rPr>
                    <w:t>下脚料</w:t>
                  </w:r>
                </w:p>
              </w:tc>
              <w:tc>
                <w:tcPr>
                  <w:tcW w:w="1419" w:type="pct"/>
                  <w:vMerge w:val="restart"/>
                  <w:noWrap w:val="0"/>
                  <w:vAlign w:val="center"/>
                </w:tcPr>
                <w:p>
                  <w:pPr>
                    <w:jc w:val="center"/>
                    <w:rPr>
                      <w:rFonts w:hint="default" w:ascii="Times New Roman" w:hAnsi="Times New Roman" w:cs="Times New Roman"/>
                      <w:bCs/>
                      <w:szCs w:val="21"/>
                      <w:lang w:eastAsia="zh-CN"/>
                    </w:rPr>
                  </w:pPr>
                  <w:r>
                    <w:rPr>
                      <w:rFonts w:hint="default" w:ascii="Times New Roman" w:hAnsi="Times New Roman" w:cs="Times New Roman"/>
                      <w:szCs w:val="21"/>
                    </w:rPr>
                    <w:t>收集后外售</w:t>
                  </w:r>
                  <w:r>
                    <w:rPr>
                      <w:rFonts w:hint="eastAsia" w:ascii="Times New Roman" w:hAnsi="Times New Roman" w:cs="Times New Roman"/>
                      <w:szCs w:val="21"/>
                      <w:lang w:eastAsia="zh-CN"/>
                    </w:rPr>
                    <w:t>综合利用</w:t>
                  </w:r>
                </w:p>
              </w:tc>
              <w:tc>
                <w:tcPr>
                  <w:tcW w:w="1595" w:type="pct"/>
                  <w:tcBorders>
                    <w:top w:val="single" w:color="auto" w:sz="4" w:space="0"/>
                    <w:bottom w:val="single" w:color="auto" w:sz="4" w:space="0"/>
                  </w:tcBorders>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实现资源再利用</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07" w:hRule="atLeast"/>
                <w:jc w:val="center"/>
              </w:trPr>
              <w:tc>
                <w:tcPr>
                  <w:tcW w:w="475" w:type="pct"/>
                  <w:vMerge w:val="continue"/>
                  <w:noWrap w:val="0"/>
                  <w:vAlign w:val="center"/>
                </w:tcPr>
                <w:p>
                  <w:pPr>
                    <w:jc w:val="center"/>
                    <w:rPr>
                      <w:rFonts w:hint="default" w:ascii="Times New Roman" w:hAnsi="Times New Roman" w:cs="Times New Roman"/>
                      <w:szCs w:val="21"/>
                    </w:rPr>
                  </w:pPr>
                </w:p>
              </w:tc>
              <w:tc>
                <w:tcPr>
                  <w:tcW w:w="734" w:type="pct"/>
                  <w:noWrap w:val="0"/>
                  <w:vAlign w:val="center"/>
                </w:tcPr>
                <w:p>
                  <w:pPr>
                    <w:jc w:val="center"/>
                    <w:rPr>
                      <w:rFonts w:hint="eastAsia" w:ascii="Times New Roman" w:hAnsi="Times New Roman" w:cs="Times New Roman"/>
                      <w:szCs w:val="21"/>
                      <w:lang w:eastAsia="zh-CN"/>
                    </w:rPr>
                  </w:pPr>
                  <w:r>
                    <w:rPr>
                      <w:rFonts w:hint="default" w:ascii="Times New Roman" w:hAnsi="Times New Roman" w:cs="Times New Roman"/>
                      <w:szCs w:val="21"/>
                      <w:lang w:eastAsia="zh-CN"/>
                    </w:rPr>
                    <w:t>原料拆包</w:t>
                  </w:r>
                </w:p>
              </w:tc>
              <w:tc>
                <w:tcPr>
                  <w:tcW w:w="775" w:type="pct"/>
                  <w:noWrap w:val="0"/>
                  <w:vAlign w:val="center"/>
                </w:tcPr>
                <w:p>
                  <w:pPr>
                    <w:jc w:val="center"/>
                    <w:rPr>
                      <w:rFonts w:hint="default" w:ascii="Times New Roman" w:hAnsi="Times New Roman" w:cs="Times New Roman"/>
                      <w:szCs w:val="21"/>
                    </w:rPr>
                  </w:pPr>
                  <w:r>
                    <w:rPr>
                      <w:rFonts w:hint="eastAsia" w:ascii="Times New Roman" w:hAnsi="Times New Roman" w:cs="Times New Roman"/>
                      <w:szCs w:val="21"/>
                      <w:lang w:eastAsia="zh-CN"/>
                    </w:rPr>
                    <w:t>废包装物</w:t>
                  </w:r>
                </w:p>
              </w:tc>
              <w:tc>
                <w:tcPr>
                  <w:tcW w:w="1419" w:type="pct"/>
                  <w:vMerge w:val="continue"/>
                  <w:noWrap w:val="0"/>
                  <w:vAlign w:val="center"/>
                </w:tcPr>
                <w:p>
                  <w:pPr>
                    <w:jc w:val="center"/>
                    <w:rPr>
                      <w:rFonts w:hint="default" w:ascii="Times New Roman" w:hAnsi="Times New Roman" w:cs="Times New Roman"/>
                      <w:bCs/>
                      <w:szCs w:val="21"/>
                      <w:lang w:eastAsia="zh-CN"/>
                    </w:rPr>
                  </w:pPr>
                </w:p>
              </w:tc>
              <w:tc>
                <w:tcPr>
                  <w:tcW w:w="1595" w:type="pct"/>
                  <w:tcBorders>
                    <w:top w:val="single" w:color="auto" w:sz="4" w:space="0"/>
                    <w:bottom w:val="single" w:color="auto" w:sz="4" w:space="0"/>
                  </w:tcBorders>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实现资源再利用</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07" w:hRule="atLeast"/>
                <w:jc w:val="center"/>
              </w:trPr>
              <w:tc>
                <w:tcPr>
                  <w:tcW w:w="475" w:type="pct"/>
                  <w:vMerge w:val="continue"/>
                  <w:noWrap w:val="0"/>
                  <w:vAlign w:val="center"/>
                </w:tcPr>
                <w:p>
                  <w:pPr>
                    <w:jc w:val="center"/>
                    <w:rPr>
                      <w:rFonts w:hint="default" w:ascii="Times New Roman" w:hAnsi="Times New Roman" w:cs="Times New Roman"/>
                      <w:szCs w:val="21"/>
                    </w:rPr>
                  </w:pPr>
                </w:p>
              </w:tc>
              <w:tc>
                <w:tcPr>
                  <w:tcW w:w="734" w:type="pct"/>
                  <w:tcBorders>
                    <w:bottom w:val="single" w:color="auto" w:sz="4" w:space="0"/>
                  </w:tcBorders>
                  <w:noWrap w:val="0"/>
                  <w:vAlign w:val="center"/>
                </w:tcPr>
                <w:p>
                  <w:pPr>
                    <w:jc w:val="center"/>
                    <w:rPr>
                      <w:rFonts w:hint="eastAsia" w:ascii="Times New Roman" w:hAnsi="Times New Roman" w:cs="Times New Roman"/>
                      <w:szCs w:val="21"/>
                      <w:lang w:eastAsia="zh-CN"/>
                    </w:rPr>
                  </w:pPr>
                  <w:r>
                    <w:rPr>
                      <w:rFonts w:hint="eastAsia" w:ascii="Times New Roman" w:hAnsi="Times New Roman" w:cs="Times New Roman"/>
                      <w:szCs w:val="21"/>
                      <w:lang w:eastAsia="zh-CN"/>
                    </w:rPr>
                    <w:t>污水处理</w:t>
                  </w:r>
                </w:p>
              </w:tc>
              <w:tc>
                <w:tcPr>
                  <w:tcW w:w="775" w:type="pct"/>
                  <w:tcBorders>
                    <w:bottom w:val="single" w:color="auto" w:sz="4" w:space="0"/>
                  </w:tcBorders>
                  <w:noWrap w:val="0"/>
                  <w:vAlign w:val="center"/>
                </w:tcPr>
                <w:p>
                  <w:pPr>
                    <w:jc w:val="center"/>
                    <w:rPr>
                      <w:rFonts w:hint="default" w:ascii="Times New Roman" w:hAnsi="Times New Roman" w:cs="Times New Roman"/>
                      <w:szCs w:val="21"/>
                    </w:rPr>
                  </w:pPr>
                  <w:r>
                    <w:rPr>
                      <w:rFonts w:hint="eastAsia" w:ascii="Times New Roman" w:hAnsi="Times New Roman" w:cs="Times New Roman"/>
                      <w:szCs w:val="21"/>
                      <w:lang w:eastAsia="zh-CN"/>
                    </w:rPr>
                    <w:t>废活性炭</w:t>
                  </w:r>
                </w:p>
              </w:tc>
              <w:tc>
                <w:tcPr>
                  <w:tcW w:w="1419" w:type="pct"/>
                  <w:vMerge w:val="restart"/>
                  <w:noWrap w:val="0"/>
                  <w:vAlign w:val="center"/>
                </w:tcPr>
                <w:p>
                  <w:pPr>
                    <w:jc w:val="center"/>
                    <w:rPr>
                      <w:rFonts w:hint="default" w:ascii="Times New Roman" w:hAnsi="Times New Roman" w:cs="Times New Roman"/>
                      <w:bCs/>
                      <w:szCs w:val="21"/>
                      <w:lang w:eastAsia="zh-CN"/>
                    </w:rPr>
                  </w:pPr>
                  <w:r>
                    <w:rPr>
                      <w:rFonts w:hint="eastAsia" w:ascii="Times New Roman" w:hAnsi="Times New Roman" w:cs="Times New Roman"/>
                      <w:szCs w:val="21"/>
                      <w:lang w:eastAsia="zh-CN"/>
                    </w:rPr>
                    <w:t>暂存危废间，</w:t>
                  </w:r>
                  <w:r>
                    <w:rPr>
                      <w:rFonts w:hint="default" w:ascii="Times New Roman" w:hAnsi="Times New Roman" w:cs="Times New Roman"/>
                      <w:szCs w:val="21"/>
                    </w:rPr>
                    <w:t>委托有资质</w:t>
                  </w:r>
                  <w:r>
                    <w:rPr>
                      <w:rFonts w:hint="eastAsia" w:ascii="Times New Roman" w:hAnsi="Times New Roman" w:cs="Times New Roman"/>
                      <w:szCs w:val="21"/>
                      <w:lang w:eastAsia="zh-CN"/>
                    </w:rPr>
                    <w:t>的</w:t>
                  </w:r>
                  <w:r>
                    <w:rPr>
                      <w:rFonts w:hint="default" w:ascii="Times New Roman" w:hAnsi="Times New Roman" w:cs="Times New Roman"/>
                      <w:szCs w:val="21"/>
                    </w:rPr>
                    <w:t>单位处理</w:t>
                  </w:r>
                </w:p>
              </w:tc>
              <w:tc>
                <w:tcPr>
                  <w:tcW w:w="1595" w:type="pct"/>
                  <w:vMerge w:val="restart"/>
                  <w:tcBorders>
                    <w:top w:val="single" w:color="auto" w:sz="4" w:space="0"/>
                  </w:tcBorders>
                  <w:noWrap w:val="0"/>
                  <w:vAlign w:val="center"/>
                </w:tcPr>
                <w:p>
                  <w:pPr>
                    <w:jc w:val="center"/>
                    <w:rPr>
                      <w:rFonts w:hint="default" w:ascii="Times New Roman" w:hAnsi="Times New Roman" w:eastAsia="宋体" w:cs="Times New Roman"/>
                      <w:bCs/>
                      <w:szCs w:val="21"/>
                      <w:lang w:val="en-US" w:eastAsia="zh-CN"/>
                    </w:rPr>
                  </w:pPr>
                  <w:r>
                    <w:rPr>
                      <w:rFonts w:hint="default" w:ascii="Times New Roman" w:hAnsi="Times New Roman" w:cs="Times New Roman"/>
                      <w:szCs w:val="21"/>
                    </w:rPr>
                    <w:t>合理处置</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综合利用</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507" w:hRule="atLeast"/>
                <w:jc w:val="center"/>
              </w:trPr>
              <w:tc>
                <w:tcPr>
                  <w:tcW w:w="475" w:type="pct"/>
                  <w:vMerge w:val="continue"/>
                  <w:noWrap w:val="0"/>
                  <w:vAlign w:val="center"/>
                </w:tcPr>
                <w:p>
                  <w:pPr>
                    <w:jc w:val="center"/>
                    <w:rPr>
                      <w:rFonts w:hint="default" w:ascii="Times New Roman" w:hAnsi="Times New Roman" w:cs="Times New Roman"/>
                      <w:szCs w:val="21"/>
                    </w:rPr>
                  </w:pPr>
                </w:p>
              </w:tc>
              <w:tc>
                <w:tcPr>
                  <w:tcW w:w="734" w:type="pct"/>
                  <w:tcBorders>
                    <w:top w:val="single" w:color="auto" w:sz="4" w:space="0"/>
                  </w:tcBorders>
                  <w:noWrap w:val="0"/>
                  <w:vAlign w:val="center"/>
                </w:tcPr>
                <w:p>
                  <w:pPr>
                    <w:jc w:val="center"/>
                    <w:rPr>
                      <w:rFonts w:hint="eastAsia" w:ascii="Times New Roman" w:hAnsi="Times New Roman" w:cs="Times New Roman"/>
                      <w:szCs w:val="21"/>
                      <w:lang w:eastAsia="zh-CN"/>
                    </w:rPr>
                  </w:pPr>
                  <w:r>
                    <w:rPr>
                      <w:rFonts w:hint="default" w:ascii="Times New Roman" w:hAnsi="Times New Roman" w:cs="Times New Roman"/>
                      <w:szCs w:val="21"/>
                      <w:lang w:eastAsia="zh-CN"/>
                    </w:rPr>
                    <w:t>原料拆包</w:t>
                  </w:r>
                </w:p>
              </w:tc>
              <w:tc>
                <w:tcPr>
                  <w:tcW w:w="775" w:type="pct"/>
                  <w:tcBorders>
                    <w:top w:val="single" w:color="auto" w:sz="4" w:space="0"/>
                  </w:tcBorders>
                  <w:noWrap w:val="0"/>
                  <w:vAlign w:val="center"/>
                </w:tcPr>
                <w:p>
                  <w:pPr>
                    <w:jc w:val="center"/>
                    <w:rPr>
                      <w:rFonts w:hint="default" w:ascii="Times New Roman" w:hAnsi="Times New Roman" w:cs="Times New Roman"/>
                      <w:szCs w:val="21"/>
                    </w:rPr>
                  </w:pPr>
                  <w:r>
                    <w:rPr>
                      <w:rFonts w:hint="eastAsia" w:ascii="Times New Roman" w:hAnsi="Times New Roman" w:cs="Times New Roman"/>
                      <w:szCs w:val="21"/>
                      <w:lang w:eastAsia="zh-CN"/>
                    </w:rPr>
                    <w:t>化学试剂桶</w:t>
                  </w:r>
                </w:p>
              </w:tc>
              <w:tc>
                <w:tcPr>
                  <w:tcW w:w="1419" w:type="pct"/>
                  <w:vMerge w:val="continue"/>
                  <w:noWrap w:val="0"/>
                  <w:vAlign w:val="center"/>
                </w:tcPr>
                <w:p>
                  <w:pPr>
                    <w:jc w:val="center"/>
                    <w:rPr>
                      <w:rFonts w:hint="default" w:ascii="Times New Roman" w:hAnsi="Times New Roman" w:cs="Times New Roman"/>
                      <w:bCs/>
                      <w:szCs w:val="21"/>
                      <w:lang w:eastAsia="zh-CN"/>
                    </w:rPr>
                  </w:pPr>
                </w:p>
              </w:tc>
              <w:tc>
                <w:tcPr>
                  <w:tcW w:w="1595" w:type="pct"/>
                  <w:vMerge w:val="continue"/>
                  <w:noWrap w:val="0"/>
                  <w:vAlign w:val="center"/>
                </w:tcPr>
                <w:p>
                  <w:pPr>
                    <w:jc w:val="center"/>
                    <w:rPr>
                      <w:rFonts w:hint="default"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07" w:hRule="atLeast"/>
                <w:jc w:val="center"/>
              </w:trPr>
              <w:tc>
                <w:tcPr>
                  <w:tcW w:w="475" w:type="pct"/>
                  <w:vMerge w:val="continue"/>
                  <w:noWrap w:val="0"/>
                  <w:vAlign w:val="center"/>
                </w:tcPr>
                <w:p>
                  <w:pPr>
                    <w:jc w:val="center"/>
                    <w:rPr>
                      <w:rFonts w:hint="default" w:ascii="Times New Roman" w:hAnsi="Times New Roman" w:cs="Times New Roman"/>
                      <w:szCs w:val="21"/>
                    </w:rPr>
                  </w:pPr>
                </w:p>
              </w:tc>
              <w:tc>
                <w:tcPr>
                  <w:tcW w:w="734" w:type="pct"/>
                  <w:tcBorders>
                    <w:top w:val="single" w:color="auto" w:sz="4" w:space="0"/>
                  </w:tcBorders>
                  <w:noWrap w:val="0"/>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设备润滑</w:t>
                  </w:r>
                </w:p>
              </w:tc>
              <w:tc>
                <w:tcPr>
                  <w:tcW w:w="775" w:type="pct"/>
                  <w:tcBorders>
                    <w:top w:val="single" w:color="auto" w:sz="4" w:space="0"/>
                  </w:tcBorders>
                  <w:noWrap w:val="0"/>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废润滑油/桶</w:t>
                  </w:r>
                </w:p>
              </w:tc>
              <w:tc>
                <w:tcPr>
                  <w:tcW w:w="1419" w:type="pct"/>
                  <w:noWrap w:val="0"/>
                  <w:vAlign w:val="center"/>
                </w:tcPr>
                <w:p>
                  <w:pPr>
                    <w:jc w:val="center"/>
                    <w:rPr>
                      <w:rFonts w:hint="default" w:ascii="Times New Roman" w:hAnsi="Times New Roman" w:cs="Times New Roman"/>
                      <w:bCs/>
                      <w:szCs w:val="21"/>
                      <w:lang w:eastAsia="zh-CN"/>
                    </w:rPr>
                  </w:pPr>
                  <w:r>
                    <w:rPr>
                      <w:rFonts w:hint="eastAsia" w:ascii="Times New Roman" w:hAnsi="Times New Roman" w:cs="Times New Roman"/>
                      <w:szCs w:val="21"/>
                      <w:lang w:eastAsia="zh-CN"/>
                    </w:rPr>
                    <w:t>暂存危废间，</w:t>
                  </w:r>
                  <w:r>
                    <w:rPr>
                      <w:rFonts w:hint="default" w:ascii="Times New Roman" w:hAnsi="Times New Roman" w:cs="Times New Roman"/>
                      <w:szCs w:val="21"/>
                    </w:rPr>
                    <w:t>委托有资质</w:t>
                  </w:r>
                  <w:r>
                    <w:rPr>
                      <w:rFonts w:hint="eastAsia" w:ascii="Times New Roman" w:hAnsi="Times New Roman" w:cs="Times New Roman"/>
                      <w:szCs w:val="21"/>
                      <w:lang w:eastAsia="zh-CN"/>
                    </w:rPr>
                    <w:t>的</w:t>
                  </w:r>
                  <w:r>
                    <w:rPr>
                      <w:rFonts w:hint="default" w:ascii="Times New Roman" w:hAnsi="Times New Roman" w:cs="Times New Roman"/>
                      <w:szCs w:val="21"/>
                    </w:rPr>
                    <w:t>单位处理</w:t>
                  </w:r>
                </w:p>
              </w:tc>
              <w:tc>
                <w:tcPr>
                  <w:tcW w:w="1595" w:type="pct"/>
                  <w:vMerge w:val="continue"/>
                  <w:tcBorders>
                    <w:bottom w:val="single" w:color="auto" w:sz="4" w:space="0"/>
                  </w:tcBorders>
                  <w:noWrap w:val="0"/>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07" w:hRule="atLeast"/>
                <w:jc w:val="center"/>
              </w:trPr>
              <w:tc>
                <w:tcPr>
                  <w:tcW w:w="475" w:type="pct"/>
                  <w:vMerge w:val="continue"/>
                  <w:noWrap w:val="0"/>
                  <w:vAlign w:val="center"/>
                </w:tcPr>
                <w:p>
                  <w:pPr>
                    <w:jc w:val="center"/>
                    <w:rPr>
                      <w:rFonts w:hint="default" w:ascii="Times New Roman" w:hAnsi="Times New Roman" w:cs="Times New Roman"/>
                      <w:szCs w:val="21"/>
                    </w:rPr>
                  </w:pPr>
                </w:p>
              </w:tc>
              <w:tc>
                <w:tcPr>
                  <w:tcW w:w="734" w:type="pct"/>
                  <w:noWrap w:val="0"/>
                  <w:vAlign w:val="center"/>
                </w:tcPr>
                <w:p>
                  <w:pPr>
                    <w:jc w:val="center"/>
                    <w:rPr>
                      <w:rFonts w:hint="eastAsia" w:ascii="Times New Roman" w:hAnsi="Times New Roman" w:cs="Times New Roman"/>
                      <w:szCs w:val="21"/>
                      <w:lang w:eastAsia="zh-CN"/>
                    </w:rPr>
                  </w:pPr>
                  <w:r>
                    <w:rPr>
                      <w:rFonts w:hint="default" w:ascii="Times New Roman" w:hAnsi="Times New Roman" w:cs="Times New Roman"/>
                      <w:bCs/>
                      <w:szCs w:val="21"/>
                    </w:rPr>
                    <w:t>生活垃圾</w:t>
                  </w:r>
                </w:p>
              </w:tc>
              <w:tc>
                <w:tcPr>
                  <w:tcW w:w="775" w:type="pct"/>
                  <w:noWrap w:val="0"/>
                  <w:vAlign w:val="center"/>
                </w:tcPr>
                <w:p>
                  <w:pPr>
                    <w:jc w:val="center"/>
                    <w:rPr>
                      <w:rFonts w:hint="default" w:ascii="Times New Roman" w:hAnsi="Times New Roman" w:cs="Times New Roman"/>
                      <w:szCs w:val="21"/>
                    </w:rPr>
                  </w:pPr>
                  <w:r>
                    <w:rPr>
                      <w:rFonts w:hint="default" w:ascii="Times New Roman" w:hAnsi="Times New Roman" w:cs="Times New Roman"/>
                      <w:bCs/>
                      <w:szCs w:val="21"/>
                    </w:rPr>
                    <w:t>生活垃圾</w:t>
                  </w:r>
                </w:p>
              </w:tc>
              <w:tc>
                <w:tcPr>
                  <w:tcW w:w="1419" w:type="pct"/>
                  <w:noWrap w:val="0"/>
                  <w:vAlign w:val="center"/>
                </w:tcPr>
                <w:p>
                  <w:pPr>
                    <w:jc w:val="center"/>
                    <w:rPr>
                      <w:rFonts w:hint="default" w:ascii="Times New Roman" w:hAnsi="Times New Roman" w:cs="Times New Roman"/>
                      <w:szCs w:val="21"/>
                    </w:rPr>
                  </w:pPr>
                  <w:r>
                    <w:rPr>
                      <w:rFonts w:hint="default" w:ascii="Times New Roman" w:hAnsi="Times New Roman" w:cs="Times New Roman"/>
                      <w:bCs/>
                      <w:szCs w:val="21"/>
                    </w:rPr>
                    <w:t>环卫部门定期清运</w:t>
                  </w:r>
                </w:p>
              </w:tc>
              <w:tc>
                <w:tcPr>
                  <w:tcW w:w="1595" w:type="pct"/>
                  <w:tcBorders>
                    <w:top w:val="single" w:color="auto" w:sz="4" w:space="0"/>
                    <w:bottom w:val="single" w:color="auto" w:sz="4" w:space="0"/>
                  </w:tcBorders>
                  <w:noWrap w:val="0"/>
                  <w:vAlign w:val="center"/>
                </w:tcPr>
                <w:p>
                  <w:pPr>
                    <w:jc w:val="center"/>
                    <w:rPr>
                      <w:rFonts w:hint="default" w:ascii="Times New Roman" w:hAnsi="Times New Roman" w:cs="Times New Roman"/>
                      <w:bCs/>
                      <w:szCs w:val="21"/>
                    </w:rPr>
                  </w:pPr>
                  <w:r>
                    <w:rPr>
                      <w:rFonts w:hint="default" w:ascii="Times New Roman" w:hAnsi="Times New Roman" w:cs="Times New Roman"/>
                      <w:szCs w:val="21"/>
                    </w:rPr>
                    <w:t>合理处置，</w:t>
                  </w:r>
                  <w:r>
                    <w:rPr>
                      <w:rFonts w:hint="default" w:ascii="Times New Roman" w:hAnsi="Times New Roman" w:cs="Times New Roman"/>
                      <w:bCs/>
                      <w:szCs w:val="21"/>
                    </w:rPr>
                    <w:t>对环境影响较小</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24" w:hRule="atLeast"/>
                <w:jc w:val="center"/>
              </w:trPr>
              <w:tc>
                <w:tcPr>
                  <w:tcW w:w="47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噪</w:t>
                  </w:r>
                </w:p>
                <w:p>
                  <w:pPr>
                    <w:jc w:val="center"/>
                    <w:rPr>
                      <w:rFonts w:hint="default" w:ascii="Times New Roman" w:hAnsi="Times New Roman" w:cs="Times New Roman"/>
                      <w:szCs w:val="21"/>
                    </w:rPr>
                  </w:pPr>
                  <w:r>
                    <w:rPr>
                      <w:rFonts w:hint="default" w:ascii="Times New Roman" w:hAnsi="Times New Roman" w:cs="Times New Roman"/>
                      <w:szCs w:val="21"/>
                    </w:rPr>
                    <w:t>声</w:t>
                  </w:r>
                </w:p>
              </w:tc>
              <w:tc>
                <w:tcPr>
                  <w:tcW w:w="73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生产设备</w:t>
                  </w:r>
                </w:p>
              </w:tc>
              <w:tc>
                <w:tcPr>
                  <w:tcW w:w="77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运转噪声</w:t>
                  </w:r>
                </w:p>
              </w:tc>
              <w:tc>
                <w:tcPr>
                  <w:tcW w:w="1419" w:type="pct"/>
                  <w:tcBorders>
                    <w:bottom w:val="single" w:color="auto" w:sz="4" w:space="0"/>
                  </w:tcBorders>
                  <w:noWrap w:val="0"/>
                  <w:vAlign w:val="center"/>
                </w:tcPr>
                <w:p>
                  <w:pPr>
                    <w:pStyle w:val="16"/>
                    <w:ind w:firstLine="0" w:firstLineChars="0"/>
                    <w:rPr>
                      <w:rFonts w:hint="default" w:ascii="Times New Roman" w:hAnsi="Times New Roman" w:cs="Times New Roman"/>
                      <w:szCs w:val="21"/>
                    </w:rPr>
                  </w:pPr>
                  <w:r>
                    <w:rPr>
                      <w:rFonts w:hint="default" w:ascii="Times New Roman" w:hAnsi="Times New Roman" w:cs="Times New Roman"/>
                      <w:szCs w:val="21"/>
                    </w:rPr>
                    <w:t>采取消声、隔声及减振措施，封闭厂房，合理布局，加强厂区周边绿化</w:t>
                  </w:r>
                </w:p>
              </w:tc>
              <w:tc>
                <w:tcPr>
                  <w:tcW w:w="1595" w:type="pct"/>
                  <w:tcBorders>
                    <w:top w:val="single" w:color="auto" w:sz="4" w:space="0"/>
                    <w:bottom w:val="single" w:color="auto" w:sz="4"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达标排放</w:t>
                  </w:r>
                </w:p>
              </w:tc>
            </w:tr>
          </w:tbl>
          <w:p>
            <w:pPr>
              <w:spacing w:line="360" w:lineRule="auto"/>
              <w:ind w:firstLine="480" w:firstLineChars="200"/>
              <w:jc w:val="both"/>
              <w:rPr>
                <w:rFonts w:hint="default" w:ascii="Times New Roman" w:hAnsi="Times New Roman" w:cs="Times New Roman"/>
                <w:b/>
                <w:color w:val="000000"/>
                <w:sz w:val="24"/>
              </w:rPr>
            </w:pPr>
            <w:r>
              <w:rPr>
                <w:rFonts w:hint="default" w:ascii="Times New Roman" w:hAnsi="Times New Roman" w:cs="Times New Roman"/>
                <w:b/>
                <w:color w:val="000000"/>
                <w:sz w:val="24"/>
              </w:rPr>
              <w:t>8、结论</w:t>
            </w:r>
          </w:p>
          <w:p>
            <w:pPr>
              <w:spacing w:line="360" w:lineRule="auto"/>
              <w:ind w:firstLine="480" w:firstLineChars="200"/>
              <w:jc w:val="both"/>
              <w:rPr>
                <w:rFonts w:hint="default" w:ascii="Times New Roman" w:hAnsi="Times New Roman" w:cs="Times New Roman"/>
                <w:bCs/>
                <w:sz w:val="24"/>
                <w:lang w:val="en-GB"/>
              </w:rPr>
            </w:pPr>
            <w:r>
              <w:rPr>
                <w:rFonts w:hint="default" w:ascii="Times New Roman" w:hAnsi="Times New Roman" w:cs="Times New Roman"/>
                <w:bCs/>
                <w:sz w:val="24"/>
              </w:rPr>
              <w:t>综上所述，本项目符合国家产业政策，符合</w:t>
            </w:r>
            <w:r>
              <w:rPr>
                <w:rFonts w:hint="default" w:ascii="Times New Roman" w:hAnsi="Times New Roman" w:cs="Times New Roman"/>
                <w:bCs/>
                <w:sz w:val="24"/>
                <w:lang w:eastAsia="zh-CN"/>
              </w:rPr>
              <w:t>鄄城县</w:t>
            </w:r>
            <w:r>
              <w:rPr>
                <w:rFonts w:hint="default" w:ascii="Times New Roman" w:hAnsi="Times New Roman" w:cs="Times New Roman"/>
                <w:bCs/>
                <w:sz w:val="24"/>
              </w:rPr>
              <w:t>总体规划要求。该工程在认真落实各项污染防治措施的前提下，对周围环境影响较小，从环境保护方面，该生产项目的建设是可行的。</w:t>
            </w:r>
          </w:p>
          <w:p>
            <w:pPr>
              <w:pStyle w:val="3"/>
              <w:spacing w:line="360" w:lineRule="auto"/>
              <w:jc w:val="both"/>
              <w:rPr>
                <w:rFonts w:hint="default" w:ascii="Times New Roman" w:hAnsi="Times New Roman" w:cs="Times New Roman"/>
                <w:b/>
                <w:color w:val="000000"/>
                <w:sz w:val="24"/>
              </w:rPr>
            </w:pPr>
            <w:r>
              <w:rPr>
                <w:rFonts w:hint="default" w:ascii="Times New Roman" w:hAnsi="Times New Roman" w:cs="Times New Roman"/>
                <w:b/>
                <w:color w:val="000000"/>
                <w:sz w:val="24"/>
              </w:rPr>
              <w:t>（二）建议</w:t>
            </w:r>
          </w:p>
          <w:p>
            <w:pPr>
              <w:pStyle w:val="37"/>
              <w:spacing w:after="0"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cs="Times New Roman"/>
                <w:color w:val="000000"/>
                <w:sz w:val="24"/>
              </w:rPr>
              <w:t>1、</w:t>
            </w:r>
            <w:r>
              <w:rPr>
                <w:rFonts w:hint="default" w:ascii="Times New Roman" w:hAnsi="Times New Roman" w:eastAsia="宋体" w:cs="Times New Roman"/>
                <w:sz w:val="24"/>
                <w:szCs w:val="24"/>
              </w:rPr>
              <w:t>严格执行</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三同时</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制度，在项目建设完成后，向当地环保局申请验收。</w:t>
            </w:r>
          </w:p>
          <w:p>
            <w:pPr>
              <w:spacing w:line="360" w:lineRule="auto"/>
              <w:ind w:firstLine="480" w:firstLineChars="200"/>
              <w:jc w:val="both"/>
              <w:rPr>
                <w:rFonts w:hint="default" w:ascii="Times New Roman" w:hAnsi="Times New Roman" w:cs="Times New Roman"/>
                <w:color w:val="000000"/>
                <w:sz w:val="24"/>
              </w:rPr>
            </w:pPr>
            <w:r>
              <w:rPr>
                <w:rFonts w:hint="default" w:ascii="Times New Roman" w:hAnsi="Times New Roman" w:cs="Times New Roman"/>
                <w:color w:val="000000"/>
                <w:sz w:val="24"/>
              </w:rPr>
              <w:t>2、要严格操作管理，切实落实各项污染防治措施。</w:t>
            </w:r>
          </w:p>
          <w:p>
            <w:pPr>
              <w:spacing w:line="360" w:lineRule="auto"/>
              <w:ind w:firstLine="480" w:firstLineChars="200"/>
              <w:jc w:val="both"/>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3</w:t>
            </w:r>
            <w:r>
              <w:rPr>
                <w:rFonts w:hint="default" w:ascii="Times New Roman" w:hAnsi="Times New Roman" w:cs="Times New Roman"/>
                <w:color w:val="000000"/>
                <w:sz w:val="24"/>
              </w:rPr>
              <w:t>、建议厂区进行积极的绿化。绿化不仅能美化环境，并有净化空气、降低噪声、防止水土流失的功能。</w:t>
            </w:r>
          </w:p>
          <w:p>
            <w:pPr>
              <w:spacing w:line="360" w:lineRule="auto"/>
              <w:ind w:firstLine="480" w:firstLineChars="200"/>
              <w:jc w:val="both"/>
              <w:rPr>
                <w:rFonts w:hint="default" w:ascii="Times New Roman" w:hAnsi="Times New Roman" w:cs="Times New Roman"/>
                <w:color w:val="000000"/>
                <w:sz w:val="24"/>
              </w:rPr>
            </w:pPr>
            <w:r>
              <w:rPr>
                <w:rFonts w:hint="default" w:ascii="Times New Roman" w:hAnsi="Times New Roman" w:eastAsia="新宋体" w:cs="Times New Roman"/>
                <w:sz w:val="24"/>
                <w:lang w:val="en-US" w:eastAsia="zh-CN"/>
              </w:rPr>
              <w:t>4</w:t>
            </w:r>
            <w:r>
              <w:rPr>
                <w:rFonts w:hint="default" w:ascii="Times New Roman" w:hAnsi="Times New Roman" w:eastAsia="新宋体" w:cs="Times New Roman"/>
                <w:sz w:val="24"/>
              </w:rPr>
              <w:t>、积极配合环保部门的监督、监测管理，健全厂内环境管理体制。</w:t>
            </w:r>
          </w:p>
          <w:p>
            <w:pPr>
              <w:spacing w:line="360" w:lineRule="auto"/>
              <w:ind w:firstLine="480" w:firstLineChars="200"/>
              <w:jc w:val="both"/>
              <w:rPr>
                <w:rFonts w:hint="eastAsia" w:ascii="Times New Roman" w:cs="宋体"/>
                <w:b w:val="0"/>
                <w:color w:val="auto"/>
                <w:w w:val="100"/>
                <w:position w:val="0"/>
                <w:sz w:val="24"/>
                <w:szCs w:val="24"/>
                <w:shd w:val="clear"/>
                <w:lang w:val="en-US" w:eastAsia="zh-CN"/>
              </w:rPr>
            </w:pPr>
            <w:r>
              <w:rPr>
                <w:rFonts w:hint="default" w:ascii="Times New Roman" w:hAnsi="Times New Roman" w:cs="Times New Roman"/>
                <w:color w:val="000000"/>
                <w:sz w:val="24"/>
                <w:lang w:val="en-US" w:eastAsia="zh-CN"/>
              </w:rPr>
              <w:t>5</w:t>
            </w:r>
            <w:r>
              <w:rPr>
                <w:rFonts w:hint="default" w:ascii="Times New Roman" w:hAnsi="Times New Roman" w:cs="Times New Roman"/>
                <w:color w:val="000000"/>
                <w:sz w:val="24"/>
              </w:rPr>
              <w:t>、加强车间工人的劳动安全保护，根据不同的工序，要配有防护设施。</w:t>
            </w:r>
          </w:p>
          <w:p>
            <w:pPr>
              <w:pStyle w:val="45"/>
              <w:keepNext w:val="0"/>
              <w:keepLines w:val="0"/>
              <w:pageBreakBefore w:val="0"/>
              <w:numPr>
                <w:ilvl w:val="0"/>
                <w:numId w:val="0"/>
              </w:numPr>
              <w:kinsoku/>
              <w:overflowPunct/>
              <w:topLinePunct w:val="0"/>
              <w:autoSpaceDE w:val="0"/>
              <w:autoSpaceDN w:val="0"/>
              <w:bidi w:val="0"/>
              <w:adjustRightInd/>
              <w:snapToGrid/>
              <w:spacing w:before="0" w:line="360" w:lineRule="auto"/>
              <w:ind w:right="0"/>
              <w:jc w:val="left"/>
              <w:textAlignment w:val="auto"/>
              <w:rPr>
                <w:rFonts w:hint="default" w:ascii="Times New Roman" w:hAnsi="宋体" w:eastAsia="宋体" w:cs="宋体"/>
                <w:b w:val="0"/>
                <w:color w:val="auto"/>
                <w:w w:val="100"/>
                <w:position w:val="0"/>
                <w:sz w:val="24"/>
                <w:szCs w:val="24"/>
                <w:shd w:val="clear"/>
                <w:lang w:val="en-US" w:eastAsia="zh-CN"/>
              </w:rPr>
            </w:pPr>
            <w:r>
              <w:rPr>
                <w:rFonts w:hint="eastAsia" w:ascii="Times New Roman" w:cs="宋体"/>
                <w:b w:val="0"/>
                <w:color w:val="auto"/>
                <w:w w:val="100"/>
                <w:position w:val="0"/>
                <w:sz w:val="24"/>
                <w:szCs w:val="24"/>
                <w:shd w:val="clear"/>
                <w:lang w:val="en-US" w:eastAsia="zh-CN"/>
              </w:rPr>
              <w:t>环评批复及要求</w:t>
            </w:r>
          </w:p>
          <w:p>
            <w:pPr>
              <w:pStyle w:val="45"/>
              <w:keepNext w:val="0"/>
              <w:keepLines w:val="0"/>
              <w:pageBreakBefore w:val="0"/>
              <w:numPr>
                <w:ilvl w:val="0"/>
                <w:numId w:val="0"/>
              </w:numPr>
              <w:kinsoku/>
              <w:overflowPunct/>
              <w:topLinePunct w:val="0"/>
              <w:autoSpaceDE w:val="0"/>
              <w:autoSpaceDN w:val="0"/>
              <w:bidi w:val="0"/>
              <w:adjustRightInd/>
              <w:snapToGrid/>
              <w:spacing w:before="0" w:line="360" w:lineRule="auto"/>
              <w:ind w:right="0"/>
              <w:jc w:val="left"/>
              <w:textAlignment w:val="auto"/>
              <w:rPr>
                <w:rFonts w:hint="eastAsia" w:ascii="Times New Roman" w:hAnsi="宋体" w:eastAsia="宋体" w:cs="宋体"/>
                <w:b w:val="0"/>
                <w:color w:val="auto"/>
                <w:w w:val="100"/>
                <w:position w:val="0"/>
                <w:sz w:val="24"/>
                <w:szCs w:val="24"/>
                <w:shd w:val="clear"/>
                <w:lang w:val="zh-CN" w:eastAsia="zh-CN"/>
              </w:rPr>
            </w:pPr>
            <w:r>
              <w:rPr>
                <w:rFonts w:hint="eastAsia" w:ascii="Times New Roman" w:hAnsi="宋体" w:eastAsia="宋体" w:cs="宋体"/>
                <w:b w:val="0"/>
                <w:color w:val="auto"/>
                <w:w w:val="100"/>
                <w:position w:val="0"/>
                <w:sz w:val="24"/>
                <w:szCs w:val="24"/>
                <w:shd w:val="clear"/>
                <w:lang w:val="zh-CN" w:eastAsia="zh-CN"/>
              </w:rPr>
              <w:drawing>
                <wp:inline distT="0" distB="0" distL="114300" distR="114300">
                  <wp:extent cx="5266690" cy="8024495"/>
                  <wp:effectExtent l="0" t="0" r="10160" b="14605"/>
                  <wp:docPr id="13" name="图片 13" descr="54c05c527f396d05bfeb1d8de8bf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4c05c527f396d05bfeb1d8de8bfa49"/>
                          <pic:cNvPicPr>
                            <a:picLocks noChangeAspect="1"/>
                          </pic:cNvPicPr>
                        </pic:nvPicPr>
                        <pic:blipFill>
                          <a:blip r:embed="rId11"/>
                          <a:stretch>
                            <a:fillRect/>
                          </a:stretch>
                        </pic:blipFill>
                        <pic:spPr>
                          <a:xfrm>
                            <a:off x="0" y="0"/>
                            <a:ext cx="5266690" cy="8024495"/>
                          </a:xfrm>
                          <a:prstGeom prst="rect">
                            <a:avLst/>
                          </a:prstGeom>
                        </pic:spPr>
                      </pic:pic>
                    </a:graphicData>
                  </a:graphic>
                </wp:inline>
              </w:drawing>
            </w:r>
          </w:p>
          <w:p>
            <w:pPr>
              <w:keepNext w:val="0"/>
              <w:keepLines w:val="0"/>
              <w:pageBreakBefore w:val="0"/>
              <w:numPr>
                <w:ilvl w:val="0"/>
                <w:numId w:val="0"/>
              </w:numPr>
              <w:kinsoku/>
              <w:overflowPunct/>
              <w:topLinePunct w:val="0"/>
              <w:autoSpaceDE/>
              <w:autoSpaceDN/>
              <w:bidi w:val="0"/>
              <w:adjustRightInd/>
              <w:snapToGrid/>
              <w:spacing w:before="0" w:line="360" w:lineRule="auto"/>
              <w:ind w:right="0" w:rightChars="0"/>
              <w:jc w:val="left"/>
              <w:textAlignment w:val="auto"/>
              <w:rPr>
                <w:rFonts w:hint="eastAsia" w:ascii="Times New Roman" w:hAnsi="Times New Roman" w:eastAsia="宋体" w:cs="Times New Roman"/>
                <w:b/>
                <w:color w:val="auto"/>
                <w:position w:val="0"/>
                <w:sz w:val="24"/>
                <w:szCs w:val="24"/>
                <w:lang w:eastAsia="zh-CN"/>
              </w:rPr>
            </w:pPr>
            <w:r>
              <w:rPr>
                <w:rFonts w:hint="eastAsia" w:ascii="Times New Roman" w:hAnsi="Times New Roman" w:eastAsia="宋体" w:cs="Times New Roman"/>
                <w:b/>
                <w:color w:val="auto"/>
                <w:position w:val="0"/>
                <w:sz w:val="24"/>
                <w:szCs w:val="24"/>
                <w:lang w:eastAsia="zh-CN"/>
              </w:rPr>
              <w:drawing>
                <wp:inline distT="0" distB="0" distL="114300" distR="114300">
                  <wp:extent cx="5266690" cy="8540115"/>
                  <wp:effectExtent l="0" t="0" r="10160" b="13335"/>
                  <wp:docPr id="14" name="图片 14" descr="5b47a62a8f93dda08b79230967427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b47a62a8f93dda08b792309674279d"/>
                          <pic:cNvPicPr>
                            <a:picLocks noChangeAspect="1"/>
                          </pic:cNvPicPr>
                        </pic:nvPicPr>
                        <pic:blipFill>
                          <a:blip r:embed="rId12"/>
                          <a:stretch>
                            <a:fillRect/>
                          </a:stretch>
                        </pic:blipFill>
                        <pic:spPr>
                          <a:xfrm>
                            <a:off x="0" y="0"/>
                            <a:ext cx="5266690" cy="8540115"/>
                          </a:xfrm>
                          <a:prstGeom prst="rect">
                            <a:avLst/>
                          </a:prstGeom>
                        </pic:spPr>
                      </pic:pic>
                    </a:graphicData>
                  </a:graphic>
                </wp:inline>
              </w:drawing>
            </w:r>
          </w:p>
          <w:p>
            <w:pPr>
              <w:keepNext w:val="0"/>
              <w:keepLines w:val="0"/>
              <w:pageBreakBefore w:val="0"/>
              <w:numPr>
                <w:ilvl w:val="0"/>
                <w:numId w:val="0"/>
              </w:numPr>
              <w:kinsoku/>
              <w:overflowPunct/>
              <w:topLinePunct w:val="0"/>
              <w:autoSpaceDE/>
              <w:autoSpaceDN/>
              <w:bidi w:val="0"/>
              <w:adjustRightInd/>
              <w:snapToGrid/>
              <w:spacing w:before="0" w:line="360" w:lineRule="auto"/>
              <w:ind w:right="0"/>
              <w:jc w:val="left"/>
              <w:textAlignment w:val="auto"/>
              <w:rPr>
                <w:rFonts w:hint="default" w:ascii="Times New Roman" w:hAnsi="宋体" w:eastAsia="宋体" w:cs="宋体"/>
                <w:b w:val="0"/>
                <w:color w:val="auto"/>
                <w:w w:val="100"/>
                <w:position w:val="0"/>
                <w:sz w:val="24"/>
                <w:szCs w:val="24"/>
                <w:shd w:val="clear"/>
                <w:lang w:val="en-US" w:eastAsia="zh-CN"/>
              </w:rPr>
            </w:pPr>
            <w:r>
              <w:rPr>
                <w:rFonts w:hint="default" w:ascii="Times New Roman" w:hAnsi="宋体" w:eastAsia="宋体" w:cs="宋体"/>
                <w:b w:val="0"/>
                <w:color w:val="auto"/>
                <w:w w:val="100"/>
                <w:position w:val="0"/>
                <w:sz w:val="24"/>
                <w:szCs w:val="24"/>
                <w:shd w:val="clear"/>
                <w:lang w:val="en-US" w:eastAsia="zh-CN"/>
              </w:rPr>
              <w:t>环评批复要求及落实情况见表4-1，如下：</w:t>
            </w:r>
          </w:p>
          <w:p>
            <w:pPr>
              <w:keepNext w:val="0"/>
              <w:keepLines w:val="0"/>
              <w:pageBreakBefore w:val="0"/>
              <w:numPr>
                <w:ilvl w:val="0"/>
                <w:numId w:val="0"/>
              </w:numPr>
              <w:kinsoku/>
              <w:overflowPunct/>
              <w:topLinePunct w:val="0"/>
              <w:autoSpaceDE/>
              <w:autoSpaceDN/>
              <w:bidi w:val="0"/>
              <w:adjustRightInd/>
              <w:snapToGrid/>
              <w:spacing w:before="0" w:line="360" w:lineRule="auto"/>
              <w:ind w:right="0" w:firstLine="1920"/>
              <w:jc w:val="both"/>
              <w:textAlignment w:val="auto"/>
              <w:rPr>
                <w:rFonts w:hint="default" w:ascii="Times New Roman" w:hAnsi="宋体" w:eastAsia="宋体" w:cs="宋体"/>
                <w:b w:val="0"/>
                <w:color w:val="auto"/>
                <w:w w:val="100"/>
                <w:position w:val="0"/>
                <w:sz w:val="24"/>
                <w:szCs w:val="24"/>
                <w:shd w:val="clear"/>
                <w:lang w:val="en-US" w:eastAsia="zh-CN"/>
              </w:rPr>
            </w:pPr>
            <w:r>
              <w:rPr>
                <w:rFonts w:hint="default" w:ascii="Times New Roman" w:hAnsi="宋体" w:eastAsia="宋体" w:cs="宋体"/>
                <w:b w:val="0"/>
                <w:color w:val="auto"/>
                <w:w w:val="100"/>
                <w:position w:val="0"/>
                <w:sz w:val="24"/>
                <w:szCs w:val="24"/>
                <w:shd w:val="clear"/>
                <w:lang w:val="en-US" w:eastAsia="zh-CN"/>
              </w:rPr>
              <w:t>表4-1 环评批复要求及落实情况一览表</w:t>
            </w:r>
          </w:p>
          <w:tbl>
            <w:tblPr>
              <w:tblStyle w:val="38"/>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766"/>
              <w:gridCol w:w="3671"/>
              <w:gridCol w:w="8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1" w:hRule="atLeast"/>
                <w:jc w:val="center"/>
              </w:trPr>
              <w:tc>
                <w:tcPr>
                  <w:tcW w:w="3766"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420"/>
                    <w:jc w:val="center"/>
                    <w:textAlignment w:val="auto"/>
                    <w:rPr>
                      <w:rFonts w:hint="default" w:ascii="Times New Roman" w:hAnsi="宋体" w:eastAsia="宋体" w:cs="宋体"/>
                      <w:b w:val="0"/>
                      <w:color w:val="auto"/>
                      <w:w w:val="100"/>
                      <w:position w:val="0"/>
                      <w:sz w:val="24"/>
                      <w:szCs w:val="24"/>
                      <w:shd w:val="clear"/>
                      <w:lang w:val="en-US" w:eastAsia="zh-CN"/>
                    </w:rPr>
                  </w:pPr>
                  <w:r>
                    <w:rPr>
                      <w:rFonts w:hint="default" w:ascii="Times New Roman" w:hAnsi="宋体" w:eastAsia="宋体" w:cs="宋体"/>
                      <w:b w:val="0"/>
                      <w:color w:val="auto"/>
                      <w:w w:val="100"/>
                      <w:position w:val="0"/>
                      <w:sz w:val="24"/>
                      <w:szCs w:val="24"/>
                      <w:shd w:val="clear"/>
                      <w:lang w:val="en-US" w:eastAsia="zh-CN"/>
                    </w:rPr>
                    <w:t>环评批复要求</w:t>
                  </w:r>
                </w:p>
              </w:tc>
              <w:tc>
                <w:tcPr>
                  <w:tcW w:w="3671"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420"/>
                    <w:jc w:val="center"/>
                    <w:textAlignment w:val="auto"/>
                    <w:rPr>
                      <w:rFonts w:hint="default" w:ascii="Times New Roman" w:hAnsi="宋体" w:eastAsia="宋体" w:cs="宋体"/>
                      <w:b w:val="0"/>
                      <w:color w:val="auto"/>
                      <w:w w:val="100"/>
                      <w:position w:val="0"/>
                      <w:sz w:val="24"/>
                      <w:szCs w:val="24"/>
                      <w:shd w:val="clear"/>
                      <w:lang w:val="en-US" w:eastAsia="zh-CN"/>
                    </w:rPr>
                  </w:pPr>
                  <w:r>
                    <w:rPr>
                      <w:rFonts w:hint="default" w:ascii="Times New Roman" w:hAnsi="宋体" w:eastAsia="宋体" w:cs="宋体"/>
                      <w:b w:val="0"/>
                      <w:color w:val="auto"/>
                      <w:w w:val="100"/>
                      <w:position w:val="0"/>
                      <w:sz w:val="24"/>
                      <w:szCs w:val="24"/>
                      <w:shd w:val="clear"/>
                      <w:lang w:val="en-US" w:eastAsia="zh-CN"/>
                    </w:rPr>
                    <w:t>实际落实情况</w:t>
                  </w:r>
                </w:p>
              </w:tc>
              <w:tc>
                <w:tcPr>
                  <w:tcW w:w="859"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0"/>
                    <w:jc w:val="both"/>
                    <w:textAlignment w:val="auto"/>
                    <w:rPr>
                      <w:rFonts w:hint="default" w:ascii="Times New Roman" w:hAnsi="宋体" w:eastAsia="宋体" w:cs="宋体"/>
                      <w:b w:val="0"/>
                      <w:color w:val="auto"/>
                      <w:w w:val="100"/>
                      <w:position w:val="0"/>
                      <w:sz w:val="24"/>
                      <w:szCs w:val="24"/>
                      <w:shd w:val="clear"/>
                      <w:lang w:val="en-US" w:eastAsia="zh-CN"/>
                    </w:rPr>
                  </w:pPr>
                  <w:r>
                    <w:rPr>
                      <w:rFonts w:hint="default" w:ascii="Times New Roman" w:hAnsi="宋体" w:eastAsia="宋体" w:cs="宋体"/>
                      <w:b w:val="0"/>
                      <w:color w:val="auto"/>
                      <w:w w:val="100"/>
                      <w:position w:val="0"/>
                      <w:sz w:val="24"/>
                      <w:szCs w:val="24"/>
                      <w:shd w:val="clear"/>
                      <w:lang w:val="en-US" w:eastAsia="zh-CN"/>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2" w:hRule="atLeast"/>
                <w:jc w:val="center"/>
              </w:trPr>
              <w:tc>
                <w:tcPr>
                  <w:tcW w:w="3766"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420"/>
                    <w:jc w:val="both"/>
                    <w:textAlignment w:val="auto"/>
                    <w:rPr>
                      <w:rFonts w:hint="default" w:ascii="Times New Roman" w:hAnsi="宋体" w:eastAsia="宋体" w:cs="宋体"/>
                      <w:b w:val="0"/>
                      <w:color w:val="auto"/>
                      <w:w w:val="100"/>
                      <w:position w:val="0"/>
                      <w:sz w:val="24"/>
                      <w:szCs w:val="24"/>
                      <w:shd w:val="clear"/>
                      <w:lang w:val="en-US" w:eastAsia="zh-CN"/>
                    </w:rPr>
                  </w:pPr>
                  <w:r>
                    <w:rPr>
                      <w:rFonts w:hint="eastAsia" w:ascii="Times New Roman" w:hAnsi="宋体" w:eastAsia="宋体" w:cs="宋体"/>
                      <w:b w:val="0"/>
                      <w:color w:val="auto"/>
                      <w:w w:val="100"/>
                      <w:position w:val="0"/>
                      <w:sz w:val="24"/>
                      <w:szCs w:val="24"/>
                      <w:shd w:val="clear"/>
                      <w:lang w:val="en-US" w:eastAsia="zh-CN"/>
                    </w:rPr>
                    <w:t>该项目废水主要为生产废水、喷淋塔排水和生活污水。按照“雨污分流”原则合理设计、建设项目区排水系统。废水经厂区污水处理站处理后通过污水管网排入鄄城县第二污水处理厂进行集中处理，池体须做好防渗措施。</w:t>
                  </w:r>
                </w:p>
              </w:tc>
              <w:tc>
                <w:tcPr>
                  <w:tcW w:w="3671"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420"/>
                    <w:jc w:val="both"/>
                    <w:textAlignment w:val="auto"/>
                    <w:rPr>
                      <w:rFonts w:hint="default" w:ascii="Times New Roman" w:hAnsi="宋体" w:eastAsia="宋体" w:cs="宋体"/>
                      <w:b w:val="0"/>
                      <w:color w:val="auto"/>
                      <w:w w:val="100"/>
                      <w:position w:val="0"/>
                      <w:sz w:val="24"/>
                      <w:szCs w:val="24"/>
                      <w:shd w:val="clear"/>
                      <w:vertAlign w:val="baseline"/>
                      <w:lang w:val="en-US" w:eastAsia="zh-CN"/>
                    </w:rPr>
                  </w:pPr>
                  <w:r>
                    <w:rPr>
                      <w:rFonts w:hint="default" w:ascii="Times New Roman" w:hAnsi="宋体" w:eastAsia="宋体" w:cs="宋体"/>
                      <w:b w:val="0"/>
                      <w:color w:val="auto"/>
                      <w:w w:val="100"/>
                      <w:position w:val="0"/>
                      <w:sz w:val="24"/>
                      <w:szCs w:val="24"/>
                      <w:shd w:val="clear"/>
                      <w:lang w:val="en-US" w:eastAsia="zh-CN"/>
                    </w:rPr>
                    <w:t>经核实，</w:t>
                  </w:r>
                  <w:r>
                    <w:rPr>
                      <w:rFonts w:hint="eastAsia" w:ascii="Times New Roman" w:hAnsi="宋体" w:eastAsia="宋体" w:cs="宋体"/>
                      <w:b w:val="0"/>
                      <w:color w:val="auto"/>
                      <w:w w:val="100"/>
                      <w:position w:val="0"/>
                      <w:sz w:val="24"/>
                      <w:szCs w:val="24"/>
                      <w:shd w:val="clear"/>
                      <w:lang w:val="en-US" w:eastAsia="zh-CN"/>
                    </w:rPr>
                    <w:t>按照</w:t>
                  </w:r>
                  <w:r>
                    <w:rPr>
                      <w:rFonts w:hint="default" w:ascii="Times New Roman" w:hAnsi="宋体" w:eastAsia="宋体" w:cs="宋体"/>
                      <w:b w:val="0"/>
                      <w:color w:val="auto"/>
                      <w:w w:val="100"/>
                      <w:position w:val="0"/>
                      <w:sz w:val="24"/>
                      <w:szCs w:val="24"/>
                      <w:shd w:val="clear"/>
                      <w:lang w:val="zh-CN" w:eastAsia="zh-CN"/>
                    </w:rPr>
                    <w:t>“雨污分流”</w:t>
                  </w:r>
                  <w:r>
                    <w:rPr>
                      <w:rFonts w:hint="default" w:ascii="Times New Roman" w:hAnsi="宋体" w:eastAsia="宋体" w:cs="宋体"/>
                      <w:b w:val="0"/>
                      <w:color w:val="auto"/>
                      <w:w w:val="100"/>
                      <w:position w:val="0"/>
                      <w:sz w:val="24"/>
                      <w:szCs w:val="24"/>
                      <w:shd w:val="clear"/>
                      <w:lang w:val="en-US" w:eastAsia="zh-CN"/>
                    </w:rPr>
                    <w:t>原则</w:t>
                  </w:r>
                  <w:r>
                    <w:rPr>
                      <w:rFonts w:hint="default" w:ascii="Times New Roman" w:hAnsi="宋体" w:eastAsia="宋体" w:cs="宋体"/>
                      <w:b w:val="0"/>
                      <w:color w:val="auto"/>
                      <w:w w:val="100"/>
                      <w:position w:val="0"/>
                      <w:sz w:val="24"/>
                      <w:szCs w:val="24"/>
                      <w:shd w:val="clear"/>
                      <w:lang w:val="zh-CN" w:eastAsia="zh-CN"/>
                    </w:rPr>
                    <w:t>设计</w:t>
                  </w:r>
                  <w:r>
                    <w:rPr>
                      <w:rFonts w:hint="eastAsia" w:ascii="Times New Roman" w:hAnsi="宋体" w:eastAsia="宋体" w:cs="宋体"/>
                      <w:b w:val="0"/>
                      <w:color w:val="auto"/>
                      <w:w w:val="100"/>
                      <w:position w:val="0"/>
                      <w:sz w:val="24"/>
                      <w:szCs w:val="24"/>
                      <w:shd w:val="clear"/>
                      <w:lang w:val="zh-CN" w:eastAsia="zh-CN"/>
                    </w:rPr>
                    <w:t>、</w:t>
                  </w:r>
                  <w:r>
                    <w:rPr>
                      <w:rFonts w:hint="eastAsia" w:ascii="Times New Roman" w:hAnsi="宋体" w:eastAsia="宋体" w:cs="宋体"/>
                      <w:b w:val="0"/>
                      <w:color w:val="auto"/>
                      <w:w w:val="100"/>
                      <w:position w:val="0"/>
                      <w:sz w:val="24"/>
                      <w:szCs w:val="24"/>
                      <w:shd w:val="clear"/>
                      <w:lang w:val="en-US" w:eastAsia="zh-CN"/>
                    </w:rPr>
                    <w:t>建设项目区排水系统。生产废水和生活污水先经厂内污水预处理装置进行处理，然后通过污水管网排入鄄城县第二人发产业园污水处理厂进行集中处理，水池池底和四壁做好防渗。</w:t>
                  </w:r>
                </w:p>
                <w:p>
                  <w:pPr>
                    <w:keepNext w:val="0"/>
                    <w:keepLines w:val="0"/>
                    <w:pageBreakBefore w:val="0"/>
                    <w:numPr>
                      <w:ilvl w:val="0"/>
                      <w:numId w:val="0"/>
                    </w:numPr>
                    <w:kinsoku/>
                    <w:overflowPunct/>
                    <w:topLinePunct w:val="0"/>
                    <w:autoSpaceDE/>
                    <w:autoSpaceDN/>
                    <w:bidi w:val="0"/>
                    <w:adjustRightInd/>
                    <w:snapToGrid/>
                    <w:spacing w:before="0" w:line="360" w:lineRule="auto"/>
                    <w:ind w:right="0" w:firstLine="420"/>
                    <w:jc w:val="both"/>
                    <w:textAlignment w:val="auto"/>
                    <w:rPr>
                      <w:rFonts w:hint="default" w:ascii="Times New Roman" w:hAnsi="宋体" w:eastAsia="宋体" w:cs="宋体"/>
                      <w:b w:val="0"/>
                      <w:color w:val="auto"/>
                      <w:w w:val="100"/>
                      <w:position w:val="0"/>
                      <w:sz w:val="24"/>
                      <w:szCs w:val="24"/>
                      <w:shd w:val="clear"/>
                      <w:lang w:val="en-US" w:eastAsia="zh-CN"/>
                    </w:rPr>
                  </w:pPr>
                </w:p>
              </w:tc>
              <w:tc>
                <w:tcPr>
                  <w:tcW w:w="859"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0"/>
                    <w:jc w:val="both"/>
                    <w:textAlignment w:val="auto"/>
                    <w:rPr>
                      <w:rFonts w:hint="default" w:ascii="Times New Roman" w:hAnsi="宋体" w:eastAsia="宋体" w:cs="宋体"/>
                      <w:b w:val="0"/>
                      <w:color w:val="auto"/>
                      <w:w w:val="100"/>
                      <w:position w:val="0"/>
                      <w:sz w:val="24"/>
                      <w:szCs w:val="24"/>
                      <w:shd w:val="clear"/>
                      <w:lang w:val="en-US" w:eastAsia="zh-CN"/>
                    </w:rPr>
                  </w:pPr>
                  <w:r>
                    <w:rPr>
                      <w:rFonts w:hint="default" w:ascii="Times New Roman" w:hAnsi="宋体" w:eastAsia="宋体" w:cs="宋体"/>
                      <w:b w:val="0"/>
                      <w:color w:val="auto"/>
                      <w:w w:val="100"/>
                      <w:position w:val="0"/>
                      <w:sz w:val="24"/>
                      <w:szCs w:val="24"/>
                      <w:shd w:val="clear"/>
                      <w:lang w:val="en-US" w:eastAsia="zh-CN"/>
                    </w:rPr>
                    <w:t>已</w:t>
                  </w:r>
                  <w:r>
                    <w:rPr>
                      <w:rFonts w:hint="eastAsia" w:ascii="Times New Roman" w:hAnsi="宋体" w:eastAsia="宋体" w:cs="宋体"/>
                      <w:b w:val="0"/>
                      <w:color w:val="auto"/>
                      <w:w w:val="100"/>
                      <w:position w:val="0"/>
                      <w:sz w:val="24"/>
                      <w:szCs w:val="24"/>
                      <w:shd w:val="clear"/>
                      <w:lang w:val="en-US" w:eastAsia="zh-CN"/>
                    </w:rPr>
                    <w:t>基本</w:t>
                  </w:r>
                  <w:r>
                    <w:rPr>
                      <w:rFonts w:hint="default" w:ascii="Times New Roman" w:hAnsi="宋体" w:eastAsia="宋体" w:cs="宋体"/>
                      <w:b w:val="0"/>
                      <w:color w:val="auto"/>
                      <w:w w:val="100"/>
                      <w:position w:val="0"/>
                      <w:sz w:val="24"/>
                      <w:szCs w:val="24"/>
                      <w:shd w:val="clear"/>
                      <w:lang w:val="en-US" w:eastAsia="zh-CN"/>
                    </w:rPr>
                    <w:t>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3766" w:type="dxa"/>
                  <w:vAlign w:val="center"/>
                </w:tcPr>
                <w:p>
                  <w:pPr>
                    <w:keepNext w:val="0"/>
                    <w:keepLines w:val="0"/>
                    <w:pageBreakBefore w:val="0"/>
                    <w:widowControl w:val="0"/>
                    <w:shd w:val="clear" w:color="auto" w:fill="auto"/>
                    <w:kinsoku/>
                    <w:overflowPunct/>
                    <w:topLinePunct w:val="0"/>
                    <w:bidi w:val="0"/>
                    <w:adjustRightInd/>
                    <w:spacing w:before="0" w:line="360" w:lineRule="auto"/>
                    <w:ind w:right="220"/>
                    <w:jc w:val="both"/>
                    <w:textAlignment w:val="auto"/>
                    <w:rPr>
                      <w:rFonts w:hint="default" w:ascii="Times New Roman" w:hAnsi="宋体" w:eastAsia="宋体" w:cs="宋体"/>
                      <w:b w:val="0"/>
                      <w:color w:val="auto"/>
                      <w:w w:val="100"/>
                      <w:position w:val="0"/>
                      <w:sz w:val="24"/>
                      <w:szCs w:val="24"/>
                      <w:shd w:val="clear"/>
                      <w:lang w:val="en-US" w:eastAsia="zh-CN"/>
                    </w:rPr>
                  </w:pPr>
                  <w:r>
                    <w:rPr>
                      <w:rFonts w:hint="default" w:ascii="Times New Roman" w:hAnsi="宋体" w:eastAsia="宋体" w:cs="宋体"/>
                      <w:b w:val="0"/>
                      <w:color w:val="auto"/>
                      <w:w w:val="100"/>
                      <w:position w:val="0"/>
                      <w:sz w:val="24"/>
                      <w:szCs w:val="24"/>
                      <w:shd w:val="clear"/>
                      <w:lang w:val="zh-CN" w:eastAsia="zh-CN"/>
                    </w:rPr>
                    <w:t>该项目产生的废气主要是污水处理站异味，泡酸、中和废气和食堂油烟废气。污水处理站异味采用污水生化处理设备加盖密闭并将废气引至活性炭装置处理后，经不低于15米排气筒排放，恶臭气体氨、硫化氢排放满足《恶臭污染物排放标准》(GB14554-1993)表2恶臭污染物排放标准。泡酸中和废气采用集气罩收集后引至碱液喷淋吸收塔进行吸收处理，处理达标后通过不低于15米高 的排气筒排放，排放时需满足《大气污染物综合排放标准》(GB16297-1996) 表2中二级标准要求;中和浸泡废气采用集气罩收集后引入酸液喷淋吸收塔进行吸收处理，处理达标后通过不低于15米高的排气筒排放，排放时需满足《恶臭污 染物排放标准》(GB 14554-93)中表2恶臭污染物排放标准标准。无组织硫酸雾、 氯化氢排放时需满足《大气污染物综合排放标准》(GB16297-1996) 表2中相应 标准，无组织氨排放时需满足《恶臭污染物排放标准》(GB 14554-93) 二级新建标准。食堂油烟废气采用油烟净化器收集处理，处理达标后通过不低于所附建筑物1.5米排气筒排放，排放时需满足山东省《饮食业油烟排放标准》(DB37/597-2006)表2中要求限值。烘干室热源由园区蒸汽管道供汽。</w:t>
                  </w:r>
                  <w:r>
                    <w:rPr>
                      <w:rFonts w:hint="eastAsia" w:ascii="Times New Roman" w:hAnsi="宋体" w:eastAsia="宋体" w:cs="宋体"/>
                      <w:b w:val="0"/>
                      <w:color w:val="auto"/>
                      <w:w w:val="100"/>
                      <w:position w:val="0"/>
                      <w:sz w:val="24"/>
                      <w:szCs w:val="24"/>
                      <w:shd w:val="clear"/>
                      <w:lang w:val="en-US" w:eastAsia="zh-CN"/>
                    </w:rPr>
                    <w:t>该项目运行后须设置100米的卫生防护距离。</w:t>
                  </w:r>
                </w:p>
              </w:tc>
              <w:tc>
                <w:tcPr>
                  <w:tcW w:w="3671" w:type="dxa"/>
                  <w:vAlign w:val="center"/>
                </w:tcPr>
                <w:p>
                  <w:pPr>
                    <w:keepNext w:val="0"/>
                    <w:keepLines w:val="0"/>
                    <w:pageBreakBefore w:val="0"/>
                    <w:widowControl w:val="0"/>
                    <w:shd w:val="clear" w:color="auto" w:fill="auto"/>
                    <w:kinsoku/>
                    <w:overflowPunct/>
                    <w:topLinePunct w:val="0"/>
                    <w:bidi w:val="0"/>
                    <w:adjustRightInd/>
                    <w:spacing w:before="0" w:line="360" w:lineRule="auto"/>
                    <w:ind w:right="220"/>
                    <w:jc w:val="both"/>
                    <w:textAlignment w:val="auto"/>
                    <w:rPr>
                      <w:rFonts w:hint="default" w:ascii="Times New Roman" w:hAnsi="宋体" w:eastAsia="宋体" w:cs="宋体"/>
                      <w:b w:val="0"/>
                      <w:color w:val="auto"/>
                      <w:w w:val="100"/>
                      <w:position w:val="0"/>
                      <w:sz w:val="24"/>
                      <w:szCs w:val="24"/>
                      <w:shd w:val="clear"/>
                      <w:lang w:val="en-US" w:eastAsia="zh-CN"/>
                    </w:rPr>
                  </w:pPr>
                  <w:r>
                    <w:rPr>
                      <w:rFonts w:hint="default" w:ascii="Times New Roman" w:hAnsi="宋体" w:eastAsia="宋体" w:cs="宋体"/>
                      <w:b w:val="0"/>
                      <w:color w:val="auto"/>
                      <w:w w:val="100"/>
                      <w:position w:val="0"/>
                      <w:sz w:val="24"/>
                      <w:szCs w:val="24"/>
                      <w:shd w:val="clear"/>
                      <w:lang w:val="en-US" w:eastAsia="zh-CN"/>
                    </w:rPr>
                    <w:t>经核实，</w:t>
                  </w:r>
                  <w:r>
                    <w:rPr>
                      <w:rFonts w:hint="eastAsia" w:ascii="Times New Roman" w:hAnsi="宋体" w:eastAsia="宋体" w:cs="宋体"/>
                      <w:b w:val="0"/>
                      <w:color w:val="auto"/>
                      <w:w w:val="100"/>
                      <w:position w:val="0"/>
                      <w:sz w:val="24"/>
                      <w:szCs w:val="24"/>
                      <w:shd w:val="clear"/>
                      <w:lang w:val="en-US" w:eastAsia="zh-CN"/>
                    </w:rPr>
                    <w:t>本项目二期硫酸雾密闭间集气罩收集+碱液喷淋塔+15m排气筒P7，达标排放。</w:t>
                  </w:r>
                </w:p>
                <w:p>
                  <w:pPr>
                    <w:keepNext w:val="0"/>
                    <w:keepLines w:val="0"/>
                    <w:pageBreakBefore w:val="0"/>
                    <w:widowControl w:val="0"/>
                    <w:shd w:val="clear" w:color="auto" w:fill="auto"/>
                    <w:kinsoku/>
                    <w:overflowPunct/>
                    <w:topLinePunct w:val="0"/>
                    <w:bidi w:val="0"/>
                    <w:adjustRightInd/>
                    <w:spacing w:before="0" w:line="360" w:lineRule="auto"/>
                    <w:ind w:right="220"/>
                    <w:jc w:val="both"/>
                    <w:textAlignment w:val="auto"/>
                    <w:rPr>
                      <w:rFonts w:hint="eastAsia" w:ascii="Times New Roman" w:hAnsi="宋体" w:eastAsia="宋体" w:cs="宋体"/>
                      <w:b w:val="0"/>
                      <w:color w:val="auto"/>
                      <w:w w:val="100"/>
                      <w:position w:val="0"/>
                      <w:sz w:val="24"/>
                      <w:szCs w:val="24"/>
                      <w:shd w:val="clear"/>
                      <w:lang w:val="en-US" w:eastAsia="zh-CN"/>
                    </w:rPr>
                  </w:pPr>
                  <w:r>
                    <w:rPr>
                      <w:rFonts w:hint="eastAsia" w:ascii="Times New Roman" w:hAnsi="宋体" w:eastAsia="宋体" w:cs="宋体"/>
                      <w:b w:val="0"/>
                      <w:color w:val="auto"/>
                      <w:w w:val="100"/>
                      <w:position w:val="0"/>
                      <w:sz w:val="24"/>
                      <w:szCs w:val="24"/>
                      <w:shd w:val="clear"/>
                      <w:lang w:val="en-US" w:eastAsia="zh-CN"/>
                    </w:rPr>
                    <w:t>氨气密闭间集气罩收集+稀硫酸溶液喷淋塔+15m排气筒P8，达标排放。</w:t>
                  </w:r>
                </w:p>
                <w:p>
                  <w:pPr>
                    <w:keepNext w:val="0"/>
                    <w:keepLines w:val="0"/>
                    <w:pageBreakBefore w:val="0"/>
                    <w:widowControl w:val="0"/>
                    <w:shd w:val="clear" w:color="auto" w:fill="auto"/>
                    <w:kinsoku/>
                    <w:overflowPunct/>
                    <w:topLinePunct w:val="0"/>
                    <w:bidi w:val="0"/>
                    <w:adjustRightInd/>
                    <w:spacing w:before="0" w:line="360" w:lineRule="auto"/>
                    <w:ind w:right="220"/>
                    <w:jc w:val="both"/>
                    <w:textAlignment w:val="auto"/>
                    <w:rPr>
                      <w:rFonts w:hint="default" w:ascii="Times New Roman" w:hAnsi="宋体" w:eastAsia="宋体" w:cs="宋体"/>
                      <w:b w:val="0"/>
                      <w:color w:val="auto"/>
                      <w:w w:val="100"/>
                      <w:position w:val="0"/>
                      <w:sz w:val="24"/>
                      <w:szCs w:val="24"/>
                      <w:shd w:val="clear"/>
                      <w:lang w:val="en-US" w:eastAsia="zh-CN"/>
                    </w:rPr>
                  </w:pPr>
                  <w:r>
                    <w:rPr>
                      <w:rFonts w:hint="eastAsia" w:ascii="Times New Roman" w:hAnsi="宋体" w:eastAsia="宋体" w:cs="宋体"/>
                      <w:b w:val="0"/>
                      <w:color w:val="auto"/>
                      <w:w w:val="100"/>
                      <w:position w:val="0"/>
                      <w:sz w:val="24"/>
                      <w:szCs w:val="24"/>
                      <w:shd w:val="clear"/>
                      <w:lang w:val="en-US" w:eastAsia="zh-CN"/>
                    </w:rPr>
                    <w:t>污水处理设备加盖</w:t>
                  </w:r>
                  <w:r>
                    <w:rPr>
                      <w:rFonts w:hint="default" w:ascii="Times New Roman" w:hAnsi="宋体" w:eastAsia="宋体" w:cs="宋体"/>
                      <w:b w:val="0"/>
                      <w:color w:val="auto"/>
                      <w:w w:val="100"/>
                      <w:position w:val="0"/>
                      <w:sz w:val="24"/>
                      <w:szCs w:val="24"/>
                      <w:shd w:val="clear"/>
                      <w:lang w:val="zh-CN" w:eastAsia="zh-CN"/>
                    </w:rPr>
                    <w:t>并将废气引至活性炭装置处理后，经不低于15米排气筒排放</w:t>
                  </w:r>
                  <w:r>
                    <w:rPr>
                      <w:rFonts w:hint="eastAsia" w:ascii="Times New Roman" w:hAnsi="宋体" w:eastAsia="宋体" w:cs="宋体"/>
                      <w:b w:val="0"/>
                      <w:color w:val="auto"/>
                      <w:w w:val="100"/>
                      <w:position w:val="0"/>
                      <w:sz w:val="24"/>
                      <w:szCs w:val="24"/>
                      <w:shd w:val="clear"/>
                      <w:lang w:val="en-US" w:eastAsia="zh-CN"/>
                    </w:rPr>
                    <w:t>P1</w:t>
                  </w:r>
                </w:p>
                <w:p>
                  <w:pPr>
                    <w:keepNext w:val="0"/>
                    <w:keepLines w:val="0"/>
                    <w:pageBreakBefore w:val="0"/>
                    <w:widowControl w:val="0"/>
                    <w:shd w:val="clear" w:color="auto" w:fill="auto"/>
                    <w:kinsoku/>
                    <w:overflowPunct/>
                    <w:topLinePunct w:val="0"/>
                    <w:bidi w:val="0"/>
                    <w:adjustRightInd/>
                    <w:spacing w:before="0" w:line="360" w:lineRule="auto"/>
                    <w:ind w:right="220"/>
                    <w:jc w:val="both"/>
                    <w:textAlignment w:val="auto"/>
                    <w:rPr>
                      <w:rFonts w:hint="default"/>
                      <w:lang w:val="en-US" w:eastAsia="zh-CN"/>
                    </w:rPr>
                  </w:pPr>
                </w:p>
              </w:tc>
              <w:tc>
                <w:tcPr>
                  <w:tcW w:w="859"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0"/>
                    <w:jc w:val="both"/>
                    <w:textAlignment w:val="auto"/>
                    <w:rPr>
                      <w:rFonts w:hint="default" w:ascii="Times New Roman" w:hAnsi="宋体" w:eastAsia="宋体" w:cs="宋体"/>
                      <w:b w:val="0"/>
                      <w:color w:val="auto"/>
                      <w:w w:val="100"/>
                      <w:position w:val="0"/>
                      <w:sz w:val="24"/>
                      <w:szCs w:val="24"/>
                      <w:shd w:val="clear"/>
                      <w:lang w:val="en-US" w:eastAsia="zh-CN"/>
                    </w:rPr>
                  </w:pPr>
                  <w:r>
                    <w:rPr>
                      <w:rFonts w:hint="default" w:ascii="Times New Roman" w:hAnsi="宋体" w:eastAsia="宋体" w:cs="宋体"/>
                      <w:b w:val="0"/>
                      <w:color w:val="auto"/>
                      <w:w w:val="100"/>
                      <w:position w:val="0"/>
                      <w:sz w:val="24"/>
                      <w:szCs w:val="24"/>
                      <w:shd w:val="clear"/>
                      <w:lang w:val="en-US" w:eastAsia="zh-CN"/>
                    </w:rPr>
                    <w:t>已落实</w:t>
                  </w:r>
                  <w:r>
                    <w:rPr>
                      <w:rFonts w:hint="eastAsia" w:ascii="Times New Roman" w:hAnsi="宋体" w:eastAsia="宋体" w:cs="宋体"/>
                      <w:b w:val="0"/>
                      <w:color w:val="auto"/>
                      <w:w w:val="100"/>
                      <w:position w:val="0"/>
                      <w:sz w:val="24"/>
                      <w:szCs w:val="24"/>
                      <w:shd w:val="clear"/>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66"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480" w:firstLineChars="200"/>
                    <w:jc w:val="both"/>
                    <w:textAlignment w:val="auto"/>
                    <w:rPr>
                      <w:rFonts w:hint="default" w:ascii="Times New Roman" w:hAnsi="宋体" w:eastAsia="宋体" w:cs="宋体"/>
                      <w:b w:val="0"/>
                      <w:color w:val="auto"/>
                      <w:w w:val="100"/>
                      <w:position w:val="0"/>
                      <w:sz w:val="24"/>
                      <w:szCs w:val="24"/>
                      <w:shd w:val="clear"/>
                      <w:lang w:val="zh-CN" w:eastAsia="zh-CN"/>
                    </w:rPr>
                  </w:pPr>
                  <w:r>
                    <w:rPr>
                      <w:rFonts w:hint="default" w:ascii="Times New Roman" w:hAnsi="宋体" w:eastAsia="宋体" w:cs="宋体"/>
                      <w:b w:val="0"/>
                      <w:color w:val="auto"/>
                      <w:w w:val="100"/>
                      <w:position w:val="0"/>
                      <w:sz w:val="24"/>
                      <w:szCs w:val="24"/>
                      <w:shd w:val="clear"/>
                      <w:lang w:val="zh-CN" w:eastAsia="zh-CN"/>
                    </w:rPr>
                    <w:t>本项目运营后固体废物主要为下脚料、废包装物、化学试剂桶、废润滑油/桶、废活性炭、污水处理站污泥，职工生活垃圾等。下脚料、废包装物收集后外售综合利用;污水处理站污泥交由污泥处置单位进行安全处置。化学试剂桶、废润滑油/桶、废活性炭属于危险废物，须交由有相关资质的单位进行处理，并 执行联单转移制度;生活垃圾收集后由环卫部门统</w:t>
                  </w:r>
                  <w:r>
                    <w:rPr>
                      <w:rFonts w:hint="eastAsia" w:ascii="Times New Roman" w:hAnsi="宋体" w:eastAsia="宋体" w:cs="宋体"/>
                      <w:b w:val="0"/>
                      <w:color w:val="auto"/>
                      <w:w w:val="100"/>
                      <w:position w:val="0"/>
                      <w:sz w:val="24"/>
                      <w:szCs w:val="24"/>
                      <w:shd w:val="clear"/>
                      <w:lang w:val="en-US" w:eastAsia="zh-CN"/>
                    </w:rPr>
                    <w:t>一</w:t>
                  </w:r>
                  <w:r>
                    <w:rPr>
                      <w:rFonts w:hint="default" w:ascii="Times New Roman" w:hAnsi="宋体" w:eastAsia="宋体" w:cs="宋体"/>
                      <w:b w:val="0"/>
                      <w:color w:val="auto"/>
                      <w:w w:val="100"/>
                      <w:position w:val="0"/>
                      <w:sz w:val="24"/>
                      <w:szCs w:val="24"/>
                      <w:shd w:val="clear"/>
                      <w:lang w:val="zh-CN" w:eastAsia="zh-CN"/>
                    </w:rPr>
                    <w:t xml:space="preserve"> 处理,不得对环境产生二次 污染。一般固废的处理措施和处置方案须满足《一 -般工业固体废物贮存、处置场 污染控制标准》(GB18599- 2001 )及修改单标准中相关要求;危险废物的处理措施和处置方案须满足《危险废物贮存污染控制标准》(GB18597-2001)及其修改单要求，并加强各类危险废物储存、运输和处置全过程的环境管理,防止产生二</w:t>
                  </w:r>
                  <w:r>
                    <w:rPr>
                      <w:rFonts w:hint="eastAsia" w:ascii="Times New Roman" w:hAnsi="宋体" w:eastAsia="宋体" w:cs="宋体"/>
                      <w:b w:val="0"/>
                      <w:color w:val="auto"/>
                      <w:w w:val="100"/>
                      <w:position w:val="0"/>
                      <w:sz w:val="24"/>
                      <w:szCs w:val="24"/>
                      <w:shd w:val="clear"/>
                      <w:lang w:val="en-US" w:eastAsia="zh-CN"/>
                    </w:rPr>
                    <w:t>次</w:t>
                  </w:r>
                  <w:r>
                    <w:rPr>
                      <w:rFonts w:hint="default" w:ascii="Times New Roman" w:hAnsi="宋体" w:eastAsia="宋体" w:cs="宋体"/>
                      <w:b w:val="0"/>
                      <w:color w:val="auto"/>
                      <w:w w:val="100"/>
                      <w:position w:val="0"/>
                      <w:sz w:val="24"/>
                      <w:szCs w:val="24"/>
                      <w:shd w:val="clear"/>
                      <w:lang w:val="zh-CN" w:eastAsia="zh-CN"/>
                    </w:rPr>
                    <w:t>污染。</w:t>
                  </w:r>
                </w:p>
                <w:p>
                  <w:pPr>
                    <w:keepNext w:val="0"/>
                    <w:keepLines w:val="0"/>
                    <w:pageBreakBefore w:val="0"/>
                    <w:numPr>
                      <w:ilvl w:val="0"/>
                      <w:numId w:val="0"/>
                    </w:numPr>
                    <w:kinsoku/>
                    <w:overflowPunct/>
                    <w:topLinePunct w:val="0"/>
                    <w:autoSpaceDE/>
                    <w:autoSpaceDN/>
                    <w:bidi w:val="0"/>
                    <w:adjustRightInd/>
                    <w:snapToGrid/>
                    <w:spacing w:before="0" w:line="360" w:lineRule="auto"/>
                    <w:ind w:right="0" w:firstLine="480" w:firstLineChars="200"/>
                    <w:jc w:val="both"/>
                    <w:textAlignment w:val="auto"/>
                    <w:rPr>
                      <w:rFonts w:hint="default" w:ascii="Times New Roman" w:hAnsi="宋体" w:eastAsia="宋体" w:cs="宋体"/>
                      <w:b w:val="0"/>
                      <w:color w:val="auto"/>
                      <w:w w:val="100"/>
                      <w:position w:val="0"/>
                      <w:sz w:val="24"/>
                      <w:szCs w:val="24"/>
                      <w:shd w:val="clear"/>
                      <w:lang w:val="en-US" w:eastAsia="zh-CN"/>
                    </w:rPr>
                  </w:pPr>
                </w:p>
              </w:tc>
              <w:tc>
                <w:tcPr>
                  <w:tcW w:w="3671"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420"/>
                    <w:jc w:val="both"/>
                    <w:textAlignment w:val="auto"/>
                    <w:rPr>
                      <w:rFonts w:hint="default" w:ascii="Times New Roman" w:hAnsi="宋体" w:eastAsia="宋体" w:cs="宋体"/>
                      <w:b w:val="0"/>
                      <w:color w:val="auto"/>
                      <w:w w:val="100"/>
                      <w:position w:val="0"/>
                      <w:sz w:val="24"/>
                      <w:szCs w:val="24"/>
                      <w:shd w:val="clear"/>
                      <w:lang w:val="en-US" w:eastAsia="zh-CN"/>
                    </w:rPr>
                  </w:pPr>
                  <w:r>
                    <w:rPr>
                      <w:rFonts w:hint="default" w:ascii="Times New Roman" w:hAnsi="宋体" w:eastAsia="宋体" w:cs="宋体"/>
                      <w:b w:val="0"/>
                      <w:color w:val="auto"/>
                      <w:w w:val="100"/>
                      <w:position w:val="0"/>
                      <w:sz w:val="24"/>
                      <w:szCs w:val="24"/>
                      <w:shd w:val="clear"/>
                      <w:lang w:val="zh-CN" w:eastAsia="zh-CN"/>
                    </w:rPr>
                    <w:t>下脚料、废包装物收集后外售综合利用;污水处理站污泥交由污泥处置单位进行安全处置。化学试剂桶、废润滑油/桶、废活性炭属于危险废物，须交由有相关资质的单位进行处理，并执行联单转移制度;生活垃圾收集后由环卫部门统</w:t>
                  </w:r>
                  <w:r>
                    <w:rPr>
                      <w:rFonts w:hint="eastAsia" w:ascii="Times New Roman" w:hAnsi="宋体" w:eastAsia="宋体" w:cs="宋体"/>
                      <w:b w:val="0"/>
                      <w:color w:val="auto"/>
                      <w:w w:val="100"/>
                      <w:position w:val="0"/>
                      <w:sz w:val="24"/>
                      <w:szCs w:val="24"/>
                      <w:shd w:val="clear"/>
                      <w:lang w:val="en-US" w:eastAsia="zh-CN"/>
                    </w:rPr>
                    <w:t>一</w:t>
                  </w:r>
                  <w:r>
                    <w:rPr>
                      <w:rFonts w:hint="default" w:ascii="Times New Roman" w:hAnsi="宋体" w:eastAsia="宋体" w:cs="宋体"/>
                      <w:b w:val="0"/>
                      <w:color w:val="auto"/>
                      <w:w w:val="100"/>
                      <w:position w:val="0"/>
                      <w:sz w:val="24"/>
                      <w:szCs w:val="24"/>
                      <w:shd w:val="clear"/>
                      <w:lang w:val="zh-CN" w:eastAsia="zh-CN"/>
                    </w:rPr>
                    <w:t>处理</w:t>
                  </w:r>
                </w:p>
              </w:tc>
              <w:tc>
                <w:tcPr>
                  <w:tcW w:w="859"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0"/>
                    <w:jc w:val="both"/>
                    <w:textAlignment w:val="auto"/>
                    <w:rPr>
                      <w:rFonts w:hint="default" w:ascii="Times New Roman" w:hAnsi="宋体" w:eastAsia="宋体" w:cs="宋体"/>
                      <w:b w:val="0"/>
                      <w:color w:val="auto"/>
                      <w:w w:val="100"/>
                      <w:position w:val="0"/>
                      <w:sz w:val="24"/>
                      <w:szCs w:val="24"/>
                      <w:shd w:val="clear"/>
                      <w:lang w:val="en-US" w:eastAsia="zh-CN"/>
                    </w:rPr>
                  </w:pPr>
                  <w:r>
                    <w:rPr>
                      <w:rFonts w:hint="default" w:ascii="Times New Roman" w:hAnsi="宋体" w:eastAsia="宋体" w:cs="宋体"/>
                      <w:b w:val="0"/>
                      <w:color w:val="auto"/>
                      <w:w w:val="100"/>
                      <w:position w:val="0"/>
                      <w:sz w:val="24"/>
                      <w:szCs w:val="24"/>
                      <w:shd w:val="clear"/>
                      <w:lang w:val="en-US"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766"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480" w:firstLineChars="200"/>
                    <w:jc w:val="both"/>
                    <w:textAlignment w:val="auto"/>
                    <w:rPr>
                      <w:rFonts w:hint="default" w:ascii="Times New Roman" w:hAnsi="宋体" w:eastAsia="宋体" w:cs="宋体"/>
                      <w:b w:val="0"/>
                      <w:color w:val="auto"/>
                      <w:w w:val="100"/>
                      <w:position w:val="0"/>
                      <w:sz w:val="24"/>
                      <w:szCs w:val="24"/>
                      <w:shd w:val="clear"/>
                      <w:lang w:val="zh-CN" w:eastAsia="zh-CN"/>
                    </w:rPr>
                  </w:pPr>
                  <w:r>
                    <w:rPr>
                      <w:rFonts w:hint="default" w:ascii="Times New Roman" w:hAnsi="宋体" w:eastAsia="宋体" w:cs="宋体"/>
                      <w:b w:val="0"/>
                      <w:color w:val="auto"/>
                      <w:w w:val="100"/>
                      <w:position w:val="0"/>
                      <w:sz w:val="24"/>
                      <w:szCs w:val="24"/>
                      <w:shd w:val="clear"/>
                      <w:lang w:val="zh-CN" w:eastAsia="zh-CN"/>
                    </w:rPr>
                    <w:t>车间内生产设备产生的噪声须经设备选型、屏蔽减振及绿化带衰减等措施进行处理，确保厂界噪声符合《工业企业厂界环境噪声排放标准》(GB12348 2008)中3类标准。</w:t>
                  </w:r>
                </w:p>
                <w:p>
                  <w:pPr>
                    <w:keepNext w:val="0"/>
                    <w:keepLines w:val="0"/>
                    <w:pageBreakBefore w:val="0"/>
                    <w:numPr>
                      <w:ilvl w:val="0"/>
                      <w:numId w:val="0"/>
                    </w:numPr>
                    <w:kinsoku/>
                    <w:overflowPunct/>
                    <w:topLinePunct w:val="0"/>
                    <w:autoSpaceDE/>
                    <w:autoSpaceDN/>
                    <w:bidi w:val="0"/>
                    <w:adjustRightInd/>
                    <w:snapToGrid/>
                    <w:spacing w:before="0" w:line="360" w:lineRule="auto"/>
                    <w:ind w:right="0" w:firstLine="480" w:firstLineChars="200"/>
                    <w:jc w:val="both"/>
                    <w:textAlignment w:val="auto"/>
                    <w:rPr>
                      <w:rFonts w:hint="default" w:ascii="Times New Roman" w:hAnsi="宋体" w:eastAsia="宋体" w:cs="宋体"/>
                      <w:b w:val="0"/>
                      <w:color w:val="auto"/>
                      <w:w w:val="100"/>
                      <w:position w:val="0"/>
                      <w:sz w:val="24"/>
                      <w:szCs w:val="24"/>
                      <w:shd w:val="clear"/>
                      <w:lang w:val="en-US" w:eastAsia="zh-CN"/>
                    </w:rPr>
                  </w:pPr>
                </w:p>
              </w:tc>
              <w:tc>
                <w:tcPr>
                  <w:tcW w:w="3671"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480" w:firstLineChars="200"/>
                    <w:jc w:val="both"/>
                    <w:textAlignment w:val="auto"/>
                    <w:rPr>
                      <w:rFonts w:hint="default" w:ascii="Times New Roman" w:hAnsi="宋体" w:eastAsia="宋体" w:cs="宋体"/>
                      <w:b w:val="0"/>
                      <w:color w:val="auto"/>
                      <w:w w:val="100"/>
                      <w:position w:val="0"/>
                      <w:sz w:val="24"/>
                      <w:szCs w:val="24"/>
                      <w:shd w:val="clear"/>
                      <w:lang w:val="zh-CN" w:eastAsia="zh-CN"/>
                    </w:rPr>
                  </w:pPr>
                  <w:r>
                    <w:rPr>
                      <w:rFonts w:hint="eastAsia" w:ascii="Times New Roman" w:hAnsi="宋体" w:eastAsia="宋体" w:cs="宋体"/>
                      <w:b w:val="0"/>
                      <w:color w:val="auto"/>
                      <w:w w:val="100"/>
                      <w:position w:val="0"/>
                      <w:sz w:val="24"/>
                      <w:szCs w:val="24"/>
                      <w:shd w:val="clear"/>
                      <w:lang w:val="en-US" w:eastAsia="zh-CN"/>
                    </w:rPr>
                    <w:t>经核实，车间设备选型、屏蔽减振及绿化带已经落实，满足</w:t>
                  </w:r>
                  <w:r>
                    <w:rPr>
                      <w:rFonts w:hint="default" w:ascii="Times New Roman" w:hAnsi="宋体" w:eastAsia="宋体" w:cs="宋体"/>
                      <w:b w:val="0"/>
                      <w:color w:val="auto"/>
                      <w:w w:val="100"/>
                      <w:position w:val="0"/>
                      <w:sz w:val="24"/>
                      <w:szCs w:val="24"/>
                      <w:shd w:val="clear"/>
                      <w:lang w:val="zh-CN" w:eastAsia="zh-CN"/>
                    </w:rPr>
                    <w:t>《工业企业厂界环境噪声排放标准》(GB12348 2008)中3类标准。</w:t>
                  </w:r>
                </w:p>
                <w:p>
                  <w:pPr>
                    <w:keepNext w:val="0"/>
                    <w:keepLines w:val="0"/>
                    <w:pageBreakBefore w:val="0"/>
                    <w:numPr>
                      <w:ilvl w:val="0"/>
                      <w:numId w:val="0"/>
                    </w:numPr>
                    <w:kinsoku/>
                    <w:overflowPunct/>
                    <w:topLinePunct w:val="0"/>
                    <w:autoSpaceDE/>
                    <w:autoSpaceDN/>
                    <w:bidi w:val="0"/>
                    <w:adjustRightInd/>
                    <w:snapToGrid/>
                    <w:spacing w:before="0" w:line="360" w:lineRule="auto"/>
                    <w:ind w:right="0" w:firstLine="420"/>
                    <w:jc w:val="both"/>
                    <w:textAlignment w:val="auto"/>
                    <w:rPr>
                      <w:rFonts w:hint="default" w:ascii="Times New Roman" w:hAnsi="宋体" w:eastAsia="宋体" w:cs="宋体"/>
                      <w:b w:val="0"/>
                      <w:color w:val="auto"/>
                      <w:w w:val="100"/>
                      <w:position w:val="0"/>
                      <w:sz w:val="24"/>
                      <w:szCs w:val="24"/>
                      <w:shd w:val="clear"/>
                      <w:lang w:val="en-US" w:eastAsia="zh-CN"/>
                    </w:rPr>
                  </w:pPr>
                </w:p>
              </w:tc>
              <w:tc>
                <w:tcPr>
                  <w:tcW w:w="859"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0"/>
                    <w:jc w:val="both"/>
                    <w:textAlignment w:val="auto"/>
                    <w:rPr>
                      <w:rFonts w:hint="default" w:ascii="Times New Roman" w:hAnsi="宋体" w:eastAsia="宋体" w:cs="宋体"/>
                      <w:b w:val="0"/>
                      <w:color w:val="auto"/>
                      <w:w w:val="100"/>
                      <w:position w:val="0"/>
                      <w:sz w:val="24"/>
                      <w:szCs w:val="24"/>
                      <w:shd w:val="clear"/>
                      <w:lang w:val="en-US" w:eastAsia="zh-CN"/>
                    </w:rPr>
                  </w:pPr>
                  <w:r>
                    <w:rPr>
                      <w:rFonts w:hint="eastAsia" w:ascii="Times New Roman" w:hAnsi="宋体" w:eastAsia="宋体" w:cs="宋体"/>
                      <w:b w:val="0"/>
                      <w:color w:val="auto"/>
                      <w:w w:val="100"/>
                      <w:position w:val="0"/>
                      <w:sz w:val="24"/>
                      <w:szCs w:val="24"/>
                      <w:shd w:val="clear"/>
                      <w:lang w:val="en-US" w:eastAsia="zh-CN"/>
                    </w:rPr>
                    <w:t>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766"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480" w:firstLineChars="200"/>
                    <w:jc w:val="both"/>
                    <w:textAlignment w:val="auto"/>
                    <w:rPr>
                      <w:rFonts w:hint="default" w:ascii="Times New Roman" w:hAnsi="宋体" w:eastAsia="宋体" w:cs="宋体"/>
                      <w:b w:val="0"/>
                      <w:color w:val="auto"/>
                      <w:w w:val="100"/>
                      <w:position w:val="0"/>
                      <w:sz w:val="24"/>
                      <w:szCs w:val="24"/>
                      <w:shd w:val="clear"/>
                      <w:lang w:val="en-US" w:eastAsia="zh-CN"/>
                    </w:rPr>
                  </w:pPr>
                  <w:r>
                    <w:rPr>
                      <w:rFonts w:hint="default" w:ascii="Times New Roman" w:hAnsi="宋体" w:eastAsia="宋体" w:cs="宋体"/>
                      <w:b w:val="0"/>
                      <w:color w:val="auto"/>
                      <w:w w:val="100"/>
                      <w:position w:val="0"/>
                      <w:sz w:val="24"/>
                      <w:szCs w:val="24"/>
                      <w:shd w:val="clear"/>
                      <w:lang w:val="en-US" w:eastAsia="zh-CN"/>
                    </w:rPr>
                    <w:t>项目须按照要求编制风险预案，完善好导排系统，做好事故防范措施。</w:t>
                  </w:r>
                </w:p>
              </w:tc>
              <w:tc>
                <w:tcPr>
                  <w:tcW w:w="3671"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420"/>
                    <w:jc w:val="both"/>
                    <w:textAlignment w:val="auto"/>
                    <w:rPr>
                      <w:rFonts w:hint="default" w:ascii="Times New Roman" w:hAnsi="宋体" w:eastAsia="宋体" w:cs="宋体"/>
                      <w:b w:val="0"/>
                      <w:color w:val="auto"/>
                      <w:w w:val="100"/>
                      <w:position w:val="0"/>
                      <w:sz w:val="24"/>
                      <w:szCs w:val="24"/>
                      <w:shd w:val="clear"/>
                      <w:lang w:val="en-US" w:eastAsia="zh-CN"/>
                    </w:rPr>
                  </w:pPr>
                </w:p>
              </w:tc>
              <w:tc>
                <w:tcPr>
                  <w:tcW w:w="859" w:type="dxa"/>
                  <w:vAlign w:val="center"/>
                </w:tcPr>
                <w:p>
                  <w:pPr>
                    <w:keepNext w:val="0"/>
                    <w:keepLines w:val="0"/>
                    <w:pageBreakBefore w:val="0"/>
                    <w:numPr>
                      <w:ilvl w:val="0"/>
                      <w:numId w:val="0"/>
                    </w:numPr>
                    <w:kinsoku/>
                    <w:overflowPunct/>
                    <w:topLinePunct w:val="0"/>
                    <w:autoSpaceDE/>
                    <w:autoSpaceDN/>
                    <w:bidi w:val="0"/>
                    <w:adjustRightInd/>
                    <w:snapToGrid/>
                    <w:spacing w:before="0" w:line="360" w:lineRule="auto"/>
                    <w:ind w:right="0" w:firstLine="0"/>
                    <w:jc w:val="both"/>
                    <w:textAlignment w:val="auto"/>
                    <w:rPr>
                      <w:rFonts w:hint="default" w:ascii="Times New Roman" w:hAnsi="宋体" w:eastAsia="宋体" w:cs="宋体"/>
                      <w:b w:val="0"/>
                      <w:color w:val="auto"/>
                      <w:w w:val="100"/>
                      <w:position w:val="0"/>
                      <w:sz w:val="24"/>
                      <w:szCs w:val="24"/>
                      <w:shd w:val="clear"/>
                      <w:lang w:val="en-US" w:eastAsia="zh-CN"/>
                    </w:rPr>
                  </w:pPr>
                  <w:r>
                    <w:rPr>
                      <w:rFonts w:hint="eastAsia" w:ascii="Times New Roman" w:hAnsi="宋体" w:eastAsia="宋体" w:cs="宋体"/>
                      <w:b w:val="0"/>
                      <w:color w:val="auto"/>
                      <w:w w:val="100"/>
                      <w:position w:val="0"/>
                      <w:sz w:val="24"/>
                      <w:szCs w:val="24"/>
                      <w:shd w:val="clear"/>
                      <w:lang w:val="en-US" w:eastAsia="zh-CN"/>
                    </w:rPr>
                    <w:t>落实</w:t>
                  </w:r>
                </w:p>
              </w:tc>
            </w:tr>
          </w:tbl>
          <w:p>
            <w:pPr>
              <w:keepNext w:val="0"/>
              <w:keepLines w:val="0"/>
              <w:pageBreakBefore w:val="0"/>
              <w:numPr>
                <w:ilvl w:val="0"/>
                <w:numId w:val="0"/>
              </w:numPr>
              <w:kinsoku/>
              <w:wordWrap w:val="0"/>
              <w:overflowPunct/>
              <w:topLinePunct w:val="0"/>
              <w:bidi w:val="0"/>
              <w:adjustRightInd/>
              <w:spacing w:before="0" w:line="360" w:lineRule="auto"/>
              <w:ind w:right="0" w:firstLine="0"/>
              <w:jc w:val="center"/>
              <w:textAlignment w:val="auto"/>
              <w:rPr>
                <w:rFonts w:hint="default" w:ascii="Times New Roman" w:hAnsi="宋体" w:eastAsia="宋体" w:cs="宋体"/>
                <w:b w:val="0"/>
                <w:color w:val="auto"/>
                <w:w w:val="100"/>
                <w:position w:val="0"/>
                <w:sz w:val="24"/>
                <w:szCs w:val="24"/>
                <w:shd w:val="clear"/>
                <w:lang w:val="en-US" w:eastAsia="zh-CN"/>
              </w:rPr>
            </w:pPr>
          </w:p>
          <w:p>
            <w:pPr>
              <w:pStyle w:val="45"/>
              <w:keepNext w:val="0"/>
              <w:keepLines w:val="0"/>
              <w:pageBreakBefore w:val="0"/>
              <w:numPr>
                <w:ilvl w:val="0"/>
                <w:numId w:val="0"/>
              </w:numPr>
              <w:kinsoku/>
              <w:overflowPunct/>
              <w:topLinePunct w:val="0"/>
              <w:autoSpaceDE w:val="0"/>
              <w:autoSpaceDN w:val="0"/>
              <w:bidi w:val="0"/>
              <w:adjustRightInd/>
              <w:snapToGrid/>
              <w:spacing w:before="0" w:line="360" w:lineRule="auto"/>
              <w:ind w:right="0" w:firstLine="480"/>
              <w:jc w:val="both"/>
              <w:textAlignment w:val="auto"/>
              <w:rPr>
                <w:rFonts w:hint="default" w:ascii="Times New Roman" w:hAnsi="Times New Roman" w:cs="Times New Roman" w:eastAsiaTheme="minorEastAsia"/>
                <w:color w:val="000000"/>
                <w:position w:val="0"/>
                <w:sz w:val="24"/>
                <w:szCs w:val="24"/>
              </w:rPr>
            </w:pPr>
          </w:p>
        </w:tc>
      </w:tr>
    </w:tbl>
    <w:p>
      <w:pPr>
        <w:pStyle w:val="25"/>
        <w:pageBreakBefore w:val="0"/>
        <w:numPr>
          <w:ilvl w:val="0"/>
          <w:numId w:val="0"/>
        </w:numPr>
        <w:autoSpaceDE/>
        <w:autoSpaceDN/>
        <w:bidi w:val="0"/>
        <w:snapToGrid/>
        <w:spacing w:before="0" w:after="0" w:line="360" w:lineRule="auto"/>
        <w:ind w:right="0" w:firstLine="0"/>
        <w:jc w:val="left"/>
        <w:outlineLvl w:val="0"/>
        <w:rPr>
          <w:rFonts w:hint="default" w:ascii="宋体" w:hAnsi="宋体" w:eastAsia="宋体"/>
          <w:b/>
          <w:color w:val="auto"/>
          <w:position w:val="0"/>
          <w:sz w:val="24"/>
          <w:szCs w:val="24"/>
        </w:rPr>
      </w:pPr>
      <w:bookmarkStart w:id="15" w:name="_Toc3631"/>
    </w:p>
    <w:p>
      <w:pPr>
        <w:pStyle w:val="25"/>
        <w:pageBreakBefore w:val="0"/>
        <w:numPr>
          <w:ilvl w:val="0"/>
          <w:numId w:val="0"/>
        </w:numPr>
        <w:autoSpaceDE/>
        <w:autoSpaceDN/>
        <w:bidi w:val="0"/>
        <w:snapToGrid/>
        <w:spacing w:before="0" w:after="0" w:line="360" w:lineRule="auto"/>
        <w:ind w:right="0" w:firstLine="0"/>
        <w:jc w:val="left"/>
        <w:outlineLvl w:val="0"/>
        <w:rPr>
          <w:rFonts w:hint="default" w:ascii="宋体" w:hAnsi="宋体" w:eastAsia="宋体"/>
          <w:b/>
          <w:color w:val="auto"/>
          <w:position w:val="0"/>
          <w:sz w:val="24"/>
          <w:szCs w:val="24"/>
        </w:rPr>
      </w:pPr>
      <w:r>
        <w:rPr>
          <w:rFonts w:hint="default" w:ascii="宋体" w:hAnsi="宋体" w:eastAsia="宋体"/>
          <w:b/>
          <w:color w:val="auto"/>
          <w:position w:val="0"/>
          <w:sz w:val="24"/>
          <w:szCs w:val="24"/>
        </w:rPr>
        <w:t>表五</w:t>
      </w:r>
      <w:bookmarkEnd w:id="15"/>
    </w:p>
    <w:tbl>
      <w:tblPr>
        <w:tblStyle w:val="3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10" w:hRule="atLeast"/>
        </w:trPr>
        <w:tc>
          <w:tcPr>
            <w:tcW w:w="5000" w:type="pct"/>
            <w:vAlign w:val="top"/>
          </w:tcPr>
          <w:p>
            <w:pPr>
              <w:pageBreakBefore w:val="0"/>
              <w:numPr>
                <w:ilvl w:val="0"/>
                <w:numId w:val="0"/>
              </w:numPr>
              <w:autoSpaceDE/>
              <w:autoSpaceDN/>
              <w:bidi w:val="0"/>
              <w:snapToGrid w:val="0"/>
              <w:spacing w:before="0" w:after="0" w:line="360" w:lineRule="auto"/>
              <w:ind w:right="0" w:firstLine="0"/>
              <w:jc w:val="both"/>
              <w:outlineLvl w:val="0"/>
              <w:rPr>
                <w:rFonts w:hint="default" w:ascii="Times New Roman" w:hAnsi="宋体" w:eastAsia="宋体"/>
                <w:b/>
                <w:color w:val="auto"/>
                <w:position w:val="0"/>
                <w:sz w:val="24"/>
                <w:szCs w:val="24"/>
              </w:rPr>
            </w:pPr>
            <w:bookmarkStart w:id="16" w:name="_Toc7757"/>
            <w:bookmarkStart w:id="17" w:name="_Toc8677"/>
            <w:bookmarkStart w:id="18" w:name="_Toc12205"/>
            <w:r>
              <w:rPr>
                <w:rFonts w:hint="default" w:ascii="Times New Roman" w:hAnsi="宋体" w:eastAsia="宋体"/>
                <w:b/>
                <w:color w:val="auto"/>
                <w:position w:val="0"/>
                <w:sz w:val="24"/>
                <w:szCs w:val="24"/>
              </w:rPr>
              <w:t>验收监测质量保证及质量控制：</w:t>
            </w:r>
            <w:bookmarkEnd w:id="16"/>
            <w:bookmarkEnd w:id="17"/>
            <w:bookmarkEnd w:id="18"/>
          </w:p>
          <w:p>
            <w:pPr>
              <w:pStyle w:val="45"/>
              <w:pageBreakBefore w:val="0"/>
              <w:numPr>
                <w:ilvl w:val="0"/>
                <w:numId w:val="0"/>
              </w:numPr>
              <w:autoSpaceDE w:val="0"/>
              <w:autoSpaceDN w:val="0"/>
              <w:bidi w:val="0"/>
              <w:snapToGrid/>
              <w:spacing w:before="0" w:after="160" w:line="360" w:lineRule="auto"/>
              <w:ind w:right="0" w:firstLine="482"/>
              <w:jc w:val="both"/>
              <w:rPr>
                <w:rFonts w:hint="default" w:ascii="Times New Roman" w:hAnsi="宋体" w:eastAsia="宋体"/>
                <w:b/>
                <w:color w:val="000000"/>
                <w:position w:val="0"/>
                <w:sz w:val="24"/>
                <w:szCs w:val="24"/>
              </w:rPr>
            </w:pPr>
            <w:r>
              <w:rPr>
                <w:rFonts w:hint="default" w:ascii="Times New Roman" w:hAnsi="宋体" w:eastAsia="宋体"/>
                <w:b/>
                <w:color w:val="000000"/>
                <w:position w:val="0"/>
                <w:sz w:val="24"/>
                <w:szCs w:val="24"/>
              </w:rPr>
              <w:t>1、本次验收检测采用的检测</w:t>
            </w:r>
            <w:r>
              <w:rPr>
                <w:rFonts w:hint="eastAsia" w:ascii="Times New Roman"/>
                <w:b/>
                <w:color w:val="000000"/>
                <w:position w:val="0"/>
                <w:sz w:val="24"/>
                <w:szCs w:val="24"/>
                <w:lang w:val="en-US" w:eastAsia="zh-CN"/>
              </w:rPr>
              <w:t>仪器和</w:t>
            </w:r>
            <w:r>
              <w:rPr>
                <w:rFonts w:hint="default" w:ascii="Times New Roman" w:hAnsi="宋体" w:eastAsia="宋体"/>
                <w:b/>
                <w:color w:val="000000"/>
                <w:position w:val="0"/>
                <w:sz w:val="24"/>
                <w:szCs w:val="24"/>
              </w:rPr>
              <w:t>方法</w:t>
            </w:r>
          </w:p>
          <w:p>
            <w:pPr>
              <w:jc w:val="both"/>
              <w:rPr>
                <w:rFonts w:hint="eastAsia" w:ascii="Times New Roman" w:hAnsi="宋体" w:eastAsia="宋体" w:cs="宋体"/>
                <w:color w:val="auto"/>
                <w:spacing w:val="0"/>
                <w:position w:val="0"/>
                <w:sz w:val="24"/>
                <w:szCs w:val="24"/>
              </w:rPr>
            </w:pPr>
            <w:r>
              <w:rPr>
                <w:rFonts w:hint="default" w:ascii="Times New Roman" w:hAnsi="宋体" w:eastAsia="宋体"/>
                <w:color w:val="auto"/>
                <w:spacing w:val="0"/>
                <w:position w:val="0"/>
                <w:sz w:val="24"/>
                <w:szCs w:val="24"/>
              </w:rPr>
              <w:t>采样方</w:t>
            </w:r>
            <w:r>
              <w:rPr>
                <w:rFonts w:hint="default" w:ascii="Times New Roman" w:hAnsi="宋体" w:eastAsia="宋体" w:cs="宋体"/>
                <w:color w:val="auto"/>
                <w:spacing w:val="0"/>
                <w:position w:val="0"/>
                <w:sz w:val="24"/>
                <w:szCs w:val="24"/>
              </w:rPr>
              <w:t>法执行</w:t>
            </w:r>
            <w:r>
              <w:rPr>
                <w:rFonts w:hint="eastAsia" w:ascii="Times New Roman" w:hAnsi="宋体" w:eastAsia="宋体" w:cs="宋体"/>
                <w:color w:val="auto"/>
                <w:spacing w:val="0"/>
                <w:position w:val="0"/>
                <w:sz w:val="24"/>
                <w:szCs w:val="24"/>
              </w:rPr>
              <w:t>《固定污染源排气中颗粒物测定与气态污染物采样方法 》</w:t>
            </w:r>
          </w:p>
          <w:p>
            <w:pPr>
              <w:jc w:val="both"/>
              <w:rPr>
                <w:rFonts w:hint="default" w:ascii="Times New Roman" w:hAnsi="宋体" w:eastAsia="宋体" w:cs="宋体"/>
                <w:color w:val="auto"/>
                <w:spacing w:val="0"/>
                <w:position w:val="0"/>
                <w:sz w:val="24"/>
                <w:szCs w:val="24"/>
              </w:rPr>
            </w:pPr>
            <w:r>
              <w:rPr>
                <w:rFonts w:hint="eastAsia" w:ascii="Times New Roman" w:hAnsi="宋体" w:eastAsia="宋体" w:cs="宋体"/>
                <w:color w:val="auto"/>
                <w:spacing w:val="0"/>
                <w:position w:val="0"/>
                <w:sz w:val="24"/>
                <w:szCs w:val="24"/>
              </w:rPr>
              <w:t>GB/T 16157-1996</w:t>
            </w:r>
            <w:r>
              <w:rPr>
                <w:rFonts w:hint="default" w:ascii="Times New Roman" w:hAnsi="宋体" w:eastAsia="宋体" w:cs="宋体"/>
                <w:color w:val="auto"/>
                <w:spacing w:val="0"/>
                <w:position w:val="0"/>
                <w:sz w:val="24"/>
                <w:szCs w:val="24"/>
              </w:rPr>
              <w:t>、</w:t>
            </w:r>
            <w:r>
              <w:rPr>
                <w:rFonts w:hint="eastAsia" w:ascii="Times New Roman" w:hAnsi="宋体" w:eastAsia="宋体" w:cs="宋体"/>
                <w:color w:val="auto"/>
                <w:spacing w:val="0"/>
                <w:position w:val="0"/>
                <w:sz w:val="24"/>
                <w:szCs w:val="24"/>
              </w:rPr>
              <w:t>《大气污染物无组织排放监测技术总则》HJ/T 55-2000</w:t>
            </w:r>
            <w:r>
              <w:rPr>
                <w:rFonts w:hint="default" w:ascii="Times New Roman" w:hAnsi="宋体" w:eastAsia="宋体" w:cs="宋体"/>
                <w:color w:val="auto"/>
                <w:spacing w:val="0"/>
                <w:position w:val="0"/>
                <w:sz w:val="24"/>
                <w:szCs w:val="24"/>
              </w:rPr>
              <w:t>、</w:t>
            </w:r>
            <w:r>
              <w:rPr>
                <w:rFonts w:hint="eastAsia" w:ascii="Times New Roman" w:hAnsi="宋体" w:eastAsia="宋体" w:cs="宋体"/>
                <w:color w:val="auto"/>
                <w:spacing w:val="0"/>
                <w:position w:val="0"/>
                <w:sz w:val="24"/>
                <w:szCs w:val="24"/>
              </w:rPr>
              <w:t>《工业企业厂界环境噪声排放标准》（GB12348-2008）</w:t>
            </w:r>
            <w:r>
              <w:rPr>
                <w:rFonts w:hint="default" w:ascii="Times New Roman" w:hAnsi="宋体" w:eastAsia="宋体" w:cs="宋体"/>
                <w:color w:val="auto"/>
                <w:spacing w:val="0"/>
                <w:position w:val="0"/>
                <w:sz w:val="24"/>
                <w:szCs w:val="24"/>
              </w:rPr>
              <w:t>，检测分析方法采用国家标准方法。</w:t>
            </w:r>
          </w:p>
          <w:p>
            <w:pPr>
              <w:jc w:val="both"/>
              <w:rPr>
                <w:rFonts w:hint="default" w:ascii="Times New Roman" w:hAnsi="宋体" w:eastAsia="宋体" w:cs="宋体"/>
                <w:color w:val="auto"/>
                <w:spacing w:val="0"/>
                <w:position w:val="0"/>
                <w:sz w:val="24"/>
                <w:szCs w:val="24"/>
              </w:rPr>
            </w:pPr>
            <w:r>
              <w:rPr>
                <w:rFonts w:hint="default" w:ascii="Times New Roman" w:hAnsi="宋体" w:eastAsia="宋体" w:cs="宋体"/>
                <w:color w:val="auto"/>
                <w:spacing w:val="0"/>
                <w:position w:val="0"/>
                <w:sz w:val="24"/>
                <w:szCs w:val="24"/>
              </w:rPr>
              <w:t>检测</w:t>
            </w:r>
            <w:r>
              <w:rPr>
                <w:rFonts w:hint="eastAsia" w:ascii="Times New Roman" w:hAnsi="宋体" w:eastAsia="宋体" w:cs="宋体"/>
                <w:color w:val="auto"/>
                <w:spacing w:val="0"/>
                <w:position w:val="0"/>
                <w:sz w:val="24"/>
                <w:szCs w:val="24"/>
                <w:lang w:val="en-US" w:eastAsia="zh-CN"/>
              </w:rPr>
              <w:t>仪器及</w:t>
            </w:r>
            <w:r>
              <w:rPr>
                <w:rFonts w:hint="default" w:ascii="Times New Roman" w:hAnsi="宋体" w:eastAsia="宋体" w:cs="宋体"/>
                <w:color w:val="auto"/>
                <w:spacing w:val="0"/>
                <w:position w:val="0"/>
                <w:sz w:val="24"/>
                <w:szCs w:val="24"/>
              </w:rPr>
              <w:t>分析方法详见表见表5-1</w:t>
            </w:r>
          </w:p>
          <w:p>
            <w:pPr>
              <w:pageBreakBefore w:val="0"/>
              <w:numPr>
                <w:ilvl w:val="0"/>
                <w:numId w:val="0"/>
              </w:numPr>
              <w:tabs>
                <w:tab w:val="left" w:pos="1200"/>
              </w:tabs>
              <w:autoSpaceDE/>
              <w:autoSpaceDN/>
              <w:bidi w:val="0"/>
              <w:snapToGrid/>
              <w:spacing w:before="0" w:after="0" w:line="360" w:lineRule="auto"/>
              <w:ind w:right="0" w:firstLine="480"/>
              <w:jc w:val="center"/>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表5-1检测</w:t>
            </w:r>
            <w:r>
              <w:rPr>
                <w:rFonts w:hint="eastAsia" w:ascii="Times New Roman" w:hAnsi="宋体" w:eastAsia="宋体"/>
                <w:color w:val="auto"/>
                <w:position w:val="0"/>
                <w:sz w:val="24"/>
                <w:szCs w:val="24"/>
                <w:lang w:val="en-US" w:eastAsia="zh-CN"/>
              </w:rPr>
              <w:t>仪器及</w:t>
            </w:r>
            <w:r>
              <w:rPr>
                <w:rFonts w:hint="default" w:ascii="Times New Roman" w:hAnsi="宋体" w:eastAsia="宋体"/>
                <w:color w:val="auto"/>
                <w:position w:val="0"/>
                <w:sz w:val="24"/>
                <w:szCs w:val="24"/>
              </w:rPr>
              <w:t>分析方法一览表</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243"/>
              <w:gridCol w:w="1329"/>
              <w:gridCol w:w="1843"/>
              <w:gridCol w:w="1958"/>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jc w:val="center"/>
              </w:trPr>
              <w:tc>
                <w:tcPr>
                  <w:tcW w:w="439" w:type="pct"/>
                  <w:noWrap w:val="0"/>
                  <w:vAlign w:val="center"/>
                </w:tcPr>
                <w:p>
                  <w:pPr>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检测</w:t>
                  </w:r>
                </w:p>
                <w:p>
                  <w:pPr>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类别</w:t>
                  </w:r>
                </w:p>
              </w:tc>
              <w:tc>
                <w:tcPr>
                  <w:tcW w:w="749" w:type="pct"/>
                  <w:noWrap w:val="0"/>
                  <w:vAlign w:val="center"/>
                </w:tcPr>
                <w:p>
                  <w:pPr>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检测</w:t>
                  </w:r>
                </w:p>
                <w:p>
                  <w:pPr>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项目</w:t>
                  </w:r>
                </w:p>
              </w:tc>
              <w:tc>
                <w:tcPr>
                  <w:tcW w:w="801" w:type="pct"/>
                  <w:noWrap w:val="0"/>
                  <w:vAlign w:val="center"/>
                </w:tcPr>
                <w:p>
                  <w:pPr>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检测技术规范</w:t>
                  </w:r>
                </w:p>
              </w:tc>
              <w:tc>
                <w:tcPr>
                  <w:tcW w:w="1111" w:type="pct"/>
                  <w:noWrap w:val="0"/>
                  <w:vAlign w:val="center"/>
                </w:tcPr>
                <w:p>
                  <w:pPr>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检测技术依据及</w:t>
                  </w:r>
                </w:p>
                <w:p>
                  <w:pPr>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分析方法</w:t>
                  </w:r>
                </w:p>
              </w:tc>
              <w:tc>
                <w:tcPr>
                  <w:tcW w:w="1180" w:type="pct"/>
                  <w:noWrap w:val="0"/>
                  <w:vAlign w:val="center"/>
                </w:tcPr>
                <w:p>
                  <w:pPr>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主要仪器名称及编号</w:t>
                  </w:r>
                </w:p>
              </w:tc>
              <w:tc>
                <w:tcPr>
                  <w:tcW w:w="718" w:type="pct"/>
                  <w:noWrap w:val="0"/>
                  <w:vAlign w:val="center"/>
                </w:tcPr>
                <w:p>
                  <w:pPr>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exact"/>
                <w:jc w:val="center"/>
              </w:trPr>
              <w:tc>
                <w:tcPr>
                  <w:tcW w:w="439" w:type="pct"/>
                  <w:vMerge w:val="restart"/>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污水</w:t>
                  </w:r>
                </w:p>
              </w:tc>
              <w:tc>
                <w:tcPr>
                  <w:tcW w:w="749"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阴离子表面活性剂</w:t>
                  </w:r>
                </w:p>
              </w:tc>
              <w:tc>
                <w:tcPr>
                  <w:tcW w:w="801" w:type="pct"/>
                  <w:vMerge w:val="restart"/>
                  <w:noWrap w:val="0"/>
                  <w:vAlign w:val="center"/>
                </w:tcPr>
                <w:p>
                  <w:pPr>
                    <w:widowControl/>
                    <w:jc w:val="center"/>
                    <w:textAlignment w:val="bottom"/>
                    <w:rPr>
                      <w:rFonts w:hint="eastAsia" w:ascii="Times New Roman" w:hAnsi="Times New Roman" w:eastAsia="宋体" w:cs="Times New Roman"/>
                      <w:kern w:val="0"/>
                      <w:sz w:val="21"/>
                      <w:szCs w:val="21"/>
                      <w:highlight w:val="none"/>
                      <w:lang w:bidi="ar"/>
                    </w:rPr>
                  </w:pPr>
                  <w:r>
                    <w:rPr>
                      <w:rFonts w:hint="eastAsia" w:ascii="Times New Roman" w:hAnsi="Times New Roman" w:eastAsia="宋体" w:cs="Times New Roman"/>
                      <w:sz w:val="21"/>
                      <w:szCs w:val="21"/>
                      <w:highlight w:val="none"/>
                      <w:lang w:val="en-US" w:eastAsia="zh-CN"/>
                    </w:rPr>
                    <w:t>《污</w:t>
                  </w:r>
                  <w:r>
                    <w:rPr>
                      <w:rFonts w:hint="eastAsia" w:ascii="Times New Roman" w:hAnsi="Times New Roman" w:eastAsia="宋体" w:cs="Times New Roman"/>
                      <w:kern w:val="0"/>
                      <w:sz w:val="21"/>
                      <w:szCs w:val="21"/>
                      <w:highlight w:val="none"/>
                      <w:lang w:bidi="ar"/>
                    </w:rPr>
                    <w:t>水监测技术规范》</w:t>
                  </w:r>
                </w:p>
                <w:p>
                  <w:pPr>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kern w:val="0"/>
                      <w:sz w:val="21"/>
                      <w:szCs w:val="21"/>
                      <w:highlight w:val="none"/>
                      <w:lang w:val="en-US" w:eastAsia="zh-CN" w:bidi="ar"/>
                    </w:rPr>
                    <w:t>HJ</w:t>
                  </w:r>
                  <w:r>
                    <w:rPr>
                      <w:rFonts w:hint="eastAsia" w:ascii="Times New Roman" w:hAnsi="Times New Roman" w:eastAsia="宋体" w:cs="Times New Roman"/>
                      <w:kern w:val="0"/>
                      <w:sz w:val="21"/>
                      <w:szCs w:val="21"/>
                      <w:highlight w:val="none"/>
                      <w:lang w:val="en-US" w:eastAsia="zh-CN" w:bidi="ar"/>
                    </w:rPr>
                    <w:t xml:space="preserve"> </w:t>
                  </w:r>
                  <w:r>
                    <w:rPr>
                      <w:rFonts w:hint="default" w:ascii="Times New Roman" w:hAnsi="Times New Roman" w:eastAsia="宋体" w:cs="Times New Roman"/>
                      <w:kern w:val="0"/>
                      <w:sz w:val="21"/>
                      <w:szCs w:val="21"/>
                      <w:highlight w:val="none"/>
                      <w:lang w:val="en-US" w:eastAsia="zh-CN" w:bidi="ar"/>
                    </w:rPr>
                    <w:t>91</w:t>
                  </w:r>
                  <w:r>
                    <w:rPr>
                      <w:rFonts w:hint="eastAsia" w:ascii="Times New Roman" w:hAnsi="Times New Roman" w:eastAsia="宋体" w:cs="Times New Roman"/>
                      <w:kern w:val="0"/>
                      <w:sz w:val="21"/>
                      <w:szCs w:val="21"/>
                      <w:highlight w:val="none"/>
                      <w:lang w:val="en-US" w:eastAsia="zh-CN" w:bidi="ar"/>
                    </w:rPr>
                    <w:t>.1</w:t>
                  </w:r>
                  <w:r>
                    <w:rPr>
                      <w:rFonts w:hint="default" w:ascii="Times New Roman" w:hAnsi="Times New Roman" w:eastAsia="宋体" w:cs="Times New Roman"/>
                      <w:kern w:val="0"/>
                      <w:sz w:val="21"/>
                      <w:szCs w:val="21"/>
                      <w:highlight w:val="none"/>
                      <w:lang w:val="en-US" w:eastAsia="zh-CN" w:bidi="ar"/>
                    </w:rPr>
                    <w:t>-20</w:t>
                  </w:r>
                  <w:r>
                    <w:rPr>
                      <w:rFonts w:hint="eastAsia" w:ascii="Times New Roman" w:hAnsi="Times New Roman" w:eastAsia="宋体" w:cs="Times New Roman"/>
                      <w:kern w:val="0"/>
                      <w:sz w:val="21"/>
                      <w:szCs w:val="21"/>
                      <w:highlight w:val="none"/>
                      <w:lang w:val="en-US" w:eastAsia="zh-CN" w:bidi="ar"/>
                    </w:rPr>
                    <w:t>19</w:t>
                  </w:r>
                </w:p>
              </w:tc>
              <w:tc>
                <w:tcPr>
                  <w:tcW w:w="1111" w:type="pct"/>
                  <w:noWrap w:val="0"/>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GB/T 7494-1987</w:t>
                  </w:r>
                </w:p>
                <w:p>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亚甲蓝分光光度法</w:t>
                  </w:r>
                </w:p>
              </w:tc>
              <w:tc>
                <w:tcPr>
                  <w:tcW w:w="1180" w:type="pct"/>
                  <w:noWrap w:val="0"/>
                  <w:vAlign w:val="center"/>
                </w:tcPr>
                <w:p>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紫外分光光度计</w:t>
                  </w:r>
                </w:p>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THYQ-092</w:t>
                  </w:r>
                </w:p>
              </w:tc>
              <w:tc>
                <w:tcPr>
                  <w:tcW w:w="71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 w:val="21"/>
                      <w:szCs w:val="21"/>
                      <w:lang w:val="en-US" w:eastAsia="zh-CN"/>
                    </w:rPr>
                    <w:t>0.05</w:t>
                  </w:r>
                  <w:r>
                    <w:rPr>
                      <w:rFonts w:hint="eastAsia"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exact"/>
                <w:jc w:val="center"/>
              </w:trPr>
              <w:tc>
                <w:tcPr>
                  <w:tcW w:w="439" w:type="pct"/>
                  <w:vMerge w:val="continue"/>
                  <w:noWrap w:val="0"/>
                  <w:vAlign w:val="center"/>
                </w:tcPr>
                <w:p>
                  <w:pPr>
                    <w:jc w:val="center"/>
                    <w:rPr>
                      <w:rFonts w:hint="eastAsia" w:ascii="Times New Roman" w:hAnsi="Times New Roman" w:eastAsia="宋体" w:cs="Times New Roman"/>
                      <w:color w:val="000000"/>
                      <w:kern w:val="2"/>
                      <w:sz w:val="21"/>
                      <w:szCs w:val="21"/>
                      <w:lang w:val="en-US" w:eastAsia="zh-CN" w:bidi="ar-SA"/>
                    </w:rPr>
                  </w:pPr>
                </w:p>
              </w:tc>
              <w:tc>
                <w:tcPr>
                  <w:tcW w:w="749"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总磷</w:t>
                  </w:r>
                </w:p>
              </w:tc>
              <w:tc>
                <w:tcPr>
                  <w:tcW w:w="801" w:type="pct"/>
                  <w:vMerge w:val="continue"/>
                  <w:noWrap w:val="0"/>
                  <w:vAlign w:val="center"/>
                </w:tcPr>
                <w:p>
                  <w:pPr>
                    <w:jc w:val="center"/>
                    <w:rPr>
                      <w:rFonts w:hint="eastAsia" w:ascii="Times New Roman" w:hAnsi="Times New Roman" w:eastAsia="宋体" w:cs="Times New Roman"/>
                      <w:color w:val="000000"/>
                      <w:kern w:val="2"/>
                      <w:sz w:val="21"/>
                      <w:szCs w:val="21"/>
                      <w:lang w:val="en-US" w:eastAsia="zh-CN" w:bidi="ar-SA"/>
                    </w:rPr>
                  </w:pPr>
                </w:p>
              </w:tc>
              <w:tc>
                <w:tcPr>
                  <w:tcW w:w="1111" w:type="pct"/>
                  <w:noWrap w:val="0"/>
                  <w:vAlign w:val="center"/>
                </w:tcPr>
                <w:p>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GB/T 11893-1989</w:t>
                  </w:r>
                </w:p>
                <w:p>
                  <w:pPr>
                    <w:widowControl/>
                    <w:jc w:val="center"/>
                    <w:textAlignment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钼酸铵分光光度法</w:t>
                  </w:r>
                </w:p>
              </w:tc>
              <w:tc>
                <w:tcPr>
                  <w:tcW w:w="1180" w:type="pct"/>
                  <w:noWrap w:val="0"/>
                  <w:vAlign w:val="center"/>
                </w:tcPr>
                <w:p>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紫外分光光度计</w:t>
                  </w:r>
                </w:p>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THYQ-092</w:t>
                  </w:r>
                </w:p>
              </w:tc>
              <w:tc>
                <w:tcPr>
                  <w:tcW w:w="718" w:type="pct"/>
                  <w:noWrap w:val="0"/>
                  <w:vAlign w:val="center"/>
                </w:tcPr>
                <w:p>
                  <w:pPr>
                    <w:jc w:val="center"/>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0" w:hRule="exact"/>
                <w:jc w:val="center"/>
              </w:trPr>
              <w:tc>
                <w:tcPr>
                  <w:tcW w:w="439" w:type="pct"/>
                  <w:vMerge w:val="continue"/>
                  <w:noWrap w:val="0"/>
                  <w:vAlign w:val="center"/>
                </w:tcPr>
                <w:p>
                  <w:pPr>
                    <w:jc w:val="center"/>
                    <w:rPr>
                      <w:rFonts w:hint="eastAsia" w:ascii="Times New Roman" w:hAnsi="Times New Roman" w:eastAsia="宋体" w:cs="Times New Roman"/>
                      <w:color w:val="000000"/>
                      <w:kern w:val="2"/>
                      <w:sz w:val="21"/>
                      <w:szCs w:val="21"/>
                      <w:lang w:val="en-US" w:eastAsia="zh-CN" w:bidi="ar-SA"/>
                    </w:rPr>
                  </w:pPr>
                </w:p>
              </w:tc>
              <w:tc>
                <w:tcPr>
                  <w:tcW w:w="749"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悬浮物</w:t>
                  </w:r>
                </w:p>
              </w:tc>
              <w:tc>
                <w:tcPr>
                  <w:tcW w:w="801" w:type="pct"/>
                  <w:vMerge w:val="continue"/>
                  <w:noWrap w:val="0"/>
                  <w:vAlign w:val="center"/>
                </w:tcPr>
                <w:p>
                  <w:pPr>
                    <w:jc w:val="center"/>
                    <w:rPr>
                      <w:rFonts w:hint="eastAsia" w:ascii="Times New Roman" w:hAnsi="Times New Roman" w:eastAsia="宋体" w:cs="Times New Roman"/>
                      <w:color w:val="000000"/>
                      <w:kern w:val="2"/>
                      <w:sz w:val="21"/>
                      <w:szCs w:val="21"/>
                      <w:lang w:val="en-US" w:eastAsia="zh-CN" w:bidi="ar-SA"/>
                    </w:rPr>
                  </w:pPr>
                </w:p>
              </w:tc>
              <w:tc>
                <w:tcPr>
                  <w:tcW w:w="1111" w:type="pct"/>
                  <w:noWrap w:val="0"/>
                  <w:vAlign w:val="center"/>
                </w:tcPr>
                <w:p>
                  <w:pPr>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rPr>
                    <w:t xml:space="preserve">GB/T </w:t>
                  </w:r>
                  <w:r>
                    <w:rPr>
                      <w:rFonts w:hint="default" w:ascii="Times New Roman" w:hAnsi="Times New Roman" w:eastAsia="宋体" w:cs="Times New Roman"/>
                      <w:kern w:val="0"/>
                      <w:sz w:val="21"/>
                      <w:szCs w:val="21"/>
                      <w:highlight w:val="none"/>
                      <w:lang w:val="en-US" w:eastAsia="zh-CN"/>
                    </w:rPr>
                    <w:t>11901-1989</w:t>
                  </w:r>
                </w:p>
                <w:p>
                  <w:pPr>
                    <w:jc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重量法</w:t>
                  </w:r>
                </w:p>
              </w:tc>
              <w:tc>
                <w:tcPr>
                  <w:tcW w:w="1180" w:type="pct"/>
                  <w:noWrap w:val="0"/>
                  <w:vAlign w:val="center"/>
                </w:tcPr>
                <w:p>
                  <w:pPr>
                    <w:keepNext w:val="0"/>
                    <w:keepLines w:val="0"/>
                    <w:pageBreakBefore w:val="0"/>
                    <w:kinsoku/>
                    <w:wordWrap/>
                    <w:overflowPunct/>
                    <w:topLinePunct w:val="0"/>
                    <w:bidi w:val="0"/>
                    <w:snapToGrid/>
                    <w:spacing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电热恒温鼓风干燥箱</w:t>
                  </w:r>
                </w:p>
                <w:p>
                  <w:pPr>
                    <w:jc w:val="center"/>
                    <w:rPr>
                      <w:rFonts w:hint="default" w:ascii="Times New Roman" w:hAnsi="Times New Roman" w:eastAsia="宋体" w:cs="Times New Roman"/>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THYQ-011</w:t>
                  </w:r>
                </w:p>
              </w:tc>
              <w:tc>
                <w:tcPr>
                  <w:tcW w:w="71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exact"/>
                <w:jc w:val="center"/>
              </w:trPr>
              <w:tc>
                <w:tcPr>
                  <w:tcW w:w="439" w:type="pct"/>
                  <w:vMerge w:val="continue"/>
                  <w:noWrap w:val="0"/>
                  <w:vAlign w:val="center"/>
                </w:tcPr>
                <w:p>
                  <w:pPr>
                    <w:jc w:val="center"/>
                    <w:rPr>
                      <w:rFonts w:hint="eastAsia" w:ascii="Times New Roman" w:hAnsi="Times New Roman" w:eastAsia="宋体" w:cs="Times New Roman"/>
                      <w:color w:val="000000"/>
                      <w:kern w:val="2"/>
                      <w:sz w:val="21"/>
                      <w:szCs w:val="21"/>
                      <w:lang w:val="en-US" w:eastAsia="zh-CN" w:bidi="ar-SA"/>
                    </w:rPr>
                  </w:pPr>
                </w:p>
              </w:tc>
              <w:tc>
                <w:tcPr>
                  <w:tcW w:w="749"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总氮</w:t>
                  </w:r>
                </w:p>
              </w:tc>
              <w:tc>
                <w:tcPr>
                  <w:tcW w:w="801" w:type="pct"/>
                  <w:vMerge w:val="continue"/>
                  <w:noWrap w:val="0"/>
                  <w:vAlign w:val="center"/>
                </w:tcPr>
                <w:p>
                  <w:pPr>
                    <w:jc w:val="center"/>
                    <w:rPr>
                      <w:rFonts w:hint="eastAsia" w:ascii="Times New Roman" w:hAnsi="Times New Roman" w:eastAsia="宋体" w:cs="Times New Roman"/>
                      <w:color w:val="000000"/>
                      <w:kern w:val="2"/>
                      <w:sz w:val="21"/>
                      <w:szCs w:val="21"/>
                      <w:lang w:val="en-US" w:eastAsia="zh-CN" w:bidi="ar-SA"/>
                    </w:rPr>
                  </w:pPr>
                </w:p>
              </w:tc>
              <w:tc>
                <w:tcPr>
                  <w:tcW w:w="1111" w:type="pc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HJ 636-2012</w:t>
                  </w:r>
                </w:p>
                <w:p>
                  <w:pPr>
                    <w:jc w:val="center"/>
                    <w:rPr>
                      <w:rFonts w:hint="eastAsia" w:ascii="宋体" w:hAnsi="宋体" w:eastAsia="宋体" w:cs="宋体"/>
                      <w:color w:val="000000"/>
                      <w:kern w:val="0"/>
                      <w:sz w:val="21"/>
                      <w:szCs w:val="21"/>
                      <w:lang w:val="en-US" w:eastAsia="zh-CN" w:bidi="ar"/>
                    </w:rPr>
                  </w:pPr>
                  <w:r>
                    <w:rPr>
                      <w:rFonts w:hint="eastAsia" w:ascii="宋体" w:hAnsi="宋体" w:eastAsia="宋体" w:cs="宋体"/>
                      <w:sz w:val="21"/>
                      <w:szCs w:val="21"/>
                      <w:lang w:val="en-US" w:eastAsia="zh-CN"/>
                    </w:rPr>
                    <w:t>碱性过硫酸钾消解紫外分光光度法</w:t>
                  </w:r>
                </w:p>
              </w:tc>
              <w:tc>
                <w:tcPr>
                  <w:tcW w:w="1180" w:type="pc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紫外分光光度计</w:t>
                  </w:r>
                </w:p>
                <w:p>
                  <w:pPr>
                    <w:jc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lang w:val="en-US" w:eastAsia="zh-CN"/>
                    </w:rPr>
                    <w:t>THYQ-092</w:t>
                  </w:r>
                </w:p>
              </w:tc>
              <w:tc>
                <w:tcPr>
                  <w:tcW w:w="718" w:type="pct"/>
                  <w:noWrap w:val="0"/>
                  <w:vAlign w:val="center"/>
                </w:tcPr>
                <w:p>
                  <w:pPr>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sz w:val="21"/>
                      <w:szCs w:val="21"/>
                      <w:lang w:val="en-US" w:eastAsia="zh-CN"/>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exact"/>
                <w:jc w:val="center"/>
              </w:trPr>
              <w:tc>
                <w:tcPr>
                  <w:tcW w:w="439" w:type="pct"/>
                  <w:vMerge w:val="continue"/>
                  <w:noWrap w:val="0"/>
                  <w:vAlign w:val="center"/>
                </w:tcPr>
                <w:p>
                  <w:pPr>
                    <w:jc w:val="center"/>
                    <w:rPr>
                      <w:rFonts w:hint="eastAsia" w:ascii="Times New Roman" w:hAnsi="Times New Roman" w:eastAsia="宋体" w:cs="Times New Roman"/>
                      <w:color w:val="000000"/>
                      <w:kern w:val="2"/>
                      <w:sz w:val="21"/>
                      <w:szCs w:val="21"/>
                      <w:lang w:val="en-US" w:eastAsia="zh-CN" w:bidi="ar-SA"/>
                    </w:rPr>
                  </w:pPr>
                </w:p>
              </w:tc>
              <w:tc>
                <w:tcPr>
                  <w:tcW w:w="749" w:type="pct"/>
                  <w:noWrap w:val="0"/>
                  <w:vAlign w:val="center"/>
                </w:tcPr>
                <w:p>
                  <w:pPr>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pH</w:t>
                  </w:r>
                </w:p>
              </w:tc>
              <w:tc>
                <w:tcPr>
                  <w:tcW w:w="801" w:type="pct"/>
                  <w:vMerge w:val="continue"/>
                  <w:noWrap w:val="0"/>
                  <w:vAlign w:val="center"/>
                </w:tcPr>
                <w:p>
                  <w:pPr>
                    <w:jc w:val="center"/>
                    <w:rPr>
                      <w:rFonts w:hint="eastAsia" w:ascii="Times New Roman" w:hAnsi="Times New Roman" w:eastAsia="宋体" w:cs="Times New Roman"/>
                      <w:color w:val="000000"/>
                      <w:kern w:val="2"/>
                      <w:sz w:val="21"/>
                      <w:szCs w:val="21"/>
                      <w:lang w:val="en-US" w:eastAsia="zh-CN" w:bidi="ar-SA"/>
                    </w:rPr>
                  </w:pPr>
                </w:p>
              </w:tc>
              <w:tc>
                <w:tcPr>
                  <w:tcW w:w="1111" w:type="pct"/>
                  <w:noWrap w:val="0"/>
                  <w:vAlign w:val="center"/>
                </w:tcPr>
                <w:p>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HJ 1147-2020电极法</w:t>
                  </w:r>
                </w:p>
              </w:tc>
              <w:tc>
                <w:tcPr>
                  <w:tcW w:w="1180" w:type="pct"/>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酸度计</w:t>
                  </w:r>
                </w:p>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THYQ-015</w:t>
                  </w:r>
                </w:p>
                <w:p>
                  <w:pPr>
                    <w:jc w:val="center"/>
                    <w:rPr>
                      <w:rFonts w:hint="default" w:ascii="Times New Roman" w:hAnsi="Times New Roman" w:eastAsia="宋体" w:cs="Times New Roman"/>
                      <w:kern w:val="2"/>
                      <w:sz w:val="21"/>
                      <w:szCs w:val="21"/>
                      <w:highlight w:val="none"/>
                      <w:lang w:val="en-US" w:eastAsia="zh-CN" w:bidi="ar-SA"/>
                    </w:rPr>
                  </w:pPr>
                </w:p>
              </w:tc>
              <w:tc>
                <w:tcPr>
                  <w:tcW w:w="71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exact"/>
                <w:jc w:val="center"/>
              </w:trPr>
              <w:tc>
                <w:tcPr>
                  <w:tcW w:w="439" w:type="pct"/>
                  <w:vMerge w:val="continue"/>
                  <w:noWrap w:val="0"/>
                  <w:vAlign w:val="center"/>
                </w:tcPr>
                <w:p>
                  <w:pPr>
                    <w:jc w:val="center"/>
                    <w:rPr>
                      <w:rFonts w:hint="eastAsia" w:ascii="Times New Roman" w:hAnsi="Times New Roman" w:eastAsia="宋体" w:cs="Times New Roman"/>
                      <w:color w:val="000000"/>
                      <w:kern w:val="2"/>
                      <w:sz w:val="21"/>
                      <w:szCs w:val="21"/>
                      <w:lang w:val="en-US" w:eastAsia="zh-CN" w:bidi="ar-SA"/>
                    </w:rPr>
                  </w:pPr>
                </w:p>
              </w:tc>
              <w:tc>
                <w:tcPr>
                  <w:tcW w:w="749"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化学需氧量（CODcr）</w:t>
                  </w:r>
                </w:p>
              </w:tc>
              <w:tc>
                <w:tcPr>
                  <w:tcW w:w="801" w:type="pct"/>
                  <w:vMerge w:val="continue"/>
                  <w:noWrap w:val="0"/>
                  <w:vAlign w:val="center"/>
                </w:tcPr>
                <w:p>
                  <w:pPr>
                    <w:jc w:val="center"/>
                    <w:rPr>
                      <w:rFonts w:hint="eastAsia" w:ascii="Times New Roman" w:hAnsi="Times New Roman" w:eastAsia="宋体" w:cs="Times New Roman"/>
                      <w:color w:val="000000"/>
                      <w:kern w:val="2"/>
                      <w:sz w:val="21"/>
                      <w:szCs w:val="21"/>
                      <w:lang w:val="en-US" w:eastAsia="zh-CN" w:bidi="ar-SA"/>
                    </w:rPr>
                  </w:pPr>
                </w:p>
              </w:tc>
              <w:tc>
                <w:tcPr>
                  <w:tcW w:w="1111" w:type="pct"/>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HJ828-2017</w:t>
                  </w:r>
                </w:p>
                <w:p>
                  <w:pPr>
                    <w:jc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重铬酸盐法</w:t>
                  </w:r>
                </w:p>
              </w:tc>
              <w:tc>
                <w:tcPr>
                  <w:tcW w:w="1180" w:type="pct"/>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COD恒温加热器</w:t>
                  </w:r>
                </w:p>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THYQ-1</w:t>
                  </w:r>
                  <w:r>
                    <w:rPr>
                      <w:rFonts w:hint="eastAsia" w:ascii="Times New Roman" w:hAnsi="Times New Roman" w:eastAsia="宋体" w:cs="Times New Roman"/>
                      <w:sz w:val="21"/>
                      <w:szCs w:val="21"/>
                      <w:highlight w:val="none"/>
                      <w:lang w:val="en-US" w:eastAsia="zh-CN"/>
                    </w:rPr>
                    <w:t>69</w:t>
                  </w:r>
                </w:p>
              </w:tc>
              <w:tc>
                <w:tcPr>
                  <w:tcW w:w="718"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exact"/>
                <w:jc w:val="center"/>
              </w:trPr>
              <w:tc>
                <w:tcPr>
                  <w:tcW w:w="439" w:type="pct"/>
                  <w:vMerge w:val="continue"/>
                  <w:noWrap w:val="0"/>
                  <w:vAlign w:val="center"/>
                </w:tcPr>
                <w:p>
                  <w:pPr>
                    <w:jc w:val="center"/>
                    <w:rPr>
                      <w:rFonts w:hint="eastAsia" w:ascii="Times New Roman" w:hAnsi="Times New Roman" w:eastAsia="宋体" w:cs="Times New Roman"/>
                      <w:color w:val="000000"/>
                      <w:kern w:val="2"/>
                      <w:sz w:val="21"/>
                      <w:szCs w:val="21"/>
                      <w:lang w:val="en-US" w:eastAsia="zh-CN" w:bidi="ar-SA"/>
                    </w:rPr>
                  </w:pPr>
                </w:p>
              </w:tc>
              <w:tc>
                <w:tcPr>
                  <w:tcW w:w="749"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五日生化需氧</w:t>
                  </w:r>
                  <w:r>
                    <w:rPr>
                      <w:rFonts w:hint="eastAsia" w:ascii="Times New Roman" w:hAnsi="Times New Roman" w:eastAsia="宋体" w:cs="Times New Roman"/>
                      <w:sz w:val="21"/>
                      <w:szCs w:val="21"/>
                      <w:highlight w:val="none"/>
                      <w:lang w:val="en-US" w:eastAsia="zh-CN"/>
                    </w:rPr>
                    <w:t>量</w:t>
                  </w:r>
                  <w:r>
                    <w:rPr>
                      <w:rFonts w:hint="default" w:ascii="Times New Roman" w:hAnsi="Times New Roman" w:eastAsia="宋体" w:cs="Times New Roman"/>
                      <w:sz w:val="21"/>
                      <w:szCs w:val="21"/>
                      <w:highlight w:val="none"/>
                      <w:lang w:val="en-US" w:eastAsia="zh-CN"/>
                    </w:rPr>
                    <w:t>（BOD</w:t>
                  </w:r>
                  <w:r>
                    <w:rPr>
                      <w:rFonts w:hint="default" w:ascii="Times New Roman" w:hAnsi="Times New Roman" w:eastAsia="宋体" w:cs="Times New Roman"/>
                      <w:sz w:val="21"/>
                      <w:szCs w:val="21"/>
                      <w:highlight w:val="none"/>
                      <w:vertAlign w:val="subscript"/>
                      <w:lang w:val="en-US" w:eastAsia="zh-CN"/>
                    </w:rPr>
                    <w:t>5</w:t>
                  </w:r>
                  <w:r>
                    <w:rPr>
                      <w:rFonts w:hint="default" w:ascii="Times New Roman" w:hAnsi="Times New Roman" w:eastAsia="宋体" w:cs="Times New Roman"/>
                      <w:sz w:val="21"/>
                      <w:szCs w:val="21"/>
                      <w:highlight w:val="none"/>
                      <w:lang w:val="en-US" w:eastAsia="zh-CN"/>
                    </w:rPr>
                    <w:t>）</w:t>
                  </w:r>
                </w:p>
              </w:tc>
              <w:tc>
                <w:tcPr>
                  <w:tcW w:w="801" w:type="pct"/>
                  <w:vMerge w:val="continue"/>
                  <w:noWrap w:val="0"/>
                  <w:vAlign w:val="center"/>
                </w:tcPr>
                <w:p>
                  <w:pPr>
                    <w:jc w:val="center"/>
                    <w:rPr>
                      <w:rFonts w:hint="eastAsia" w:ascii="Times New Roman" w:hAnsi="Times New Roman" w:eastAsia="宋体" w:cs="Times New Roman"/>
                      <w:color w:val="000000"/>
                      <w:kern w:val="2"/>
                      <w:sz w:val="21"/>
                      <w:szCs w:val="21"/>
                      <w:lang w:val="en-US" w:eastAsia="zh-CN" w:bidi="ar-SA"/>
                    </w:rPr>
                  </w:pPr>
                </w:p>
              </w:tc>
              <w:tc>
                <w:tcPr>
                  <w:tcW w:w="1111" w:type="pct"/>
                  <w:noWrap w:val="0"/>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HJ 505-2009</w:t>
                  </w:r>
                </w:p>
                <w:p>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bidi="ar"/>
                    </w:rPr>
                    <w:t>稀释与接种法</w:t>
                  </w:r>
                </w:p>
              </w:tc>
              <w:tc>
                <w:tcPr>
                  <w:tcW w:w="1180" w:type="pct"/>
                  <w:noWrap w:val="0"/>
                  <w:vAlign w:val="center"/>
                </w:tcPr>
                <w:p>
                  <w:pPr>
                    <w:jc w:val="center"/>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生化培养箱</w:t>
                  </w:r>
                </w:p>
                <w:p>
                  <w:pPr>
                    <w:jc w:val="center"/>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THYQ-087</w:t>
                  </w:r>
                </w:p>
                <w:p>
                  <w:pPr>
                    <w:jc w:val="center"/>
                    <w:rPr>
                      <w:rFonts w:hint="default" w:ascii="Times New Roman" w:hAnsi="Times New Roman" w:eastAsia="宋体" w:cs="Times New Roman"/>
                      <w:kern w:val="2"/>
                      <w:sz w:val="21"/>
                      <w:szCs w:val="21"/>
                      <w:highlight w:val="none"/>
                      <w:lang w:val="en-US" w:eastAsia="zh-CN" w:bidi="ar-SA"/>
                    </w:rPr>
                  </w:pPr>
                </w:p>
              </w:tc>
              <w:tc>
                <w:tcPr>
                  <w:tcW w:w="71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 w:val="21"/>
                      <w:szCs w:val="21"/>
                      <w:lang w:val="en-US" w:eastAsia="zh-CN"/>
                    </w:rPr>
                    <w:t>0.5</w:t>
                  </w:r>
                  <w:r>
                    <w:rPr>
                      <w:rFonts w:hint="eastAsia"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exact"/>
                <w:jc w:val="center"/>
              </w:trPr>
              <w:tc>
                <w:tcPr>
                  <w:tcW w:w="439" w:type="pct"/>
                  <w:vMerge w:val="continue"/>
                  <w:noWrap w:val="0"/>
                  <w:vAlign w:val="center"/>
                </w:tcPr>
                <w:p>
                  <w:pPr>
                    <w:jc w:val="center"/>
                    <w:rPr>
                      <w:rFonts w:hint="eastAsia" w:ascii="Times New Roman" w:hAnsi="Times New Roman" w:eastAsia="宋体" w:cs="Times New Roman"/>
                      <w:color w:val="000000"/>
                      <w:kern w:val="2"/>
                      <w:sz w:val="21"/>
                      <w:szCs w:val="21"/>
                      <w:lang w:val="en-US" w:eastAsia="zh-CN" w:bidi="ar-SA"/>
                    </w:rPr>
                  </w:pPr>
                </w:p>
              </w:tc>
              <w:tc>
                <w:tcPr>
                  <w:tcW w:w="749" w:type="pct"/>
                  <w:noWrap w:val="0"/>
                  <w:vAlign w:val="center"/>
                </w:tcPr>
                <w:p>
                  <w:pPr>
                    <w:spacing w:line="240" w:lineRule="exac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氨氮</w:t>
                  </w:r>
                </w:p>
              </w:tc>
              <w:tc>
                <w:tcPr>
                  <w:tcW w:w="801" w:type="pct"/>
                  <w:vMerge w:val="continue"/>
                  <w:noWrap w:val="0"/>
                  <w:vAlign w:val="center"/>
                </w:tcPr>
                <w:p>
                  <w:pPr>
                    <w:jc w:val="center"/>
                    <w:rPr>
                      <w:rFonts w:hint="eastAsia" w:ascii="Times New Roman" w:hAnsi="Times New Roman" w:eastAsia="宋体" w:cs="Times New Roman"/>
                      <w:color w:val="000000"/>
                      <w:kern w:val="2"/>
                      <w:sz w:val="21"/>
                      <w:szCs w:val="21"/>
                      <w:lang w:val="en-US" w:eastAsia="zh-CN" w:bidi="ar-SA"/>
                    </w:rPr>
                  </w:pPr>
                </w:p>
              </w:tc>
              <w:tc>
                <w:tcPr>
                  <w:tcW w:w="1111" w:type="pct"/>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HJ535-2009</w:t>
                  </w:r>
                </w:p>
                <w:p>
                  <w:pPr>
                    <w:jc w:val="cente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纳氏试剂分光光度法</w:t>
                  </w:r>
                  <w:r>
                    <w:rPr>
                      <w:rFonts w:hint="eastAsia" w:ascii="宋体" w:hAnsi="宋体" w:cs="宋体"/>
                      <w:color w:val="000000"/>
                      <w:kern w:val="0"/>
                      <w:sz w:val="21"/>
                      <w:szCs w:val="21"/>
                      <w:lang w:bidi="ar"/>
                    </w:rPr>
                    <w:br w:type="textWrapping"/>
                  </w:r>
                </w:p>
              </w:tc>
              <w:tc>
                <w:tcPr>
                  <w:tcW w:w="1180" w:type="pct"/>
                  <w:noWrap w:val="0"/>
                  <w:vAlign w:val="center"/>
                </w:tcPr>
                <w:p>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紫外分光光度计</w:t>
                  </w:r>
                </w:p>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THYQ-092</w:t>
                  </w:r>
                </w:p>
              </w:tc>
              <w:tc>
                <w:tcPr>
                  <w:tcW w:w="71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 w:val="21"/>
                      <w:szCs w:val="21"/>
                      <w:lang w:val="en-US" w:eastAsia="zh-CN"/>
                    </w:rPr>
                    <w:t>0.025</w:t>
                  </w:r>
                  <w:r>
                    <w:rPr>
                      <w:rFonts w:hint="eastAsia" w:ascii="Times New Roman" w:hAnsi="Times New Roman" w:eastAsia="宋体" w:cs="Times New Roman"/>
                      <w:sz w:val="21"/>
                      <w:szCs w:val="21"/>
                      <w:vertAlign w:val="baseline"/>
                      <w:lang w:val="en-US" w:eastAsia="zh-CN"/>
                    </w:rPr>
                    <w:t>mg/L</w:t>
                  </w:r>
                </w:p>
              </w:tc>
            </w:tr>
          </w:tbl>
          <w:p>
            <w:pPr>
              <w:pageBreakBefore w:val="0"/>
              <w:numPr>
                <w:ilvl w:val="0"/>
                <w:numId w:val="0"/>
              </w:numPr>
              <w:tabs>
                <w:tab w:val="left" w:pos="1200"/>
              </w:tabs>
              <w:autoSpaceDE/>
              <w:autoSpaceDN/>
              <w:bidi w:val="0"/>
              <w:snapToGrid/>
              <w:spacing w:before="0" w:after="0" w:line="360" w:lineRule="auto"/>
              <w:ind w:right="0" w:firstLine="480"/>
              <w:jc w:val="center"/>
              <w:rPr>
                <w:rFonts w:hint="default" w:ascii="Times New Roman" w:hAnsi="宋体" w:eastAsia="宋体"/>
                <w:color w:val="auto"/>
                <w:position w:val="0"/>
                <w:sz w:val="24"/>
                <w:szCs w:val="24"/>
              </w:rPr>
            </w:pP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933"/>
              <w:gridCol w:w="1663"/>
              <w:gridCol w:w="1753"/>
              <w:gridCol w:w="2028"/>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1005" w:type="pct"/>
                  <w:gridSpan w:val="2"/>
                  <w:noWrap w:val="0"/>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委托</w:t>
                  </w:r>
                  <w:r>
                    <w:rPr>
                      <w:rFonts w:hint="eastAsia" w:ascii="宋体" w:hAnsi="宋体" w:eastAsia="宋体" w:cs="宋体"/>
                      <w:color w:val="000000"/>
                      <w:sz w:val="21"/>
                      <w:szCs w:val="21"/>
                    </w:rPr>
                    <w:t>单位</w:t>
                  </w:r>
                </w:p>
              </w:tc>
              <w:tc>
                <w:tcPr>
                  <w:tcW w:w="2058" w:type="pct"/>
                  <w:gridSpan w:val="2"/>
                  <w:noWrap w:val="0"/>
                  <w:vAlign w:val="center"/>
                </w:tcPr>
                <w:p>
                  <w:pPr>
                    <w:spacing w:line="240" w:lineRule="exact"/>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鄄城龙欣宝典发制品有限公司</w:t>
                  </w:r>
                </w:p>
              </w:tc>
              <w:tc>
                <w:tcPr>
                  <w:tcW w:w="1222" w:type="pct"/>
                  <w:noWrap w:val="0"/>
                  <w:vAlign w:val="center"/>
                </w:tcPr>
                <w:p>
                  <w:pPr>
                    <w:spacing w:line="240" w:lineRule="exact"/>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样品来源</w:t>
                  </w:r>
                </w:p>
              </w:tc>
              <w:tc>
                <w:tcPr>
                  <w:tcW w:w="714" w:type="pct"/>
                  <w:noWrap w:val="0"/>
                  <w:vAlign w:val="center"/>
                </w:tcPr>
                <w:p>
                  <w:pPr>
                    <w:spacing w:line="240" w:lineRule="exact"/>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现场采样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1005" w:type="pct"/>
                  <w:gridSpan w:val="2"/>
                  <w:noWrap w:val="0"/>
                  <w:vAlign w:val="center"/>
                </w:tcPr>
                <w:p>
                  <w:pPr>
                    <w:jc w:val="center"/>
                    <w:rPr>
                      <w:rFonts w:hint="eastAsia" w:ascii="宋体" w:hAnsi="宋体" w:eastAsia="宋体" w:cs="宋体"/>
                      <w:color w:val="000000"/>
                      <w:sz w:val="21"/>
                      <w:szCs w:val="21"/>
                      <w:lang w:eastAsia="zh-CN"/>
                    </w:rPr>
                  </w:pPr>
                  <w:r>
                    <w:rPr>
                      <w:rFonts w:hint="eastAsia" w:ascii="宋体" w:hAnsi="宋体" w:eastAsia="宋体" w:cs="宋体"/>
                      <w:bCs/>
                      <w:color w:val="000000"/>
                      <w:sz w:val="21"/>
                      <w:szCs w:val="21"/>
                      <w:lang w:eastAsia="zh-CN"/>
                    </w:rPr>
                    <w:t>委托单位地址</w:t>
                  </w:r>
                </w:p>
              </w:tc>
              <w:tc>
                <w:tcPr>
                  <w:tcW w:w="3994" w:type="pct"/>
                  <w:gridSpan w:val="4"/>
                  <w:noWrap w:val="0"/>
                  <w:vAlign w:val="center"/>
                </w:tcPr>
                <w:p>
                  <w:pPr>
                    <w:spacing w:line="240" w:lineRule="exact"/>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山东省菏泽市鄄城县永定路东、亿城街南、朱 庄村西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443" w:type="pct"/>
                  <w:noWrap w:val="0"/>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检测</w:t>
                  </w:r>
                </w:p>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类别</w:t>
                  </w:r>
                </w:p>
              </w:tc>
              <w:tc>
                <w:tcPr>
                  <w:tcW w:w="561" w:type="pct"/>
                  <w:noWrap w:val="0"/>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检测</w:t>
                  </w:r>
                </w:p>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项目</w:t>
                  </w:r>
                </w:p>
              </w:tc>
              <w:tc>
                <w:tcPr>
                  <w:tcW w:w="1002" w:type="pct"/>
                  <w:noWrap w:val="0"/>
                  <w:vAlign w:val="center"/>
                </w:tcPr>
                <w:p>
                  <w:pPr>
                    <w:spacing w:line="240" w:lineRule="exact"/>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检测技术规范</w:t>
                  </w:r>
                </w:p>
              </w:tc>
              <w:tc>
                <w:tcPr>
                  <w:tcW w:w="1055" w:type="pct"/>
                  <w:noWrap w:val="0"/>
                  <w:vAlign w:val="center"/>
                </w:tcPr>
                <w:p>
                  <w:pPr>
                    <w:spacing w:line="240" w:lineRule="exact"/>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检测技术依据及</w:t>
                  </w:r>
                </w:p>
                <w:p>
                  <w:pPr>
                    <w:spacing w:line="240" w:lineRule="exact"/>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分析方法</w:t>
                  </w:r>
                </w:p>
              </w:tc>
              <w:tc>
                <w:tcPr>
                  <w:tcW w:w="1222" w:type="pct"/>
                  <w:noWrap w:val="0"/>
                  <w:vAlign w:val="center"/>
                </w:tcPr>
                <w:p>
                  <w:pPr>
                    <w:spacing w:line="240" w:lineRule="exact"/>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仪器名称</w:t>
                  </w:r>
                </w:p>
              </w:tc>
              <w:tc>
                <w:tcPr>
                  <w:tcW w:w="714" w:type="pct"/>
                  <w:noWrap w:val="0"/>
                  <w:vAlign w:val="center"/>
                </w:tcPr>
                <w:p>
                  <w:pPr>
                    <w:spacing w:line="240" w:lineRule="exact"/>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443" w:type="pct"/>
                  <w:vMerge w:val="restart"/>
                  <w:noWrap w:val="0"/>
                  <w:vAlign w:val="center"/>
                </w:tcPr>
                <w:p>
                  <w:pPr>
                    <w:spacing w:line="240" w:lineRule="exact"/>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有</w:t>
                  </w:r>
                  <w:r>
                    <w:rPr>
                      <w:rFonts w:hint="eastAsia" w:ascii="宋体" w:hAnsi="宋体" w:eastAsia="宋体" w:cs="宋体"/>
                      <w:color w:val="000000"/>
                      <w:sz w:val="21"/>
                      <w:szCs w:val="21"/>
                    </w:rPr>
                    <w:t>组织废气</w:t>
                  </w:r>
                </w:p>
              </w:tc>
              <w:tc>
                <w:tcPr>
                  <w:tcW w:w="561" w:type="pct"/>
                  <w:vMerge w:val="restart"/>
                  <w:noWrap w:val="0"/>
                  <w:vAlign w:val="center"/>
                </w:tcPr>
                <w:p>
                  <w:pPr>
                    <w:spacing w:line="240" w:lineRule="exact"/>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硫化氢</w:t>
                  </w:r>
                </w:p>
              </w:tc>
              <w:tc>
                <w:tcPr>
                  <w:tcW w:w="1002" w:type="pct"/>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rPr>
                    <w:t>《固定污染源排气中颗粒物测定与气态污染物采样方法 》</w:t>
                  </w:r>
                </w:p>
                <w:p>
                  <w:pPr>
                    <w:jc w:val="center"/>
                    <w:rPr>
                      <w:rFonts w:hint="eastAsia" w:ascii="宋体" w:hAnsi="宋体" w:eastAsia="宋体" w:cs="宋体"/>
                      <w:sz w:val="21"/>
                      <w:szCs w:val="21"/>
                    </w:rPr>
                  </w:pPr>
                  <w:r>
                    <w:rPr>
                      <w:rFonts w:hint="eastAsia" w:ascii="宋体" w:hAnsi="宋体" w:eastAsia="宋体" w:cs="宋体"/>
                      <w:sz w:val="21"/>
                      <w:szCs w:val="21"/>
                    </w:rPr>
                    <w:t>GB/T 16157-1996</w:t>
                  </w:r>
                  <w:r>
                    <w:rPr>
                      <w:rFonts w:hint="default" w:ascii="Times New Roman" w:hAnsi="Times New Roman" w:eastAsia="宋体" w:cs="Times New Roman"/>
                      <w:color w:val="auto"/>
                      <w:kern w:val="0"/>
                      <w:sz w:val="21"/>
                      <w:szCs w:val="21"/>
                      <w:lang w:val="en-US" w:eastAsia="zh-CN" w:bidi="zh-CN"/>
                    </w:rPr>
                    <w:t>固定污染源废气  低浓度颗粒物的测定  HJ836-2017</w:t>
                  </w:r>
                </w:p>
              </w:tc>
              <w:tc>
                <w:tcPr>
                  <w:tcW w:w="1055" w:type="pct"/>
                  <w:vMerge w:val="restart"/>
                  <w:noWrap w:val="0"/>
                  <w:vAlign w:val="center"/>
                </w:tcPr>
                <w:p>
                  <w:pPr>
                    <w:pStyle w:val="45"/>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国家环保总局(2003)第四版增补版</w:t>
                  </w:r>
                </w:p>
                <w:p>
                  <w:pPr>
                    <w:keepNext w:val="0"/>
                    <w:keepLines w:val="0"/>
                    <w:pageBreakBefore w:val="0"/>
                    <w:widowControl/>
                    <w:kinsoku/>
                    <w:wordWrap/>
                    <w:overflowPunct/>
                    <w:topLinePunct w:val="0"/>
                    <w:bidi w:val="0"/>
                    <w:snapToGrid/>
                    <w:spacing w:line="240" w:lineRule="exact"/>
                    <w:jc w:val="center"/>
                    <w:textAlignment w:val="auto"/>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auto"/>
                      <w:kern w:val="0"/>
                      <w:sz w:val="21"/>
                      <w:szCs w:val="21"/>
                      <w:lang w:bidi="ar"/>
                    </w:rPr>
                    <w:t>亚甲基蓝分光光度法</w:t>
                  </w:r>
                </w:p>
              </w:tc>
              <w:tc>
                <w:tcPr>
                  <w:tcW w:w="1222" w:type="pct"/>
                  <w:noWrap w:val="0"/>
                  <w:vAlign w:val="center"/>
                </w:tcPr>
                <w:p>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烟气采样器</w:t>
                  </w:r>
                </w:p>
                <w:p>
                  <w:pPr>
                    <w:keepNext w:val="0"/>
                    <w:keepLines w:val="0"/>
                    <w:pageBreakBefore w:val="0"/>
                    <w:kinsoku/>
                    <w:wordWrap/>
                    <w:overflowPunct/>
                    <w:topLinePunct w:val="0"/>
                    <w:bidi w:val="0"/>
                    <w:snapToGrid/>
                    <w:spacing w:line="2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eastAsia="zh-CN"/>
                    </w:rPr>
                    <w:t>THYQ-</w:t>
                  </w:r>
                  <w:r>
                    <w:rPr>
                      <w:rFonts w:hint="eastAsia" w:ascii="宋体" w:hAnsi="宋体" w:eastAsia="宋体" w:cs="宋体"/>
                      <w:sz w:val="21"/>
                      <w:szCs w:val="21"/>
                      <w:lang w:val="en-US" w:eastAsia="zh-CN"/>
                    </w:rPr>
                    <w:t xml:space="preserve">156 </w:t>
                  </w:r>
                  <w:r>
                    <w:rPr>
                      <w:rFonts w:hint="eastAsia" w:ascii="宋体" w:hAnsi="宋体" w:eastAsia="宋体" w:cs="宋体"/>
                      <w:sz w:val="21"/>
                      <w:szCs w:val="21"/>
                      <w:lang w:eastAsia="zh-CN"/>
                    </w:rPr>
                    <w:t>THYQ-</w:t>
                  </w:r>
                  <w:r>
                    <w:rPr>
                      <w:rFonts w:hint="eastAsia" w:ascii="宋体" w:hAnsi="宋体" w:eastAsia="宋体" w:cs="宋体"/>
                      <w:sz w:val="21"/>
                      <w:szCs w:val="21"/>
                      <w:lang w:val="en-US" w:eastAsia="zh-CN"/>
                    </w:rPr>
                    <w:t xml:space="preserve">146     </w:t>
                  </w:r>
                </w:p>
              </w:tc>
              <w:tc>
                <w:tcPr>
                  <w:tcW w:w="714" w:type="pct"/>
                  <w:vMerge w:val="restart"/>
                  <w:noWrap w:val="0"/>
                  <w:vAlign w:val="center"/>
                </w:tcPr>
                <w:p>
                  <w:pPr>
                    <w:spacing w:line="24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0.07</w:t>
                  </w:r>
                </w:p>
                <w:p>
                  <w:pPr>
                    <w:spacing w:line="24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μg/10mL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exact"/>
                <w:jc w:val="center"/>
              </w:trPr>
              <w:tc>
                <w:tcPr>
                  <w:tcW w:w="443" w:type="pct"/>
                  <w:vMerge w:val="continue"/>
                  <w:noWrap w:val="0"/>
                  <w:vAlign w:val="center"/>
                </w:tcPr>
                <w:p>
                  <w:pPr>
                    <w:spacing w:line="240" w:lineRule="exact"/>
                    <w:jc w:val="center"/>
                    <w:rPr>
                      <w:rFonts w:hint="eastAsia" w:ascii="宋体" w:hAnsi="宋体" w:eastAsia="宋体" w:cs="宋体"/>
                      <w:color w:val="000000"/>
                      <w:sz w:val="21"/>
                      <w:szCs w:val="21"/>
                      <w:lang w:eastAsia="zh-CN"/>
                    </w:rPr>
                  </w:pPr>
                </w:p>
              </w:tc>
              <w:tc>
                <w:tcPr>
                  <w:tcW w:w="561" w:type="pct"/>
                  <w:vMerge w:val="continue"/>
                  <w:noWrap w:val="0"/>
                  <w:vAlign w:val="center"/>
                </w:tcPr>
                <w:p>
                  <w:pPr>
                    <w:spacing w:line="240" w:lineRule="exact"/>
                    <w:jc w:val="center"/>
                    <w:rPr>
                      <w:rFonts w:hint="eastAsia" w:ascii="宋体" w:hAnsi="宋体" w:eastAsia="宋体" w:cs="宋体"/>
                      <w:color w:val="000000"/>
                      <w:sz w:val="21"/>
                      <w:szCs w:val="21"/>
                      <w:highlight w:val="none"/>
                      <w:lang w:eastAsia="zh-CN"/>
                    </w:rPr>
                  </w:pPr>
                </w:p>
              </w:tc>
              <w:tc>
                <w:tcPr>
                  <w:tcW w:w="1002" w:type="pct"/>
                  <w:vMerge w:val="continue"/>
                  <w:noWrap w:val="0"/>
                  <w:vAlign w:val="center"/>
                </w:tcPr>
                <w:p>
                  <w:pPr>
                    <w:jc w:val="center"/>
                    <w:rPr>
                      <w:rFonts w:hint="eastAsia" w:ascii="宋体" w:hAnsi="宋体" w:eastAsia="宋体" w:cs="宋体"/>
                      <w:sz w:val="21"/>
                      <w:szCs w:val="21"/>
                    </w:rPr>
                  </w:pPr>
                </w:p>
              </w:tc>
              <w:tc>
                <w:tcPr>
                  <w:tcW w:w="1055" w:type="pct"/>
                  <w:vMerge w:val="continue"/>
                  <w:noWrap w:val="0"/>
                  <w:vAlign w:val="center"/>
                </w:tcPr>
                <w:p>
                  <w:pPr>
                    <w:keepNext w:val="0"/>
                    <w:keepLines w:val="0"/>
                    <w:pageBreakBefore w:val="0"/>
                    <w:widowControl/>
                    <w:kinsoku/>
                    <w:wordWrap/>
                    <w:overflowPunct/>
                    <w:topLinePunct w:val="0"/>
                    <w:bidi w:val="0"/>
                    <w:snapToGrid/>
                    <w:spacing w:line="240" w:lineRule="exact"/>
                    <w:jc w:val="center"/>
                    <w:textAlignment w:val="auto"/>
                    <w:rPr>
                      <w:rFonts w:hint="eastAsia" w:ascii="宋体" w:hAnsi="宋体" w:eastAsia="宋体" w:cs="宋体"/>
                      <w:color w:val="auto"/>
                      <w:kern w:val="0"/>
                      <w:sz w:val="21"/>
                      <w:szCs w:val="21"/>
                      <w:lang w:bidi="ar"/>
                    </w:rPr>
                  </w:pPr>
                </w:p>
              </w:tc>
              <w:tc>
                <w:tcPr>
                  <w:tcW w:w="1222" w:type="pct"/>
                  <w:noWrap w:val="0"/>
                  <w:vAlign w:val="center"/>
                </w:tcPr>
                <w:p>
                  <w:pPr>
                    <w:pStyle w:val="45"/>
                    <w:keepNext w:val="0"/>
                    <w:keepLines w:val="0"/>
                    <w:pageBreakBefore w:val="0"/>
                    <w:kinsoku/>
                    <w:wordWrap/>
                    <w:overflowPunct/>
                    <w:topLinePunct w:val="0"/>
                    <w:bidi w:val="0"/>
                    <w:snapToGrid/>
                    <w:spacing w:line="240" w:lineRule="exact"/>
                    <w:jc w:val="center"/>
                    <w:textAlignment w:val="auto"/>
                    <w:rPr>
                      <w:rFonts w:hint="eastAsia" w:ascii="宋体" w:hAnsi="宋体" w:cs="宋体"/>
                      <w:sz w:val="21"/>
                      <w:szCs w:val="21"/>
                      <w:lang w:val="en-US" w:eastAsia="zh-CN"/>
                    </w:rPr>
                  </w:pPr>
                  <w:r>
                    <w:rPr>
                      <w:rFonts w:hint="eastAsia" w:ascii="宋体" w:hAnsi="宋体" w:cs="宋体"/>
                      <w:sz w:val="21"/>
                      <w:szCs w:val="21"/>
                      <w:lang w:val="en-US" w:eastAsia="zh-CN"/>
                    </w:rPr>
                    <w:t>紫外分光光度计</w:t>
                  </w:r>
                </w:p>
                <w:p>
                  <w:pPr>
                    <w:keepNext w:val="0"/>
                    <w:keepLines w:val="0"/>
                    <w:pageBreakBefore w:val="0"/>
                    <w:kinsoku/>
                    <w:wordWrap/>
                    <w:overflowPunct/>
                    <w:topLinePunct w:val="0"/>
                    <w:bidi w:val="0"/>
                    <w:snapToGrid/>
                    <w:spacing w:line="240" w:lineRule="exact"/>
                    <w:jc w:val="center"/>
                    <w:textAlignment w:val="auto"/>
                    <w:rPr>
                      <w:rFonts w:hint="eastAsia" w:ascii="宋体" w:hAnsi="宋体" w:cs="宋体"/>
                      <w:sz w:val="21"/>
                      <w:szCs w:val="21"/>
                      <w:lang w:val="en-US" w:eastAsia="zh-CN"/>
                    </w:rPr>
                  </w:pPr>
                  <w:r>
                    <w:rPr>
                      <w:rFonts w:hint="eastAsia" w:ascii="宋体" w:hAnsi="宋体" w:cs="宋体"/>
                      <w:sz w:val="21"/>
                      <w:szCs w:val="21"/>
                      <w:lang w:val="en-US" w:eastAsia="zh-CN"/>
                    </w:rPr>
                    <w:t>THYQ-092</w:t>
                  </w:r>
                </w:p>
              </w:tc>
              <w:tc>
                <w:tcPr>
                  <w:tcW w:w="714" w:type="pct"/>
                  <w:vMerge w:val="continue"/>
                  <w:noWrap w:val="0"/>
                  <w:vAlign w:val="center"/>
                </w:tcPr>
                <w:p>
                  <w:pPr>
                    <w:spacing w:line="24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443" w:type="pct"/>
                  <w:vMerge w:val="continue"/>
                  <w:noWrap w:val="0"/>
                  <w:vAlign w:val="center"/>
                </w:tcPr>
                <w:p>
                  <w:pPr>
                    <w:spacing w:line="240" w:lineRule="exact"/>
                    <w:jc w:val="center"/>
                    <w:rPr>
                      <w:rFonts w:hint="eastAsia" w:ascii="宋体" w:hAnsi="宋体" w:eastAsia="宋体" w:cs="宋体"/>
                      <w:color w:val="000000"/>
                      <w:sz w:val="21"/>
                      <w:szCs w:val="21"/>
                      <w:lang w:eastAsia="zh-CN"/>
                    </w:rPr>
                  </w:pPr>
                </w:p>
              </w:tc>
              <w:tc>
                <w:tcPr>
                  <w:tcW w:w="561" w:type="pct"/>
                  <w:vMerge w:val="restart"/>
                  <w:noWrap w:val="0"/>
                  <w:vAlign w:val="center"/>
                </w:tcPr>
                <w:p>
                  <w:pPr>
                    <w:spacing w:line="240" w:lineRule="auto"/>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氨</w:t>
                  </w:r>
                </w:p>
              </w:tc>
              <w:tc>
                <w:tcPr>
                  <w:tcW w:w="1002" w:type="pct"/>
                  <w:vMerge w:val="continue"/>
                  <w:noWrap w:val="0"/>
                  <w:vAlign w:val="center"/>
                </w:tcPr>
                <w:p>
                  <w:pPr>
                    <w:jc w:val="center"/>
                    <w:rPr>
                      <w:rFonts w:hint="eastAsia" w:ascii="宋体" w:hAnsi="宋体" w:eastAsia="宋体" w:cs="宋体"/>
                      <w:sz w:val="21"/>
                      <w:szCs w:val="21"/>
                    </w:rPr>
                  </w:pPr>
                </w:p>
              </w:tc>
              <w:tc>
                <w:tcPr>
                  <w:tcW w:w="1055" w:type="pct"/>
                  <w:vMerge w:val="restart"/>
                  <w:noWrap w:val="0"/>
                  <w:vAlign w:val="center"/>
                </w:tcPr>
                <w:p>
                  <w:pPr>
                    <w:keepNext w:val="0"/>
                    <w:keepLines w:val="0"/>
                    <w:pageBreakBefore w:val="0"/>
                    <w:widowControl/>
                    <w:kinsoku/>
                    <w:wordWrap/>
                    <w:overflowPunct/>
                    <w:topLinePunct w:val="0"/>
                    <w:bidi w:val="0"/>
                    <w:snapToGrid/>
                    <w:spacing w:line="240" w:lineRule="exact"/>
                    <w:jc w:val="center"/>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HJ 533-2009</w:t>
                  </w:r>
                </w:p>
                <w:p>
                  <w:pPr>
                    <w:keepNext w:val="0"/>
                    <w:keepLines w:val="0"/>
                    <w:pageBreakBefore w:val="0"/>
                    <w:widowControl/>
                    <w:kinsoku/>
                    <w:wordWrap/>
                    <w:overflowPunct/>
                    <w:topLinePunct w:val="0"/>
                    <w:bidi w:val="0"/>
                    <w:snapToGrid/>
                    <w:spacing w:line="240" w:lineRule="exact"/>
                    <w:jc w:val="center"/>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纳氏试剂分光光度法</w:t>
                  </w:r>
                </w:p>
              </w:tc>
              <w:tc>
                <w:tcPr>
                  <w:tcW w:w="1222" w:type="pct"/>
                  <w:noWrap w:val="0"/>
                  <w:vAlign w:val="center"/>
                </w:tcPr>
                <w:p>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烟气采样器</w:t>
                  </w:r>
                </w:p>
                <w:p>
                  <w:pPr>
                    <w:keepNext w:val="0"/>
                    <w:keepLines w:val="0"/>
                    <w:pageBreakBefore w:val="0"/>
                    <w:kinsoku/>
                    <w:wordWrap/>
                    <w:overflowPunct/>
                    <w:topLinePunct w:val="0"/>
                    <w:bidi w:val="0"/>
                    <w:snapToGrid/>
                    <w:spacing w:line="2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eastAsia="zh-CN"/>
                    </w:rPr>
                    <w:t>THYQ-</w:t>
                  </w:r>
                  <w:r>
                    <w:rPr>
                      <w:rFonts w:hint="eastAsia" w:ascii="宋体" w:hAnsi="宋体" w:eastAsia="宋体" w:cs="宋体"/>
                      <w:sz w:val="21"/>
                      <w:szCs w:val="21"/>
                      <w:lang w:val="en-US" w:eastAsia="zh-CN"/>
                    </w:rPr>
                    <w:t xml:space="preserve">146 </w:t>
                  </w:r>
                  <w:r>
                    <w:rPr>
                      <w:rFonts w:hint="eastAsia" w:ascii="宋体" w:hAnsi="宋体" w:eastAsia="宋体" w:cs="宋体"/>
                      <w:sz w:val="21"/>
                      <w:szCs w:val="21"/>
                      <w:lang w:eastAsia="zh-CN"/>
                    </w:rPr>
                    <w:t>THYQ-</w:t>
                  </w:r>
                  <w:r>
                    <w:rPr>
                      <w:rFonts w:hint="eastAsia" w:ascii="宋体" w:hAnsi="宋体" w:eastAsia="宋体" w:cs="宋体"/>
                      <w:sz w:val="21"/>
                      <w:szCs w:val="21"/>
                      <w:lang w:val="en-US" w:eastAsia="zh-CN"/>
                    </w:rPr>
                    <w:t>156</w:t>
                  </w:r>
                </w:p>
              </w:tc>
              <w:tc>
                <w:tcPr>
                  <w:tcW w:w="714" w:type="pct"/>
                  <w:vMerge w:val="restart"/>
                  <w:noWrap w:val="0"/>
                  <w:vAlign w:val="center"/>
                </w:tcPr>
                <w:p>
                  <w:pPr>
                    <w:spacing w:line="24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w:t>
                  </w:r>
                </w:p>
                <w:p>
                  <w:pPr>
                    <w:spacing w:line="24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μg/10mL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443" w:type="pct"/>
                  <w:vMerge w:val="continue"/>
                  <w:noWrap w:val="0"/>
                  <w:vAlign w:val="center"/>
                </w:tcPr>
                <w:p>
                  <w:pPr>
                    <w:spacing w:line="240" w:lineRule="exact"/>
                    <w:jc w:val="center"/>
                    <w:rPr>
                      <w:rFonts w:hint="eastAsia" w:ascii="宋体" w:hAnsi="宋体" w:eastAsia="宋体" w:cs="宋体"/>
                      <w:color w:val="000000"/>
                      <w:sz w:val="21"/>
                      <w:szCs w:val="21"/>
                      <w:lang w:eastAsia="zh-CN"/>
                    </w:rPr>
                  </w:pPr>
                </w:p>
              </w:tc>
              <w:tc>
                <w:tcPr>
                  <w:tcW w:w="561" w:type="pct"/>
                  <w:vMerge w:val="continue"/>
                  <w:noWrap w:val="0"/>
                  <w:vAlign w:val="center"/>
                </w:tcPr>
                <w:p>
                  <w:pPr>
                    <w:spacing w:line="240" w:lineRule="exact"/>
                    <w:jc w:val="center"/>
                    <w:rPr>
                      <w:rFonts w:hint="eastAsia" w:ascii="宋体" w:hAnsi="宋体" w:eastAsia="宋体" w:cs="宋体"/>
                      <w:color w:val="000000"/>
                      <w:sz w:val="21"/>
                      <w:szCs w:val="21"/>
                      <w:lang w:eastAsia="zh-CN"/>
                    </w:rPr>
                  </w:pPr>
                </w:p>
              </w:tc>
              <w:tc>
                <w:tcPr>
                  <w:tcW w:w="1002" w:type="pct"/>
                  <w:vMerge w:val="continue"/>
                  <w:noWrap w:val="0"/>
                  <w:vAlign w:val="center"/>
                </w:tcPr>
                <w:p>
                  <w:pPr>
                    <w:jc w:val="center"/>
                    <w:rPr>
                      <w:rFonts w:hint="eastAsia" w:ascii="宋体" w:hAnsi="宋体" w:eastAsia="宋体" w:cs="宋体"/>
                      <w:sz w:val="21"/>
                      <w:szCs w:val="21"/>
                    </w:rPr>
                  </w:pPr>
                </w:p>
              </w:tc>
              <w:tc>
                <w:tcPr>
                  <w:tcW w:w="1055" w:type="pct"/>
                  <w:vMerge w:val="continue"/>
                  <w:noWrap w:val="0"/>
                  <w:vAlign w:val="center"/>
                </w:tcPr>
                <w:p>
                  <w:pPr>
                    <w:keepNext w:val="0"/>
                    <w:keepLines w:val="0"/>
                    <w:pageBreakBefore w:val="0"/>
                    <w:widowControl/>
                    <w:kinsoku/>
                    <w:wordWrap/>
                    <w:overflowPunct/>
                    <w:topLinePunct w:val="0"/>
                    <w:bidi w:val="0"/>
                    <w:snapToGrid/>
                    <w:spacing w:line="240" w:lineRule="exact"/>
                    <w:jc w:val="center"/>
                    <w:textAlignment w:val="auto"/>
                    <w:rPr>
                      <w:rFonts w:hint="eastAsia" w:ascii="宋体" w:hAnsi="宋体" w:eastAsia="宋体" w:cs="宋体"/>
                      <w:color w:val="auto"/>
                      <w:kern w:val="0"/>
                      <w:sz w:val="21"/>
                      <w:szCs w:val="21"/>
                      <w:lang w:bidi="ar"/>
                    </w:rPr>
                  </w:pPr>
                </w:p>
              </w:tc>
              <w:tc>
                <w:tcPr>
                  <w:tcW w:w="1222" w:type="pct"/>
                  <w:noWrap w:val="0"/>
                  <w:vAlign w:val="center"/>
                </w:tcPr>
                <w:p>
                  <w:pPr>
                    <w:pStyle w:val="45"/>
                    <w:keepNext w:val="0"/>
                    <w:keepLines w:val="0"/>
                    <w:pageBreakBefore w:val="0"/>
                    <w:kinsoku/>
                    <w:wordWrap/>
                    <w:overflowPunct/>
                    <w:topLinePunct w:val="0"/>
                    <w:bidi w:val="0"/>
                    <w:snapToGrid/>
                    <w:spacing w:line="240" w:lineRule="exact"/>
                    <w:jc w:val="center"/>
                    <w:textAlignment w:val="auto"/>
                    <w:rPr>
                      <w:rFonts w:hint="eastAsia" w:ascii="宋体" w:hAnsi="宋体" w:cs="宋体"/>
                      <w:sz w:val="21"/>
                      <w:szCs w:val="21"/>
                      <w:lang w:val="en-US" w:eastAsia="zh-CN"/>
                    </w:rPr>
                  </w:pPr>
                  <w:r>
                    <w:rPr>
                      <w:rFonts w:hint="eastAsia" w:ascii="宋体" w:hAnsi="宋体" w:cs="宋体"/>
                      <w:sz w:val="21"/>
                      <w:szCs w:val="21"/>
                      <w:lang w:val="en-US" w:eastAsia="zh-CN"/>
                    </w:rPr>
                    <w:t>紫外分光光度计</w:t>
                  </w:r>
                </w:p>
                <w:p>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sz w:val="21"/>
                      <w:szCs w:val="21"/>
                      <w:lang w:eastAsia="zh-CN"/>
                    </w:rPr>
                  </w:pPr>
                  <w:r>
                    <w:rPr>
                      <w:rFonts w:hint="eastAsia" w:ascii="宋体" w:hAnsi="宋体" w:cs="宋体"/>
                      <w:sz w:val="21"/>
                      <w:szCs w:val="21"/>
                      <w:lang w:val="en-US" w:eastAsia="zh-CN"/>
                    </w:rPr>
                    <w:t>THYQ-092</w:t>
                  </w:r>
                </w:p>
              </w:tc>
              <w:tc>
                <w:tcPr>
                  <w:tcW w:w="714" w:type="pct"/>
                  <w:vMerge w:val="continue"/>
                  <w:noWrap w:val="0"/>
                  <w:vAlign w:val="center"/>
                </w:tcPr>
                <w:p>
                  <w:pPr>
                    <w:spacing w:line="24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exact"/>
                <w:jc w:val="center"/>
              </w:trPr>
              <w:tc>
                <w:tcPr>
                  <w:tcW w:w="443" w:type="pct"/>
                  <w:vMerge w:val="continue"/>
                  <w:noWrap w:val="0"/>
                  <w:vAlign w:val="center"/>
                </w:tcPr>
                <w:p>
                  <w:pPr>
                    <w:spacing w:line="240" w:lineRule="exact"/>
                    <w:jc w:val="center"/>
                    <w:rPr>
                      <w:rFonts w:hint="eastAsia" w:ascii="宋体" w:hAnsi="宋体" w:eastAsia="宋体" w:cs="宋体"/>
                      <w:color w:val="000000"/>
                      <w:sz w:val="21"/>
                      <w:szCs w:val="21"/>
                      <w:lang w:eastAsia="zh-CN"/>
                    </w:rPr>
                  </w:pPr>
                </w:p>
              </w:tc>
              <w:tc>
                <w:tcPr>
                  <w:tcW w:w="561" w:type="pct"/>
                  <w:vMerge w:val="restart"/>
                  <w:noWrap w:val="0"/>
                  <w:vAlign w:val="center"/>
                </w:tcPr>
                <w:p>
                  <w:pPr>
                    <w:spacing w:line="240" w:lineRule="exact"/>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硫酸雾</w:t>
                  </w:r>
                </w:p>
              </w:tc>
              <w:tc>
                <w:tcPr>
                  <w:tcW w:w="1002" w:type="pct"/>
                  <w:vMerge w:val="continue"/>
                  <w:noWrap w:val="0"/>
                  <w:vAlign w:val="center"/>
                </w:tcPr>
                <w:p>
                  <w:pPr>
                    <w:jc w:val="center"/>
                    <w:rPr>
                      <w:rFonts w:hint="eastAsia" w:ascii="宋体" w:hAnsi="宋体" w:eastAsia="宋体" w:cs="宋体"/>
                      <w:sz w:val="21"/>
                      <w:szCs w:val="21"/>
                    </w:rPr>
                  </w:pPr>
                </w:p>
              </w:tc>
              <w:tc>
                <w:tcPr>
                  <w:tcW w:w="1055" w:type="pct"/>
                  <w:vMerge w:val="restart"/>
                  <w:noWrap w:val="0"/>
                  <w:vAlign w:val="center"/>
                </w:tcPr>
                <w:p>
                  <w:pPr>
                    <w:keepNext w:val="0"/>
                    <w:keepLines w:val="0"/>
                    <w:pageBreakBefore w:val="0"/>
                    <w:widowControl/>
                    <w:kinsoku/>
                    <w:wordWrap/>
                    <w:overflowPunct/>
                    <w:topLinePunct w:val="0"/>
                    <w:bidi w:val="0"/>
                    <w:snapToGrid/>
                    <w:spacing w:line="24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HJ 544-2016</w:t>
                  </w:r>
                </w:p>
                <w:p>
                  <w:pPr>
                    <w:keepNext w:val="0"/>
                    <w:keepLines w:val="0"/>
                    <w:pageBreakBefore w:val="0"/>
                    <w:widowControl/>
                    <w:kinsoku/>
                    <w:wordWrap/>
                    <w:overflowPunct/>
                    <w:topLinePunct w:val="0"/>
                    <w:bidi w:val="0"/>
                    <w:snapToGrid/>
                    <w:spacing w:line="240" w:lineRule="exact"/>
                    <w:jc w:val="center"/>
                    <w:textAlignment w:val="auto"/>
                    <w:rPr>
                      <w:rFonts w:hint="default" w:ascii="宋体" w:hAnsi="宋体" w:eastAsia="宋体" w:cs="宋体"/>
                      <w:color w:val="auto"/>
                      <w:kern w:val="0"/>
                      <w:sz w:val="21"/>
                      <w:szCs w:val="21"/>
                      <w:lang w:val="en-US" w:eastAsia="zh-CN" w:bidi="ar"/>
                    </w:rPr>
                  </w:pPr>
                  <w:r>
                    <w:rPr>
                      <w:rFonts w:hint="eastAsia" w:ascii="宋体" w:hAnsi="宋体" w:eastAsia="宋体" w:cs="宋体"/>
                      <w:sz w:val="21"/>
                      <w:szCs w:val="21"/>
                    </w:rPr>
                    <w:t>离子色谱法</w:t>
                  </w:r>
                </w:p>
              </w:tc>
              <w:tc>
                <w:tcPr>
                  <w:tcW w:w="1222" w:type="pct"/>
                  <w:noWrap w:val="0"/>
                  <w:vAlign w:val="center"/>
                </w:tcPr>
                <w:p>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大流量烟尘（气）测试仪THYQ-</w:t>
                  </w:r>
                  <w:r>
                    <w:rPr>
                      <w:rFonts w:hint="eastAsia" w:ascii="宋体" w:hAnsi="宋体" w:eastAsia="宋体" w:cs="宋体"/>
                      <w:sz w:val="21"/>
                      <w:szCs w:val="21"/>
                      <w:lang w:val="en-US" w:eastAsia="zh-CN"/>
                    </w:rPr>
                    <w:t xml:space="preserve">155 </w:t>
                  </w:r>
                </w:p>
                <w:p>
                  <w:pPr>
                    <w:keepNext w:val="0"/>
                    <w:keepLines w:val="0"/>
                    <w:pageBreakBefore w:val="0"/>
                    <w:kinsoku/>
                    <w:wordWrap/>
                    <w:overflowPunct/>
                    <w:topLinePunct w:val="0"/>
                    <w:bidi w:val="0"/>
                    <w:snapToGrid/>
                    <w:spacing w:line="240" w:lineRule="exact"/>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全自动烟尘(气)测试仪</w:t>
                  </w:r>
                </w:p>
                <w:p>
                  <w:pPr>
                    <w:keepNext w:val="0"/>
                    <w:keepLines w:val="0"/>
                    <w:pageBreakBefore w:val="0"/>
                    <w:kinsoku/>
                    <w:wordWrap/>
                    <w:overflowPunct/>
                    <w:topLinePunct w:val="0"/>
                    <w:bidi w:val="0"/>
                    <w:snapToGrid/>
                    <w:spacing w:line="240" w:lineRule="exact"/>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THYQ-122</w:t>
                  </w:r>
                </w:p>
              </w:tc>
              <w:tc>
                <w:tcPr>
                  <w:tcW w:w="714" w:type="pct"/>
                  <w:vMerge w:val="restart"/>
                  <w:noWrap w:val="0"/>
                  <w:vAlign w:val="center"/>
                </w:tcPr>
                <w:p>
                  <w:pPr>
                    <w:spacing w:line="24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0.2</w:t>
                  </w:r>
                  <w:r>
                    <w:rPr>
                      <w:rFonts w:hint="default" w:ascii="Times New Roman" w:hAnsi="Times New Roman" w:eastAsia="宋体" w:cs="Times New Roman"/>
                      <w:sz w:val="21"/>
                      <w:szCs w:val="21"/>
                      <w:lang w:val="en-US" w:eastAsia="zh-CN"/>
                    </w:rPr>
                    <w:t>mg/m</w:t>
                  </w:r>
                  <w:r>
                    <w:rPr>
                      <w:rFonts w:hint="default" w:ascii="Times New Roman" w:hAnsi="Times New Roman" w:eastAsia="宋体"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exact"/>
                <w:jc w:val="center"/>
              </w:trPr>
              <w:tc>
                <w:tcPr>
                  <w:tcW w:w="443" w:type="pct"/>
                  <w:vMerge w:val="continue"/>
                  <w:noWrap w:val="0"/>
                  <w:vAlign w:val="center"/>
                </w:tcPr>
                <w:p>
                  <w:pPr>
                    <w:spacing w:line="240" w:lineRule="exact"/>
                    <w:jc w:val="center"/>
                    <w:rPr>
                      <w:rFonts w:hint="eastAsia" w:ascii="宋体" w:hAnsi="宋体" w:eastAsia="宋体" w:cs="宋体"/>
                      <w:color w:val="000000"/>
                      <w:sz w:val="21"/>
                      <w:szCs w:val="21"/>
                      <w:lang w:eastAsia="zh-CN"/>
                    </w:rPr>
                  </w:pPr>
                </w:p>
              </w:tc>
              <w:tc>
                <w:tcPr>
                  <w:tcW w:w="561" w:type="pct"/>
                  <w:vMerge w:val="continue"/>
                  <w:noWrap w:val="0"/>
                  <w:vAlign w:val="center"/>
                </w:tcPr>
                <w:p>
                  <w:pPr>
                    <w:spacing w:line="240" w:lineRule="exact"/>
                    <w:jc w:val="center"/>
                    <w:rPr>
                      <w:rFonts w:hint="eastAsia" w:ascii="宋体" w:hAnsi="宋体" w:eastAsia="宋体" w:cs="宋体"/>
                      <w:color w:val="000000"/>
                      <w:sz w:val="21"/>
                      <w:szCs w:val="21"/>
                      <w:lang w:eastAsia="zh-CN"/>
                    </w:rPr>
                  </w:pPr>
                </w:p>
              </w:tc>
              <w:tc>
                <w:tcPr>
                  <w:tcW w:w="1002" w:type="pct"/>
                  <w:vMerge w:val="continue"/>
                  <w:noWrap w:val="0"/>
                  <w:vAlign w:val="center"/>
                </w:tcPr>
                <w:p>
                  <w:pPr>
                    <w:jc w:val="center"/>
                    <w:rPr>
                      <w:rFonts w:hint="eastAsia" w:ascii="宋体" w:hAnsi="宋体" w:eastAsia="宋体" w:cs="宋体"/>
                      <w:sz w:val="21"/>
                      <w:szCs w:val="21"/>
                    </w:rPr>
                  </w:pPr>
                </w:p>
              </w:tc>
              <w:tc>
                <w:tcPr>
                  <w:tcW w:w="1055" w:type="pct"/>
                  <w:vMerge w:val="continue"/>
                  <w:noWrap w:val="0"/>
                  <w:vAlign w:val="center"/>
                </w:tcPr>
                <w:p>
                  <w:pPr>
                    <w:keepNext w:val="0"/>
                    <w:keepLines w:val="0"/>
                    <w:pageBreakBefore w:val="0"/>
                    <w:widowControl/>
                    <w:kinsoku/>
                    <w:wordWrap/>
                    <w:overflowPunct/>
                    <w:topLinePunct w:val="0"/>
                    <w:bidi w:val="0"/>
                    <w:snapToGrid/>
                    <w:spacing w:line="240" w:lineRule="exact"/>
                    <w:jc w:val="center"/>
                    <w:textAlignment w:val="auto"/>
                    <w:rPr>
                      <w:rFonts w:hint="eastAsia" w:ascii="宋体" w:hAnsi="宋体" w:eastAsia="宋体" w:cs="宋体"/>
                      <w:sz w:val="21"/>
                      <w:szCs w:val="21"/>
                    </w:rPr>
                  </w:pPr>
                </w:p>
              </w:tc>
              <w:tc>
                <w:tcPr>
                  <w:tcW w:w="1222" w:type="pct"/>
                  <w:noWrap w:val="0"/>
                  <w:vAlign w:val="center"/>
                </w:tcPr>
                <w:p>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离子色谱仪</w:t>
                  </w:r>
                </w:p>
                <w:p>
                  <w:pPr>
                    <w:keepNext w:val="0"/>
                    <w:keepLines w:val="0"/>
                    <w:pageBreakBefore w:val="0"/>
                    <w:kinsoku/>
                    <w:wordWrap/>
                    <w:overflowPunct/>
                    <w:topLinePunct w:val="0"/>
                    <w:bidi w:val="0"/>
                    <w:snapToGrid/>
                    <w:spacing w:line="240" w:lineRule="exact"/>
                    <w:jc w:val="center"/>
                    <w:textAlignment w:val="auto"/>
                    <w:rPr>
                      <w:rFonts w:hint="default" w:ascii="宋体" w:hAnsi="宋体" w:cs="宋体"/>
                      <w:sz w:val="21"/>
                      <w:szCs w:val="21"/>
                      <w:lang w:val="en-US" w:eastAsia="zh-CN"/>
                    </w:rPr>
                  </w:pPr>
                  <w:r>
                    <w:rPr>
                      <w:rFonts w:hint="eastAsia" w:ascii="宋体" w:hAnsi="宋体" w:eastAsia="宋体" w:cs="宋体"/>
                      <w:sz w:val="21"/>
                      <w:szCs w:val="21"/>
                      <w:lang w:eastAsia="zh-CN"/>
                    </w:rPr>
                    <w:t>THYQ-</w:t>
                  </w:r>
                  <w:r>
                    <w:rPr>
                      <w:rFonts w:hint="eastAsia" w:ascii="宋体" w:hAnsi="宋体" w:eastAsia="宋体" w:cs="宋体"/>
                      <w:sz w:val="21"/>
                      <w:szCs w:val="21"/>
                      <w:lang w:val="en-US" w:eastAsia="zh-CN"/>
                    </w:rPr>
                    <w:t>086</w:t>
                  </w:r>
                </w:p>
              </w:tc>
              <w:tc>
                <w:tcPr>
                  <w:tcW w:w="714" w:type="pct"/>
                  <w:vMerge w:val="continue"/>
                  <w:noWrap w:val="0"/>
                  <w:vAlign w:val="center"/>
                </w:tcPr>
                <w:p>
                  <w:pPr>
                    <w:spacing w:line="240" w:lineRule="exact"/>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43" w:type="pct"/>
                  <w:vMerge w:val="continue"/>
                  <w:noWrap w:val="0"/>
                  <w:vAlign w:val="center"/>
                </w:tcPr>
                <w:p>
                  <w:pPr>
                    <w:spacing w:line="240" w:lineRule="exact"/>
                    <w:jc w:val="center"/>
                    <w:rPr>
                      <w:rFonts w:hint="eastAsia" w:ascii="宋体" w:hAnsi="宋体" w:eastAsia="宋体" w:cs="宋体"/>
                      <w:color w:val="000000"/>
                      <w:sz w:val="21"/>
                      <w:szCs w:val="21"/>
                      <w:lang w:eastAsia="zh-CN"/>
                    </w:rPr>
                  </w:pPr>
                </w:p>
              </w:tc>
              <w:tc>
                <w:tcPr>
                  <w:tcW w:w="561" w:type="pct"/>
                  <w:noWrap w:val="0"/>
                  <w:vAlign w:val="center"/>
                </w:tcPr>
                <w:p>
                  <w:pPr>
                    <w:spacing w:line="240" w:lineRule="exact"/>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臭气浓度</w:t>
                  </w:r>
                </w:p>
              </w:tc>
              <w:tc>
                <w:tcPr>
                  <w:tcW w:w="1002" w:type="pct"/>
                  <w:noWrap w:val="0"/>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恶臭污染环境监测技术规范</w:t>
                  </w:r>
                </w:p>
                <w:p>
                  <w:pPr>
                    <w:jc w:val="center"/>
                    <w:rPr>
                      <w:rFonts w:hint="eastAsia" w:ascii="宋体" w:hAnsi="宋体" w:eastAsia="宋体" w:cs="宋体"/>
                      <w:sz w:val="21"/>
                      <w:szCs w:val="21"/>
                    </w:rPr>
                  </w:pPr>
                  <w:r>
                    <w:rPr>
                      <w:rFonts w:hint="eastAsia" w:ascii="宋体" w:hAnsi="宋体" w:eastAsia="宋体" w:cs="宋体"/>
                      <w:sz w:val="21"/>
                      <w:szCs w:val="21"/>
                      <w:highlight w:val="none"/>
                      <w:lang w:eastAsia="zh-CN"/>
                    </w:rPr>
                    <w:t>HJ 905-2017</w:t>
                  </w:r>
                </w:p>
              </w:tc>
              <w:tc>
                <w:tcPr>
                  <w:tcW w:w="1055" w:type="pct"/>
                  <w:noWrap w:val="0"/>
                  <w:vAlign w:val="center"/>
                </w:tcPr>
                <w:p>
                  <w:pPr>
                    <w:keepNext w:val="0"/>
                    <w:keepLines w:val="0"/>
                    <w:pageBreakBefore w:val="0"/>
                    <w:widowControl/>
                    <w:kinsoku/>
                    <w:wordWrap/>
                    <w:overflowPunct/>
                    <w:topLinePunct w:val="0"/>
                    <w:bidi w:val="0"/>
                    <w:snapToGrid/>
                    <w:spacing w:line="240" w:lineRule="exact"/>
                    <w:jc w:val="center"/>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GB/T 14675-1993</w:t>
                  </w:r>
                </w:p>
                <w:p>
                  <w:pPr>
                    <w:keepNext w:val="0"/>
                    <w:keepLines w:val="0"/>
                    <w:pageBreakBefore w:val="0"/>
                    <w:widowControl/>
                    <w:kinsoku/>
                    <w:wordWrap/>
                    <w:overflowPunct/>
                    <w:topLinePunct w:val="0"/>
                    <w:bidi w:val="0"/>
                    <w:snapToGrid/>
                    <w:spacing w:line="240" w:lineRule="exact"/>
                    <w:jc w:val="center"/>
                    <w:textAlignment w:val="auto"/>
                    <w:rPr>
                      <w:rFonts w:hint="eastAsia" w:ascii="宋体" w:hAnsi="宋体" w:eastAsia="宋体" w:cs="宋体"/>
                      <w:sz w:val="18"/>
                      <w:szCs w:val="18"/>
                    </w:rPr>
                  </w:pPr>
                  <w:r>
                    <w:rPr>
                      <w:rFonts w:hint="eastAsia" w:ascii="宋体" w:hAnsi="宋体" w:eastAsia="宋体" w:cs="宋体"/>
                      <w:color w:val="auto"/>
                      <w:kern w:val="0"/>
                      <w:sz w:val="21"/>
                      <w:szCs w:val="21"/>
                      <w:lang w:bidi="ar"/>
                    </w:rPr>
                    <w:t>三点比较式臭袋法</w:t>
                  </w:r>
                </w:p>
              </w:tc>
              <w:tc>
                <w:tcPr>
                  <w:tcW w:w="1222" w:type="pct"/>
                  <w:noWrap w:val="0"/>
                  <w:vAlign w:val="center"/>
                </w:tcPr>
                <w:p>
                  <w:pPr>
                    <w:pStyle w:val="45"/>
                    <w:keepNext w:val="0"/>
                    <w:keepLines w:val="0"/>
                    <w:pageBreakBefore w:val="0"/>
                    <w:kinsoku/>
                    <w:wordWrap/>
                    <w:overflowPunct/>
                    <w:topLinePunct w:val="0"/>
                    <w:bidi w:val="0"/>
                    <w:snapToGrid/>
                    <w:spacing w:line="240" w:lineRule="exact"/>
                    <w:jc w:val="center"/>
                    <w:textAlignment w:val="auto"/>
                    <w:rPr>
                      <w:rFonts w:hint="default" w:ascii="宋体" w:hAnsi="宋体" w:cs="宋体"/>
                      <w:sz w:val="18"/>
                      <w:szCs w:val="18"/>
                      <w:lang w:val="en-US" w:eastAsia="zh-CN"/>
                    </w:rPr>
                  </w:pPr>
                  <w:r>
                    <w:rPr>
                      <w:rFonts w:hint="eastAsia" w:ascii="宋体" w:hAnsi="宋体" w:cs="宋体"/>
                      <w:sz w:val="21"/>
                      <w:szCs w:val="21"/>
                      <w:lang w:val="en-US" w:eastAsia="zh-CN"/>
                    </w:rPr>
                    <w:t>大气采样仪 THYQ-152</w:t>
                  </w:r>
                </w:p>
              </w:tc>
              <w:tc>
                <w:tcPr>
                  <w:tcW w:w="714" w:type="pct"/>
                  <w:noWrap w:val="0"/>
                  <w:vAlign w:val="center"/>
                </w:tcPr>
                <w:p>
                  <w:pPr>
                    <w:spacing w:line="24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p>
                  <w:pPr>
                    <w:spacing w:line="240" w:lineRule="exact"/>
                    <w:jc w:val="center"/>
                    <w:rPr>
                      <w:rFonts w:hint="eastAsia" w:ascii="宋体" w:hAnsi="宋体" w:eastAsia="宋体" w:cs="宋体"/>
                      <w:color w:val="000000"/>
                      <w:sz w:val="18"/>
                      <w:szCs w:val="18"/>
                      <w:lang w:val="en-US" w:eastAsia="zh-CN"/>
                    </w:rPr>
                  </w:pPr>
                  <w:r>
                    <w:rPr>
                      <w:rFonts w:hint="eastAsia" w:ascii="宋体" w:hAnsi="宋体" w:eastAsia="宋体" w:cs="宋体"/>
                      <w:sz w:val="21"/>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exact"/>
                <w:jc w:val="center"/>
              </w:trPr>
              <w:tc>
                <w:tcPr>
                  <w:tcW w:w="443" w:type="pct"/>
                  <w:vMerge w:val="restart"/>
                  <w:noWrap w:val="0"/>
                  <w:vAlign w:val="center"/>
                </w:tcPr>
                <w:p>
                  <w:pPr>
                    <w:spacing w:line="240" w:lineRule="exact"/>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无组织废气</w:t>
                  </w:r>
                </w:p>
              </w:tc>
              <w:tc>
                <w:tcPr>
                  <w:tcW w:w="561" w:type="pct"/>
                  <w:vMerge w:val="restart"/>
                  <w:noWrap w:val="0"/>
                  <w:vAlign w:val="center"/>
                </w:tcPr>
                <w:p>
                  <w:pPr>
                    <w:pStyle w:val="45"/>
                    <w:jc w:val="center"/>
                    <w:rPr>
                      <w:rFonts w:hint="eastAsia" w:ascii="宋体" w:hAnsi="宋体" w:cs="宋体"/>
                      <w:sz w:val="21"/>
                      <w:szCs w:val="21"/>
                      <w:lang w:val="en-US" w:eastAsia="zh-CN"/>
                    </w:rPr>
                  </w:pPr>
                  <w:r>
                    <w:rPr>
                      <w:rFonts w:hint="eastAsia" w:ascii="宋体" w:hAnsi="宋体" w:cs="宋体"/>
                      <w:sz w:val="21"/>
                      <w:szCs w:val="21"/>
                      <w:lang w:val="en-US" w:eastAsia="zh-CN"/>
                    </w:rPr>
                    <w:t>硫化氢</w:t>
                  </w:r>
                </w:p>
                <w:p>
                  <w:pPr>
                    <w:spacing w:line="240" w:lineRule="exact"/>
                    <w:jc w:val="center"/>
                    <w:rPr>
                      <w:rFonts w:hint="eastAsia" w:ascii="宋体" w:hAnsi="宋体" w:eastAsia="宋体" w:cs="宋体"/>
                      <w:color w:val="000000"/>
                      <w:sz w:val="21"/>
                      <w:szCs w:val="21"/>
                      <w:lang w:eastAsia="zh-CN"/>
                    </w:rPr>
                  </w:pPr>
                </w:p>
              </w:tc>
              <w:tc>
                <w:tcPr>
                  <w:tcW w:w="1002" w:type="pct"/>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《大气污染物无组织排放监测技术总则》</w:t>
                  </w:r>
                </w:p>
                <w:p>
                  <w:pPr>
                    <w:jc w:val="center"/>
                    <w:rPr>
                      <w:rFonts w:hint="eastAsia" w:ascii="宋体" w:hAnsi="宋体" w:eastAsia="宋体" w:cs="宋体"/>
                      <w:sz w:val="21"/>
                      <w:szCs w:val="21"/>
                    </w:rPr>
                  </w:pPr>
                  <w:r>
                    <w:rPr>
                      <w:rFonts w:hint="eastAsia" w:ascii="宋体" w:hAnsi="宋体" w:eastAsia="宋体" w:cs="宋体"/>
                      <w:sz w:val="21"/>
                      <w:szCs w:val="21"/>
                    </w:rPr>
                    <w:t>HJ/T 55-2000</w:t>
                  </w:r>
                </w:p>
                <w:p>
                  <w:pPr>
                    <w:pStyle w:val="45"/>
                    <w:jc w:val="center"/>
                    <w:rPr>
                      <w:rFonts w:hint="eastAsia" w:ascii="宋体" w:hAnsi="宋体" w:eastAsia="宋体" w:cs="宋体"/>
                      <w:sz w:val="21"/>
                      <w:szCs w:val="21"/>
                    </w:rPr>
                  </w:pPr>
                </w:p>
              </w:tc>
              <w:tc>
                <w:tcPr>
                  <w:tcW w:w="1055" w:type="pct"/>
                  <w:vMerge w:val="restart"/>
                  <w:noWrap w:val="0"/>
                  <w:vAlign w:val="center"/>
                </w:tcPr>
                <w:p>
                  <w:pPr>
                    <w:pStyle w:val="45"/>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国家环保总局(2003)第四版增补版</w:t>
                  </w:r>
                </w:p>
                <w:p>
                  <w:pPr>
                    <w:pStyle w:val="45"/>
                    <w:keepNext w:val="0"/>
                    <w:keepLines w:val="0"/>
                    <w:pageBreakBefore w:val="0"/>
                    <w:kinsoku/>
                    <w:wordWrap/>
                    <w:overflowPunct/>
                    <w:topLinePunct w:val="0"/>
                    <w:bidi w:val="0"/>
                    <w:snapToGrid/>
                    <w:spacing w:line="240" w:lineRule="exact"/>
                    <w:jc w:val="center"/>
                    <w:textAlignment w:val="auto"/>
                    <w:rPr>
                      <w:rFonts w:hint="default" w:ascii="宋体" w:hAnsi="宋体" w:cs="宋体"/>
                      <w:sz w:val="21"/>
                      <w:szCs w:val="21"/>
                      <w:lang w:val="en-US" w:eastAsia="zh-CN"/>
                    </w:rPr>
                  </w:pPr>
                  <w:r>
                    <w:rPr>
                      <w:rFonts w:hint="eastAsia" w:ascii="宋体" w:hAnsi="宋体" w:eastAsia="宋体" w:cs="宋体"/>
                      <w:color w:val="auto"/>
                      <w:kern w:val="0"/>
                      <w:sz w:val="21"/>
                      <w:szCs w:val="21"/>
                      <w:lang w:bidi="ar"/>
                    </w:rPr>
                    <w:t>亚甲基蓝分光光度法</w:t>
                  </w:r>
                </w:p>
              </w:tc>
              <w:tc>
                <w:tcPr>
                  <w:tcW w:w="1222" w:type="pct"/>
                  <w:vMerge w:val="restart"/>
                  <w:noWrap w:val="0"/>
                  <w:vAlign w:val="center"/>
                </w:tcPr>
                <w:p>
                  <w:pPr>
                    <w:pStyle w:val="45"/>
                    <w:keepNext w:val="0"/>
                    <w:keepLines w:val="0"/>
                    <w:pageBreakBefore w:val="0"/>
                    <w:kinsoku/>
                    <w:wordWrap/>
                    <w:overflowPunct/>
                    <w:topLinePunct w:val="0"/>
                    <w:bidi w:val="0"/>
                    <w:snapToGrid/>
                    <w:spacing w:line="240" w:lineRule="exact"/>
                    <w:jc w:val="center"/>
                    <w:textAlignment w:val="auto"/>
                    <w:rPr>
                      <w:rFonts w:hint="eastAsia" w:ascii="宋体" w:hAnsi="宋体" w:cs="宋体"/>
                      <w:sz w:val="21"/>
                      <w:szCs w:val="21"/>
                      <w:lang w:val="en-US" w:eastAsia="zh-CN"/>
                    </w:rPr>
                  </w:pPr>
                  <w:r>
                    <w:rPr>
                      <w:rFonts w:hint="eastAsia" w:ascii="宋体" w:hAnsi="宋体" w:cs="宋体"/>
                      <w:sz w:val="21"/>
                      <w:szCs w:val="21"/>
                      <w:lang w:val="en-US" w:eastAsia="zh-CN"/>
                    </w:rPr>
                    <w:t>空气/智能TSP采样器THYQ-159 THYQ-160</w:t>
                  </w:r>
                </w:p>
                <w:p>
                  <w:pPr>
                    <w:pStyle w:val="45"/>
                    <w:keepNext w:val="0"/>
                    <w:keepLines w:val="0"/>
                    <w:pageBreakBefore w:val="0"/>
                    <w:kinsoku/>
                    <w:wordWrap/>
                    <w:overflowPunct/>
                    <w:topLinePunct w:val="0"/>
                    <w:bidi w:val="0"/>
                    <w:snapToGrid/>
                    <w:spacing w:line="240" w:lineRule="exact"/>
                    <w:jc w:val="center"/>
                    <w:textAlignment w:val="auto"/>
                    <w:rPr>
                      <w:rFonts w:hint="eastAsia" w:ascii="宋体" w:hAnsi="宋体" w:cs="宋体"/>
                      <w:sz w:val="21"/>
                      <w:szCs w:val="21"/>
                      <w:lang w:val="en-US" w:eastAsia="zh-CN"/>
                    </w:rPr>
                  </w:pPr>
                  <w:r>
                    <w:rPr>
                      <w:rFonts w:hint="eastAsia" w:ascii="宋体" w:hAnsi="宋体" w:cs="宋体"/>
                      <w:sz w:val="21"/>
                      <w:szCs w:val="21"/>
                      <w:lang w:val="en-US" w:eastAsia="zh-CN"/>
                    </w:rPr>
                    <w:t>THYQ-161 THYQ-162</w:t>
                  </w:r>
                </w:p>
                <w:p>
                  <w:pPr>
                    <w:pStyle w:val="45"/>
                    <w:keepNext w:val="0"/>
                    <w:keepLines w:val="0"/>
                    <w:pageBreakBefore w:val="0"/>
                    <w:kinsoku/>
                    <w:wordWrap/>
                    <w:overflowPunct/>
                    <w:topLinePunct w:val="0"/>
                    <w:bidi w:val="0"/>
                    <w:snapToGrid/>
                    <w:spacing w:line="240" w:lineRule="exact"/>
                    <w:jc w:val="center"/>
                    <w:textAlignment w:val="auto"/>
                    <w:rPr>
                      <w:rFonts w:hint="eastAsia" w:ascii="宋体" w:hAnsi="宋体" w:cs="宋体"/>
                      <w:sz w:val="21"/>
                      <w:szCs w:val="21"/>
                      <w:lang w:val="en-US" w:eastAsia="zh-CN"/>
                    </w:rPr>
                  </w:pPr>
                  <w:r>
                    <w:rPr>
                      <w:rFonts w:hint="eastAsia" w:ascii="宋体" w:hAnsi="宋体" w:cs="宋体"/>
                      <w:sz w:val="21"/>
                      <w:szCs w:val="21"/>
                      <w:lang w:val="en-US" w:eastAsia="zh-CN"/>
                    </w:rPr>
                    <w:t>紫外分光光度计</w:t>
                  </w:r>
                </w:p>
                <w:p>
                  <w:pPr>
                    <w:pStyle w:val="45"/>
                    <w:keepNext w:val="0"/>
                    <w:keepLines w:val="0"/>
                    <w:pageBreakBefore w:val="0"/>
                    <w:kinsoku/>
                    <w:wordWrap/>
                    <w:overflowPunct/>
                    <w:topLinePunct w:val="0"/>
                    <w:bidi w:val="0"/>
                    <w:snapToGrid/>
                    <w:spacing w:line="240" w:lineRule="exact"/>
                    <w:jc w:val="center"/>
                    <w:textAlignment w:val="auto"/>
                    <w:rPr>
                      <w:rFonts w:hint="default" w:ascii="宋体" w:hAnsi="宋体" w:cs="宋体"/>
                      <w:sz w:val="21"/>
                      <w:szCs w:val="21"/>
                      <w:lang w:val="en-US" w:eastAsia="zh-CN"/>
                    </w:rPr>
                  </w:pPr>
                  <w:r>
                    <w:rPr>
                      <w:rFonts w:hint="eastAsia" w:ascii="宋体" w:hAnsi="宋体" w:cs="宋体"/>
                      <w:sz w:val="21"/>
                      <w:szCs w:val="21"/>
                      <w:lang w:val="en-US" w:eastAsia="zh-CN"/>
                    </w:rPr>
                    <w:t>THYQ-092</w:t>
                  </w:r>
                </w:p>
              </w:tc>
              <w:tc>
                <w:tcPr>
                  <w:tcW w:w="714" w:type="pct"/>
                  <w:vMerge w:val="restart"/>
                  <w:noWrap w:val="0"/>
                  <w:vAlign w:val="center"/>
                </w:tcPr>
                <w:p>
                  <w:pPr>
                    <w:spacing w:line="24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0.07</w:t>
                  </w:r>
                </w:p>
                <w:p>
                  <w:pPr>
                    <w:spacing w:line="24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μg/10mL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443" w:type="pct"/>
                  <w:vMerge w:val="continue"/>
                  <w:noWrap w:val="0"/>
                  <w:vAlign w:val="center"/>
                </w:tcPr>
                <w:p>
                  <w:pPr>
                    <w:spacing w:line="240" w:lineRule="exact"/>
                    <w:jc w:val="center"/>
                    <w:rPr>
                      <w:rFonts w:hint="eastAsia" w:ascii="宋体" w:hAnsi="宋体" w:eastAsia="宋体" w:cs="宋体"/>
                      <w:color w:val="000000"/>
                      <w:sz w:val="21"/>
                      <w:szCs w:val="21"/>
                      <w:lang w:eastAsia="zh-CN"/>
                    </w:rPr>
                  </w:pPr>
                </w:p>
              </w:tc>
              <w:tc>
                <w:tcPr>
                  <w:tcW w:w="561" w:type="pct"/>
                  <w:noWrap w:val="0"/>
                  <w:vAlign w:val="center"/>
                </w:tcPr>
                <w:p>
                  <w:pPr>
                    <w:spacing w:line="240" w:lineRule="exact"/>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氨</w:t>
                  </w:r>
                </w:p>
              </w:tc>
              <w:tc>
                <w:tcPr>
                  <w:tcW w:w="1002" w:type="pct"/>
                  <w:vMerge w:val="continue"/>
                  <w:noWrap w:val="0"/>
                  <w:vAlign w:val="center"/>
                </w:tcPr>
                <w:p>
                  <w:pPr>
                    <w:pStyle w:val="45"/>
                    <w:jc w:val="center"/>
                    <w:rPr>
                      <w:rFonts w:hint="eastAsia" w:ascii="宋体" w:hAnsi="宋体" w:eastAsia="宋体" w:cs="宋体"/>
                      <w:sz w:val="21"/>
                      <w:szCs w:val="21"/>
                    </w:rPr>
                  </w:pPr>
                </w:p>
              </w:tc>
              <w:tc>
                <w:tcPr>
                  <w:tcW w:w="1055" w:type="pct"/>
                  <w:noWrap w:val="0"/>
                  <w:vAlign w:val="center"/>
                </w:tcPr>
                <w:p>
                  <w:pPr>
                    <w:pStyle w:val="45"/>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HJ 533-2009</w:t>
                  </w:r>
                </w:p>
                <w:p>
                  <w:pPr>
                    <w:pStyle w:val="45"/>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 xml:space="preserve"> 纳氏试剂分光光度法</w:t>
                  </w:r>
                </w:p>
              </w:tc>
              <w:tc>
                <w:tcPr>
                  <w:tcW w:w="1222" w:type="pct"/>
                  <w:vMerge w:val="continue"/>
                  <w:noWrap w:val="0"/>
                  <w:vAlign w:val="center"/>
                </w:tcPr>
                <w:p>
                  <w:pPr>
                    <w:pStyle w:val="45"/>
                    <w:keepNext w:val="0"/>
                    <w:keepLines w:val="0"/>
                    <w:pageBreakBefore w:val="0"/>
                    <w:kinsoku/>
                    <w:wordWrap/>
                    <w:overflowPunct/>
                    <w:topLinePunct w:val="0"/>
                    <w:bidi w:val="0"/>
                    <w:snapToGrid/>
                    <w:spacing w:line="240" w:lineRule="exact"/>
                    <w:jc w:val="center"/>
                    <w:textAlignment w:val="auto"/>
                    <w:rPr>
                      <w:rFonts w:hint="default" w:ascii="宋体" w:hAnsi="宋体" w:eastAsia="宋体" w:cs="宋体"/>
                      <w:sz w:val="21"/>
                      <w:szCs w:val="21"/>
                      <w:lang w:val="en-US" w:eastAsia="zh-CN"/>
                    </w:rPr>
                  </w:pPr>
                </w:p>
              </w:tc>
              <w:tc>
                <w:tcPr>
                  <w:tcW w:w="714" w:type="pct"/>
                  <w:noWrap w:val="0"/>
                  <w:vAlign w:val="center"/>
                </w:tcPr>
                <w:p>
                  <w:pPr>
                    <w:spacing w:line="24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w:t>
                  </w:r>
                </w:p>
                <w:p>
                  <w:pPr>
                    <w:spacing w:line="24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μg/10mL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exact"/>
                <w:jc w:val="center"/>
              </w:trPr>
              <w:tc>
                <w:tcPr>
                  <w:tcW w:w="443" w:type="pct"/>
                  <w:vMerge w:val="continue"/>
                  <w:noWrap w:val="0"/>
                  <w:vAlign w:val="center"/>
                </w:tcPr>
                <w:p>
                  <w:pPr>
                    <w:spacing w:line="240" w:lineRule="exact"/>
                    <w:jc w:val="center"/>
                    <w:rPr>
                      <w:rFonts w:hint="eastAsia" w:ascii="宋体" w:hAnsi="宋体" w:eastAsia="宋体" w:cs="宋体"/>
                      <w:color w:val="000000"/>
                      <w:sz w:val="21"/>
                      <w:szCs w:val="21"/>
                      <w:lang w:eastAsia="zh-CN"/>
                    </w:rPr>
                  </w:pPr>
                </w:p>
              </w:tc>
              <w:tc>
                <w:tcPr>
                  <w:tcW w:w="561" w:type="pct"/>
                  <w:vMerge w:val="restart"/>
                  <w:noWrap w:val="0"/>
                  <w:vAlign w:val="center"/>
                </w:tcPr>
                <w:p>
                  <w:pPr>
                    <w:spacing w:line="240" w:lineRule="exact"/>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硫酸雾</w:t>
                  </w:r>
                </w:p>
              </w:tc>
              <w:tc>
                <w:tcPr>
                  <w:tcW w:w="1002" w:type="pct"/>
                  <w:vMerge w:val="continue"/>
                  <w:noWrap w:val="0"/>
                  <w:vAlign w:val="center"/>
                </w:tcPr>
                <w:p>
                  <w:pPr>
                    <w:pStyle w:val="45"/>
                    <w:jc w:val="center"/>
                    <w:rPr>
                      <w:rFonts w:hint="eastAsia" w:ascii="宋体" w:hAnsi="宋体" w:eastAsia="宋体" w:cs="宋体"/>
                      <w:sz w:val="21"/>
                      <w:szCs w:val="21"/>
                    </w:rPr>
                  </w:pPr>
                </w:p>
              </w:tc>
              <w:tc>
                <w:tcPr>
                  <w:tcW w:w="1055" w:type="pct"/>
                  <w:vMerge w:val="restart"/>
                  <w:noWrap w:val="0"/>
                  <w:vAlign w:val="center"/>
                </w:tcPr>
                <w:p>
                  <w:pPr>
                    <w:keepNext w:val="0"/>
                    <w:keepLines w:val="0"/>
                    <w:pageBreakBefore w:val="0"/>
                    <w:widowControl/>
                    <w:kinsoku/>
                    <w:wordWrap/>
                    <w:overflowPunct/>
                    <w:topLinePunct w:val="0"/>
                    <w:bidi w:val="0"/>
                    <w:snapToGrid/>
                    <w:spacing w:line="24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HJ 544-2016</w:t>
                  </w:r>
                </w:p>
                <w:p>
                  <w:pPr>
                    <w:pStyle w:val="45"/>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离子色谱法</w:t>
                  </w:r>
                </w:p>
              </w:tc>
              <w:tc>
                <w:tcPr>
                  <w:tcW w:w="1222" w:type="pct"/>
                  <w:noWrap w:val="0"/>
                  <w:vAlign w:val="center"/>
                </w:tcPr>
                <w:p>
                  <w:pPr>
                    <w:pStyle w:val="45"/>
                    <w:keepNext w:val="0"/>
                    <w:keepLines w:val="0"/>
                    <w:pageBreakBefore w:val="0"/>
                    <w:kinsoku/>
                    <w:wordWrap/>
                    <w:overflowPunct/>
                    <w:topLinePunct w:val="0"/>
                    <w:bidi w:val="0"/>
                    <w:snapToGrid/>
                    <w:spacing w:line="240" w:lineRule="exact"/>
                    <w:jc w:val="center"/>
                    <w:textAlignment w:val="auto"/>
                    <w:rPr>
                      <w:rFonts w:hint="eastAsia" w:ascii="宋体" w:hAnsi="宋体" w:cs="宋体"/>
                      <w:sz w:val="21"/>
                      <w:szCs w:val="21"/>
                      <w:lang w:val="en-US" w:eastAsia="zh-CN"/>
                    </w:rPr>
                  </w:pPr>
                  <w:r>
                    <w:rPr>
                      <w:rFonts w:hint="eastAsia" w:ascii="宋体" w:hAnsi="宋体" w:cs="宋体"/>
                      <w:sz w:val="21"/>
                      <w:szCs w:val="21"/>
                      <w:lang w:val="en-US" w:eastAsia="zh-CN"/>
                    </w:rPr>
                    <w:t>空气/智能TSP采样器THYQ-159 THYQ-160</w:t>
                  </w:r>
                </w:p>
                <w:p>
                  <w:pPr>
                    <w:pStyle w:val="45"/>
                    <w:keepNext w:val="0"/>
                    <w:keepLines w:val="0"/>
                    <w:pageBreakBefore w:val="0"/>
                    <w:kinsoku/>
                    <w:wordWrap/>
                    <w:overflowPunct/>
                    <w:topLinePunct w:val="0"/>
                    <w:bidi w:val="0"/>
                    <w:snapToGrid/>
                    <w:spacing w:line="240" w:lineRule="exact"/>
                    <w:jc w:val="center"/>
                    <w:textAlignment w:val="auto"/>
                    <w:rPr>
                      <w:rFonts w:hint="default" w:ascii="宋体" w:hAnsi="宋体" w:cs="宋体"/>
                      <w:sz w:val="21"/>
                      <w:szCs w:val="21"/>
                      <w:lang w:val="en-US" w:eastAsia="zh-CN"/>
                    </w:rPr>
                  </w:pPr>
                  <w:r>
                    <w:rPr>
                      <w:rFonts w:hint="eastAsia" w:ascii="宋体" w:hAnsi="宋体" w:cs="宋体"/>
                      <w:sz w:val="21"/>
                      <w:szCs w:val="21"/>
                      <w:lang w:val="en-US" w:eastAsia="zh-CN"/>
                    </w:rPr>
                    <w:t>THYQ-161 THYQ-162</w:t>
                  </w:r>
                </w:p>
              </w:tc>
              <w:tc>
                <w:tcPr>
                  <w:tcW w:w="714" w:type="pct"/>
                  <w:vMerge w:val="restart"/>
                  <w:noWrap w:val="0"/>
                  <w:vAlign w:val="center"/>
                </w:tcPr>
                <w:p>
                  <w:pPr>
                    <w:spacing w:line="24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0.005</w:t>
                  </w:r>
                </w:p>
                <w:p>
                  <w:pPr>
                    <w:spacing w:line="240" w:lineRule="exact"/>
                    <w:jc w:val="center"/>
                    <w:rPr>
                      <w:rFonts w:hint="default" w:ascii="宋体" w:hAnsi="宋体" w:eastAsia="宋体" w:cs="宋体"/>
                      <w:sz w:val="21"/>
                      <w:szCs w:val="21"/>
                      <w:lang w:val="en-US" w:eastAsia="zh-CN"/>
                    </w:rPr>
                  </w:pPr>
                  <w:r>
                    <w:rPr>
                      <w:rFonts w:hint="default" w:ascii="Times New Roman" w:hAnsi="Times New Roman" w:eastAsia="宋体" w:cs="Times New Roman"/>
                      <w:sz w:val="21"/>
                      <w:szCs w:val="21"/>
                      <w:lang w:val="en-US" w:eastAsia="zh-CN"/>
                    </w:rPr>
                    <w:t>mg/m</w:t>
                  </w:r>
                  <w:r>
                    <w:rPr>
                      <w:rFonts w:hint="default" w:ascii="Times New Roman" w:hAnsi="Times New Roman" w:eastAsia="宋体"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443" w:type="pct"/>
                  <w:vMerge w:val="continue"/>
                  <w:noWrap w:val="0"/>
                  <w:vAlign w:val="center"/>
                </w:tcPr>
                <w:p>
                  <w:pPr>
                    <w:spacing w:line="240" w:lineRule="exact"/>
                    <w:jc w:val="center"/>
                    <w:rPr>
                      <w:rFonts w:hint="eastAsia" w:ascii="宋体" w:hAnsi="宋体" w:eastAsia="宋体" w:cs="宋体"/>
                      <w:color w:val="000000"/>
                      <w:sz w:val="21"/>
                      <w:szCs w:val="21"/>
                      <w:lang w:eastAsia="zh-CN"/>
                    </w:rPr>
                  </w:pPr>
                </w:p>
              </w:tc>
              <w:tc>
                <w:tcPr>
                  <w:tcW w:w="561" w:type="pct"/>
                  <w:vMerge w:val="continue"/>
                  <w:noWrap w:val="0"/>
                  <w:vAlign w:val="center"/>
                </w:tcPr>
                <w:p>
                  <w:pPr>
                    <w:spacing w:line="240" w:lineRule="exact"/>
                    <w:jc w:val="center"/>
                    <w:rPr>
                      <w:rFonts w:hint="eastAsia" w:ascii="宋体" w:hAnsi="宋体" w:eastAsia="宋体" w:cs="宋体"/>
                      <w:color w:val="000000"/>
                      <w:sz w:val="21"/>
                      <w:szCs w:val="21"/>
                      <w:lang w:eastAsia="zh-CN"/>
                    </w:rPr>
                  </w:pPr>
                </w:p>
              </w:tc>
              <w:tc>
                <w:tcPr>
                  <w:tcW w:w="1002" w:type="pct"/>
                  <w:vMerge w:val="continue"/>
                  <w:noWrap w:val="0"/>
                  <w:vAlign w:val="center"/>
                </w:tcPr>
                <w:p>
                  <w:pPr>
                    <w:pStyle w:val="45"/>
                    <w:jc w:val="center"/>
                    <w:rPr>
                      <w:rFonts w:hint="eastAsia" w:ascii="宋体" w:hAnsi="宋体" w:eastAsia="宋体" w:cs="宋体"/>
                      <w:sz w:val="21"/>
                      <w:szCs w:val="21"/>
                    </w:rPr>
                  </w:pPr>
                </w:p>
              </w:tc>
              <w:tc>
                <w:tcPr>
                  <w:tcW w:w="1055" w:type="pct"/>
                  <w:vMerge w:val="continue"/>
                  <w:noWrap w:val="0"/>
                  <w:vAlign w:val="center"/>
                </w:tcPr>
                <w:p>
                  <w:pPr>
                    <w:pStyle w:val="45"/>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sz w:val="21"/>
                      <w:szCs w:val="21"/>
                    </w:rPr>
                  </w:pPr>
                </w:p>
              </w:tc>
              <w:tc>
                <w:tcPr>
                  <w:tcW w:w="1222" w:type="pct"/>
                  <w:noWrap w:val="0"/>
                  <w:vAlign w:val="center"/>
                </w:tcPr>
                <w:p>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离子色谱仪</w:t>
                  </w:r>
                </w:p>
                <w:p>
                  <w:pPr>
                    <w:pStyle w:val="45"/>
                    <w:keepNext w:val="0"/>
                    <w:keepLines w:val="0"/>
                    <w:pageBreakBefore w:val="0"/>
                    <w:kinsoku/>
                    <w:wordWrap/>
                    <w:overflowPunct/>
                    <w:topLinePunct w:val="0"/>
                    <w:bidi w:val="0"/>
                    <w:snapToGrid/>
                    <w:spacing w:line="240" w:lineRule="exact"/>
                    <w:jc w:val="center"/>
                    <w:textAlignment w:val="auto"/>
                    <w:rPr>
                      <w:rFonts w:hint="eastAsia" w:ascii="宋体" w:hAnsi="宋体" w:cs="宋体"/>
                      <w:sz w:val="21"/>
                      <w:szCs w:val="21"/>
                      <w:lang w:val="en-US" w:eastAsia="zh-CN"/>
                    </w:rPr>
                  </w:pPr>
                  <w:r>
                    <w:rPr>
                      <w:rFonts w:hint="eastAsia" w:ascii="宋体" w:hAnsi="宋体" w:eastAsia="宋体" w:cs="宋体"/>
                      <w:sz w:val="21"/>
                      <w:szCs w:val="21"/>
                      <w:lang w:eastAsia="zh-CN"/>
                    </w:rPr>
                    <w:t>THYQ-</w:t>
                  </w:r>
                  <w:r>
                    <w:rPr>
                      <w:rFonts w:hint="eastAsia" w:ascii="宋体" w:hAnsi="宋体" w:eastAsia="宋体" w:cs="宋体"/>
                      <w:sz w:val="21"/>
                      <w:szCs w:val="21"/>
                      <w:lang w:val="en-US" w:eastAsia="zh-CN"/>
                    </w:rPr>
                    <w:t>086</w:t>
                  </w:r>
                </w:p>
              </w:tc>
              <w:tc>
                <w:tcPr>
                  <w:tcW w:w="714" w:type="pct"/>
                  <w:vMerge w:val="continue"/>
                  <w:noWrap w:val="0"/>
                  <w:vAlign w:val="center"/>
                </w:tcPr>
                <w:p>
                  <w:pPr>
                    <w:spacing w:line="240" w:lineRule="exact"/>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exact"/>
                <w:jc w:val="center"/>
              </w:trPr>
              <w:tc>
                <w:tcPr>
                  <w:tcW w:w="443" w:type="pct"/>
                  <w:vMerge w:val="continue"/>
                  <w:noWrap w:val="0"/>
                  <w:vAlign w:val="center"/>
                </w:tcPr>
                <w:p>
                  <w:pPr>
                    <w:spacing w:line="240" w:lineRule="exact"/>
                    <w:jc w:val="center"/>
                    <w:rPr>
                      <w:rFonts w:hint="eastAsia" w:ascii="宋体" w:hAnsi="宋体" w:eastAsia="宋体" w:cs="宋体"/>
                      <w:color w:val="000000"/>
                      <w:sz w:val="21"/>
                      <w:szCs w:val="21"/>
                      <w:highlight w:val="none"/>
                      <w:lang w:eastAsia="zh-CN"/>
                    </w:rPr>
                  </w:pPr>
                </w:p>
              </w:tc>
              <w:tc>
                <w:tcPr>
                  <w:tcW w:w="561" w:type="pct"/>
                  <w:noWrap w:val="0"/>
                  <w:vAlign w:val="center"/>
                </w:tcPr>
                <w:p>
                  <w:pPr>
                    <w:spacing w:line="240" w:lineRule="exact"/>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臭气浓度</w:t>
                  </w:r>
                </w:p>
              </w:tc>
              <w:tc>
                <w:tcPr>
                  <w:tcW w:w="1002" w:type="pct"/>
                  <w:noWrap w:val="0"/>
                  <w:vAlign w:val="center"/>
                </w:tcPr>
                <w:p>
                  <w:pPr>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 xml:space="preserve"> 恶臭污染环境监测技术规范</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HJ 905-2017</w:t>
                  </w:r>
                </w:p>
                <w:p>
                  <w:pPr>
                    <w:spacing w:line="240" w:lineRule="exact"/>
                    <w:jc w:val="center"/>
                    <w:rPr>
                      <w:rFonts w:hint="eastAsia" w:ascii="宋体" w:hAnsi="宋体" w:eastAsia="宋体" w:cs="宋体"/>
                      <w:sz w:val="21"/>
                      <w:szCs w:val="21"/>
                      <w:highlight w:val="none"/>
                    </w:rPr>
                  </w:pPr>
                </w:p>
              </w:tc>
              <w:tc>
                <w:tcPr>
                  <w:tcW w:w="1055" w:type="pct"/>
                  <w:noWrap w:val="0"/>
                  <w:vAlign w:val="center"/>
                </w:tcPr>
                <w:p>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GB/T 14675-1993</w:t>
                  </w:r>
                </w:p>
                <w:p>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sz w:val="21"/>
                      <w:szCs w:val="21"/>
                      <w:highlight w:val="none"/>
                    </w:rPr>
                  </w:pPr>
                  <w:r>
                    <w:rPr>
                      <w:rFonts w:hint="eastAsia"/>
                      <w:sz w:val="21"/>
                      <w:szCs w:val="21"/>
                      <w:highlight w:val="none"/>
                    </w:rPr>
                    <w:t>三点比较式臭袋法</w:t>
                  </w:r>
                </w:p>
              </w:tc>
              <w:tc>
                <w:tcPr>
                  <w:tcW w:w="1222" w:type="pct"/>
                  <w:noWrap w:val="0"/>
                  <w:vAlign w:val="center"/>
                </w:tcPr>
                <w:p>
                  <w:pPr>
                    <w:keepNext w:val="0"/>
                    <w:keepLines w:val="0"/>
                    <w:pageBreakBefore w:val="0"/>
                    <w:kinsoku/>
                    <w:wordWrap/>
                    <w:overflowPunct/>
                    <w:topLinePunct w:val="0"/>
                    <w:bidi w:val="0"/>
                    <w:snapToGrid/>
                    <w:spacing w:line="240" w:lineRule="exact"/>
                    <w:jc w:val="center"/>
                    <w:textAlignment w:val="auto"/>
                    <w:rPr>
                      <w:rFonts w:hint="eastAsia" w:ascii="宋体" w:hAnsi="宋体" w:cs="宋体"/>
                      <w:sz w:val="21"/>
                      <w:szCs w:val="21"/>
                      <w:highlight w:val="none"/>
                      <w:lang w:val="en-US" w:eastAsia="zh-CN"/>
                    </w:rPr>
                  </w:pPr>
                  <w:r>
                    <w:rPr>
                      <w:rFonts w:hint="eastAsia" w:hAnsi="宋体" w:eastAsia="宋体"/>
                      <w:color w:val="000000"/>
                      <w:sz w:val="21"/>
                      <w:szCs w:val="21"/>
                      <w:highlight w:val="none"/>
                      <w:lang w:val="en-US" w:eastAsia="zh-CN"/>
                    </w:rPr>
                    <w:t>集气瓶</w:t>
                  </w:r>
                </w:p>
              </w:tc>
              <w:tc>
                <w:tcPr>
                  <w:tcW w:w="714" w:type="pct"/>
                  <w:noWrap w:val="0"/>
                  <w:vAlign w:val="center"/>
                </w:tcPr>
                <w:p>
                  <w:pPr>
                    <w:spacing w:line="240" w:lineRule="exact"/>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＜10</w:t>
                  </w:r>
                </w:p>
                <w:p>
                  <w:pPr>
                    <w:spacing w:line="240" w:lineRule="exact"/>
                    <w:jc w:val="both"/>
                    <w:rPr>
                      <w:rFonts w:hint="eastAsia" w:ascii="宋体" w:hAnsi="宋体" w:eastAsia="宋体" w:cs="宋体"/>
                      <w:sz w:val="21"/>
                      <w:szCs w:val="21"/>
                      <w:highlight w:val="none"/>
                    </w:rPr>
                  </w:pPr>
                  <w:r>
                    <w:rPr>
                      <w:rFonts w:hint="eastAsia" w:ascii="宋体" w:hAnsi="宋体" w:eastAsia="宋体" w:cs="宋体"/>
                      <w:color w:val="000000"/>
                      <w:sz w:val="21"/>
                      <w:szCs w:val="21"/>
                      <w:highlight w:val="no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05" w:type="pct"/>
                  <w:gridSpan w:val="2"/>
                  <w:noWrap w:val="0"/>
                  <w:vAlign w:val="center"/>
                </w:tcPr>
                <w:p>
                  <w:pPr>
                    <w:spacing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备注</w:t>
                  </w:r>
                </w:p>
              </w:tc>
              <w:tc>
                <w:tcPr>
                  <w:tcW w:w="3994" w:type="pct"/>
                  <w:gridSpan w:val="4"/>
                  <w:noWrap w:val="0"/>
                  <w:vAlign w:val="center"/>
                </w:tcPr>
                <w:p>
                  <w:pPr>
                    <w:spacing w:line="240" w:lineRule="exact"/>
                    <w:jc w:val="both"/>
                    <w:rPr>
                      <w:rFonts w:hint="eastAsia" w:ascii="宋体" w:hAnsi="宋体" w:eastAsia="宋体" w:cs="宋体"/>
                      <w:sz w:val="21"/>
                      <w:szCs w:val="21"/>
                      <w:lang w:eastAsia="zh-CN"/>
                    </w:rPr>
                  </w:pPr>
                  <w:r>
                    <w:rPr>
                      <w:rFonts w:hint="eastAsia" w:ascii="宋体" w:hAnsi="宋体" w:eastAsia="宋体" w:cs="宋体"/>
                      <w:sz w:val="21"/>
                      <w:szCs w:val="21"/>
                      <w:highlight w:val="none"/>
                      <w:lang w:eastAsia="zh-CN"/>
                    </w:rPr>
                    <w:t>检验结果中“</w:t>
                  </w:r>
                  <w:r>
                    <w:rPr>
                      <w:rFonts w:hint="eastAsia" w:ascii="宋体" w:hAnsi="宋体" w:eastAsia="宋体" w:cs="宋体"/>
                      <w:sz w:val="21"/>
                      <w:szCs w:val="21"/>
                      <w:highlight w:val="none"/>
                      <w:lang w:val="en-US" w:eastAsia="zh-CN"/>
                    </w:rPr>
                    <w:t>ND</w:t>
                  </w:r>
                  <w:r>
                    <w:rPr>
                      <w:rFonts w:hint="eastAsia" w:ascii="宋体" w:hAnsi="宋体" w:eastAsia="宋体" w:cs="宋体"/>
                      <w:sz w:val="21"/>
                      <w:szCs w:val="21"/>
                      <w:highlight w:val="none"/>
                      <w:lang w:eastAsia="zh-CN"/>
                    </w:rPr>
                    <w:t>”表示未检出，低于方法检出</w:t>
                  </w:r>
                  <w:r>
                    <w:rPr>
                      <w:rFonts w:hint="eastAsia" w:ascii="宋体" w:hAnsi="宋体" w:eastAsia="宋体" w:cs="宋体"/>
                      <w:sz w:val="21"/>
                      <w:szCs w:val="21"/>
                      <w:lang w:eastAsia="zh-CN"/>
                    </w:rPr>
                    <w:t>限。</w:t>
                  </w:r>
                </w:p>
              </w:tc>
            </w:tr>
          </w:tbl>
          <w:p>
            <w:pPr>
              <w:pStyle w:val="45"/>
              <w:jc w:val="both"/>
              <w:rPr>
                <w:rFonts w:hint="default"/>
              </w:rPr>
            </w:pPr>
          </w:p>
          <w:p>
            <w:pPr>
              <w:pageBreakBefore w:val="0"/>
              <w:numPr>
                <w:ilvl w:val="0"/>
                <w:numId w:val="0"/>
              </w:numPr>
              <w:tabs>
                <w:tab w:val="left" w:pos="1200"/>
              </w:tabs>
              <w:autoSpaceDE/>
              <w:autoSpaceDN/>
              <w:bidi w:val="0"/>
              <w:snapToGrid/>
              <w:spacing w:before="0" w:after="0" w:line="360" w:lineRule="auto"/>
              <w:ind w:right="0" w:firstLine="482" w:firstLineChars="200"/>
              <w:jc w:val="both"/>
              <w:rPr>
                <w:rFonts w:hint="default" w:ascii="Times New Roman" w:hAnsi="宋体" w:eastAsia="宋体"/>
                <w:color w:val="auto"/>
                <w:position w:val="0"/>
                <w:sz w:val="24"/>
                <w:szCs w:val="24"/>
              </w:rPr>
            </w:pPr>
            <w:r>
              <w:rPr>
                <w:rFonts w:hint="default" w:ascii="Times New Roman" w:hAnsi="宋体" w:eastAsia="宋体"/>
                <w:b/>
                <w:color w:val="auto"/>
                <w:position w:val="0"/>
                <w:sz w:val="24"/>
                <w:szCs w:val="24"/>
              </w:rPr>
              <w:t>2、质量控制和质量保证</w:t>
            </w:r>
          </w:p>
          <w:p>
            <w:pPr>
              <w:pageBreakBefore w:val="0"/>
              <w:numPr>
                <w:ilvl w:val="0"/>
                <w:numId w:val="0"/>
              </w:numPr>
              <w:tabs>
                <w:tab w:val="left" w:pos="1200"/>
              </w:tabs>
              <w:autoSpaceDE/>
              <w:autoSpaceDN/>
              <w:bidi w:val="0"/>
              <w:snapToGrid/>
              <w:spacing w:before="0" w:after="0" w:line="360" w:lineRule="auto"/>
              <w:ind w:right="0" w:firstLine="480"/>
              <w:jc w:val="both"/>
              <w:rPr>
                <w:rFonts w:hint="default" w:ascii="Times New Roman" w:hAnsi="宋体" w:eastAsia="宋体"/>
                <w:color w:val="auto"/>
                <w:position w:val="0"/>
                <w:sz w:val="24"/>
                <w:szCs w:val="24"/>
              </w:rPr>
            </w:pPr>
            <w:r>
              <w:rPr>
                <w:rFonts w:hint="default" w:ascii="Times New Roman" w:hAnsi="宋体" w:eastAsia="宋体"/>
                <w:color w:val="auto"/>
                <w:position w:val="0"/>
                <w:sz w:val="24"/>
                <w:szCs w:val="24"/>
              </w:rPr>
              <w:t>监测过程中的质量保证措施按国家环境保护总局颁发的《环境监测质量保证管理规定》（暂行）的要求进行，实施全过程质量保证，保证了监测过程中各监测点位布置的科学性和可比性；监测分析方法采用国家有关部门颁布的标准（或推荐）分析方法，监测人员经过考核并持有合格证书；监测数据实行了三级审核制度，经过复核、审核，最后由授权签字人签发。</w:t>
            </w:r>
          </w:p>
          <w:p>
            <w:pPr>
              <w:pageBreakBefore w:val="0"/>
              <w:numPr>
                <w:ilvl w:val="0"/>
                <w:numId w:val="0"/>
              </w:numPr>
              <w:tabs>
                <w:tab w:val="left" w:pos="1200"/>
              </w:tabs>
              <w:autoSpaceDE/>
              <w:autoSpaceDN/>
              <w:bidi w:val="0"/>
              <w:snapToGrid/>
              <w:spacing w:before="0" w:after="0" w:line="360" w:lineRule="auto"/>
              <w:ind w:right="0" w:firstLine="482"/>
              <w:jc w:val="both"/>
              <w:rPr>
                <w:rFonts w:hint="default" w:ascii="Times New Roman" w:hAnsi="宋体" w:eastAsia="宋体"/>
                <w:b/>
                <w:color w:val="auto"/>
                <w:position w:val="0"/>
                <w:sz w:val="24"/>
                <w:szCs w:val="24"/>
              </w:rPr>
            </w:pPr>
            <w:r>
              <w:rPr>
                <w:rFonts w:hint="default" w:ascii="Times New Roman" w:hAnsi="宋体" w:eastAsia="宋体"/>
                <w:b/>
                <w:color w:val="auto"/>
                <w:position w:val="0"/>
                <w:sz w:val="24"/>
                <w:szCs w:val="24"/>
              </w:rPr>
              <w:t>3、噪声监测分析质量保证</w:t>
            </w:r>
          </w:p>
          <w:p>
            <w:pPr>
              <w:pageBreakBefore w:val="0"/>
              <w:numPr>
                <w:ilvl w:val="0"/>
                <w:numId w:val="0"/>
              </w:numPr>
              <w:autoSpaceDE w:val="0"/>
              <w:autoSpaceDN w:val="0"/>
              <w:bidi w:val="0"/>
              <w:snapToGrid w:val="0"/>
              <w:spacing w:before="0" w:after="0" w:line="360" w:lineRule="auto"/>
              <w:ind w:right="0" w:firstLine="480"/>
              <w:jc w:val="both"/>
              <w:rPr>
                <w:rFonts w:hint="default" w:ascii="Times New Roman" w:hAnsi="宋体" w:eastAsia="宋体"/>
                <w:color w:val="000000"/>
                <w:position w:val="0"/>
                <w:sz w:val="24"/>
                <w:szCs w:val="24"/>
              </w:rPr>
            </w:pPr>
            <w:r>
              <w:rPr>
                <w:rFonts w:hint="default" w:ascii="Times New Roman" w:hAnsi="宋体" w:eastAsia="宋体"/>
                <w:color w:val="000000"/>
                <w:position w:val="0"/>
                <w:sz w:val="24"/>
                <w:szCs w:val="24"/>
              </w:rPr>
              <w:t>声级计在测试前后用标准发生源进行校准，噪声监测严格按照《工业企业厂界环境噪声排放标准》(GB12348-2008)进行，质量保证和质控按照国家环保局《环境监测技术规范》（噪声部分）进行。测量仪器和声校准器均在检定规定的有效期限内使用；测量前后在测量的环境中用声校准器校准测量仪器，示值偏差不大于0.5dB（A）；测量时传声器加防风罩。</w:t>
            </w:r>
          </w:p>
          <w:p>
            <w:pPr>
              <w:autoSpaceDE w:val="0"/>
              <w:autoSpaceDN w:val="0"/>
              <w:spacing w:after="0" w:line="360" w:lineRule="auto"/>
              <w:ind w:firstLine="480" w:firstLineChars="200"/>
              <w:jc w:val="both"/>
              <w:rPr>
                <w:rFonts w:hint="default" w:ascii="Times New Roman" w:hAnsi="Times New Roman" w:eastAsia="宋体" w:cs="Times New Roman"/>
                <w:b/>
                <w:color w:val="000000"/>
                <w:sz w:val="28"/>
                <w:szCs w:val="28"/>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水质监测分析过程中的质量保证和质量控制</w:t>
            </w:r>
          </w:p>
          <w:p>
            <w:pPr>
              <w:autoSpaceDE w:val="0"/>
              <w:autoSpaceDN w:val="0"/>
              <w:spacing w:after="0" w:line="360" w:lineRule="auto"/>
              <w:ind w:firstLine="480" w:firstLineChars="200"/>
              <w:jc w:val="both"/>
              <w:rPr>
                <w:rFonts w:hint="default" w:ascii="Times New Roman" w:hAnsi="宋体" w:eastAsia="宋体"/>
                <w:b/>
                <w:color w:val="auto"/>
                <w:position w:val="0"/>
                <w:sz w:val="24"/>
                <w:szCs w:val="24"/>
              </w:rPr>
            </w:pPr>
            <w:r>
              <w:rPr>
                <w:rFonts w:hint="default" w:ascii="Times New Roman" w:hAnsi="Times New Roman" w:eastAsia="宋体" w:cs="Times New Roman"/>
                <w:color w:val="auto"/>
                <w:sz w:val="24"/>
                <w:szCs w:val="24"/>
              </w:rPr>
              <w:t>废水样品的采集、运输、保存和监测按照国家环境保护总局《地表水和污水监测技术规范》（HJ/T91-2002）与建设项目竣工环保验收监测规定和要求执行。在采样过程中采集不少于10%的平行样；分析测定过程中，采取测定质控样、加标、回收或平行双样等措施。质控总数量占到了每批次分析样品总数的10%。监测数据完成后执行三级审核制度。</w:t>
            </w:r>
          </w:p>
        </w:tc>
      </w:tr>
    </w:tbl>
    <w:p>
      <w:pPr>
        <w:pStyle w:val="25"/>
        <w:pageBreakBefore w:val="0"/>
        <w:numPr>
          <w:ilvl w:val="0"/>
          <w:numId w:val="0"/>
        </w:numPr>
        <w:autoSpaceDE/>
        <w:autoSpaceDN/>
        <w:bidi w:val="0"/>
        <w:snapToGrid/>
        <w:spacing w:before="0" w:after="0" w:line="360" w:lineRule="auto"/>
        <w:ind w:right="0" w:firstLine="0"/>
        <w:jc w:val="left"/>
        <w:rPr>
          <w:rFonts w:hint="default" w:ascii="宋体" w:hAnsi="宋体" w:eastAsia="宋体"/>
          <w:b/>
          <w:color w:val="auto"/>
          <w:position w:val="0"/>
          <w:sz w:val="24"/>
          <w:szCs w:val="24"/>
        </w:rPr>
      </w:pPr>
    </w:p>
    <w:p>
      <w:pPr>
        <w:pStyle w:val="25"/>
        <w:pageBreakBefore w:val="0"/>
        <w:numPr>
          <w:ilvl w:val="0"/>
          <w:numId w:val="0"/>
        </w:numPr>
        <w:autoSpaceDE/>
        <w:autoSpaceDN/>
        <w:bidi w:val="0"/>
        <w:snapToGrid/>
        <w:spacing w:before="0" w:after="0" w:line="360" w:lineRule="auto"/>
        <w:ind w:right="0" w:firstLine="0"/>
        <w:jc w:val="left"/>
        <w:rPr>
          <w:rFonts w:hint="default" w:ascii="宋体" w:hAnsi="宋体" w:eastAsia="宋体"/>
          <w:b/>
          <w:color w:val="auto"/>
          <w:position w:val="0"/>
          <w:sz w:val="24"/>
          <w:szCs w:val="24"/>
        </w:rPr>
      </w:pPr>
    </w:p>
    <w:p>
      <w:pPr>
        <w:pStyle w:val="25"/>
        <w:pageBreakBefore w:val="0"/>
        <w:numPr>
          <w:ilvl w:val="0"/>
          <w:numId w:val="0"/>
        </w:numPr>
        <w:autoSpaceDE/>
        <w:autoSpaceDN/>
        <w:bidi w:val="0"/>
        <w:snapToGrid/>
        <w:spacing w:before="0" w:after="0" w:line="360" w:lineRule="auto"/>
        <w:ind w:right="0" w:firstLine="0"/>
        <w:jc w:val="left"/>
        <w:outlineLvl w:val="0"/>
        <w:rPr>
          <w:rFonts w:hint="default" w:ascii="宋体" w:hAnsi="宋体" w:eastAsia="宋体"/>
          <w:color w:val="auto"/>
          <w:position w:val="0"/>
          <w:sz w:val="24"/>
          <w:szCs w:val="24"/>
        </w:rPr>
      </w:pPr>
      <w:bookmarkStart w:id="19" w:name="_Toc17479"/>
      <w:r>
        <w:rPr>
          <w:rFonts w:hint="default" w:ascii="宋体" w:hAnsi="宋体" w:eastAsia="宋体"/>
          <w:b/>
          <w:color w:val="auto"/>
          <w:position w:val="0"/>
          <w:sz w:val="24"/>
          <w:szCs w:val="24"/>
        </w:rPr>
        <w:t>表六</w:t>
      </w:r>
      <w:bookmarkEnd w:id="19"/>
    </w:p>
    <w:tbl>
      <w:tblPr>
        <w:tblStyle w:val="38"/>
        <w:tblW w:w="892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37" w:hRule="atLeast"/>
        </w:trPr>
        <w:tc>
          <w:tcPr>
            <w:tcW w:w="8924" w:type="dxa"/>
            <w:vAlign w:val="top"/>
          </w:tcPr>
          <w:p>
            <w:pPr>
              <w:pageBreakBefore w:val="0"/>
              <w:numPr>
                <w:ilvl w:val="0"/>
                <w:numId w:val="0"/>
              </w:numPr>
              <w:autoSpaceDE/>
              <w:autoSpaceDN/>
              <w:bidi w:val="0"/>
              <w:snapToGrid/>
              <w:spacing w:before="0" w:after="0" w:line="360" w:lineRule="auto"/>
              <w:ind w:right="0" w:firstLine="0"/>
              <w:jc w:val="left"/>
              <w:outlineLvl w:val="0"/>
              <w:rPr>
                <w:rFonts w:hint="default" w:ascii="Times New Roman" w:hAnsi="宋体" w:eastAsia="宋体"/>
                <w:b/>
                <w:color w:val="auto"/>
                <w:position w:val="0"/>
                <w:sz w:val="21"/>
                <w:szCs w:val="21"/>
              </w:rPr>
            </w:pPr>
            <w:bookmarkStart w:id="20" w:name="_Toc14761"/>
            <w:bookmarkStart w:id="21" w:name="_Toc23621"/>
            <w:bookmarkStart w:id="22" w:name="_Toc1297"/>
            <w:r>
              <w:rPr>
                <w:rFonts w:hint="default" w:ascii="Times New Roman" w:hAnsi="宋体" w:eastAsia="宋体"/>
                <w:b/>
                <w:color w:val="auto"/>
                <w:position w:val="0"/>
                <w:sz w:val="21"/>
                <w:szCs w:val="21"/>
              </w:rPr>
              <w:t>验收监测内容：</w:t>
            </w:r>
            <w:bookmarkEnd w:id="20"/>
            <w:bookmarkEnd w:id="21"/>
            <w:bookmarkEnd w:id="22"/>
          </w:p>
          <w:p>
            <w:pPr>
              <w:pageBreakBefore w:val="0"/>
              <w:numPr>
                <w:ilvl w:val="0"/>
                <w:numId w:val="0"/>
              </w:numPr>
              <w:autoSpaceDE/>
              <w:autoSpaceDN/>
              <w:bidi w:val="0"/>
              <w:snapToGrid w:val="0"/>
              <w:spacing w:before="0" w:after="0" w:line="360" w:lineRule="auto"/>
              <w:ind w:right="0" w:firstLine="422"/>
              <w:jc w:val="left"/>
              <w:rPr>
                <w:rFonts w:hint="default" w:ascii="Times New Roman" w:hAnsi="宋体" w:eastAsia="宋体"/>
                <w:color w:val="auto"/>
                <w:position w:val="0"/>
                <w:sz w:val="21"/>
                <w:szCs w:val="21"/>
                <w:highlight w:val="none"/>
              </w:rPr>
            </w:pPr>
            <w:bookmarkStart w:id="23" w:name="_Toc534485378"/>
            <w:bookmarkStart w:id="24" w:name="_Toc14372"/>
            <w:bookmarkStart w:id="25" w:name="_Toc209002456"/>
            <w:bookmarkStart w:id="26" w:name="_Toc29627"/>
            <w:bookmarkStart w:id="27" w:name="_Toc2050"/>
            <w:r>
              <w:rPr>
                <w:rFonts w:hint="default" w:ascii="Times New Roman" w:hAnsi="宋体" w:eastAsia="宋体"/>
                <w:b/>
                <w:color w:val="auto"/>
                <w:position w:val="0"/>
                <w:sz w:val="21"/>
                <w:szCs w:val="21"/>
                <w:highlight w:val="none"/>
              </w:rPr>
              <w:t>1、采样日期、点位及频次</w:t>
            </w:r>
          </w:p>
          <w:p>
            <w:pPr>
              <w:pageBreakBefore w:val="0"/>
              <w:numPr>
                <w:ilvl w:val="0"/>
                <w:numId w:val="0"/>
              </w:numPr>
              <w:autoSpaceDE/>
              <w:autoSpaceDN/>
              <w:bidi w:val="0"/>
              <w:snapToGrid/>
              <w:spacing w:before="0" w:after="0" w:line="360" w:lineRule="auto"/>
              <w:ind w:right="0" w:firstLine="0"/>
              <w:jc w:val="center"/>
              <w:rPr>
                <w:rFonts w:hint="default" w:ascii="Times New Roman" w:hAnsi="宋体" w:eastAsia="宋体"/>
                <w:color w:val="auto"/>
                <w:position w:val="0"/>
                <w:sz w:val="21"/>
                <w:szCs w:val="21"/>
                <w:highlight w:val="none"/>
              </w:rPr>
            </w:pPr>
            <w:r>
              <w:rPr>
                <w:rFonts w:hint="default" w:ascii="Times New Roman" w:hAnsi="宋体" w:eastAsia="宋体"/>
                <w:color w:val="auto"/>
                <w:position w:val="0"/>
                <w:sz w:val="21"/>
                <w:szCs w:val="21"/>
                <w:highlight w:val="none"/>
              </w:rPr>
              <w:t>表6-1检测信息一览表</w:t>
            </w:r>
          </w:p>
          <w:bookmarkEnd w:id="23"/>
          <w:bookmarkEnd w:id="24"/>
          <w:bookmarkEnd w:id="25"/>
          <w:bookmarkEnd w:id="26"/>
          <w:bookmarkEnd w:id="27"/>
          <w:tbl>
            <w:tblPr>
              <w:tblStyle w:val="38"/>
              <w:tblpPr w:leftFromText="180" w:rightFromText="180" w:vertAnchor="text" w:horzAnchor="margin" w:tblpXSpec="center" w:tblpY="31"/>
              <w:tblOverlap w:val="never"/>
              <w:tblW w:w="869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69"/>
              <w:gridCol w:w="2482"/>
              <w:gridCol w:w="2482"/>
              <w:gridCol w:w="236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jc w:val="center"/>
              </w:trPr>
              <w:tc>
                <w:tcPr>
                  <w:tcW w:w="1369" w:type="dxa"/>
                  <w:tcBorders>
                    <w:right w:val="single" w:color="auto" w:sz="2" w:space="0"/>
                  </w:tcBorders>
                  <w:noWrap w:val="0"/>
                  <w:vAlign w:val="center"/>
                </w:tcPr>
                <w:p>
                  <w:pPr>
                    <w:spacing w:line="300" w:lineRule="exact"/>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采样日期</w:t>
                  </w:r>
                </w:p>
              </w:tc>
              <w:tc>
                <w:tcPr>
                  <w:tcW w:w="2482" w:type="dxa"/>
                  <w:tcBorders>
                    <w:left w:val="single" w:color="auto" w:sz="2" w:space="0"/>
                  </w:tcBorders>
                  <w:noWrap w:val="0"/>
                  <w:vAlign w:val="center"/>
                </w:tcPr>
                <w:p>
                  <w:pPr>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采样</w:t>
                  </w:r>
                  <w:r>
                    <w:rPr>
                      <w:rFonts w:hint="default" w:ascii="Times New Roman" w:hAnsi="Times New Roman" w:cs="Times New Roman" w:eastAsiaTheme="minorEastAsia"/>
                      <w:color w:val="auto"/>
                      <w:sz w:val="21"/>
                      <w:szCs w:val="21"/>
                    </w:rPr>
                    <w:t>点位</w:t>
                  </w:r>
                </w:p>
              </w:tc>
              <w:tc>
                <w:tcPr>
                  <w:tcW w:w="2482" w:type="dxa"/>
                  <w:tcBorders>
                    <w:right w:val="single" w:color="auto" w:sz="4" w:space="0"/>
                  </w:tcBorders>
                  <w:noWrap w:val="0"/>
                  <w:vAlign w:val="center"/>
                </w:tcPr>
                <w:p>
                  <w:pPr>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检测</w:t>
                  </w:r>
                  <w:r>
                    <w:rPr>
                      <w:rFonts w:hint="default" w:ascii="Times New Roman" w:hAnsi="Times New Roman" w:cs="Times New Roman" w:eastAsiaTheme="minorEastAsia"/>
                      <w:color w:val="auto"/>
                      <w:sz w:val="21"/>
                      <w:szCs w:val="21"/>
                      <w:lang w:val="en-US" w:eastAsia="zh-CN"/>
                    </w:rPr>
                    <w:t>项目</w:t>
                  </w:r>
                </w:p>
              </w:tc>
              <w:tc>
                <w:tcPr>
                  <w:tcW w:w="2361" w:type="dxa"/>
                  <w:noWrap w:val="0"/>
                  <w:vAlign w:val="center"/>
                </w:tcPr>
                <w:p>
                  <w:pPr>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采样</w:t>
                  </w:r>
                  <w:r>
                    <w:rPr>
                      <w:rFonts w:hint="default" w:ascii="Times New Roman" w:hAnsi="Times New Roman" w:cs="Times New Roman" w:eastAsiaTheme="minorEastAsia"/>
                      <w:color w:val="auto"/>
                      <w:sz w:val="21"/>
                      <w:szCs w:val="21"/>
                    </w:rPr>
                    <w:t>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10" w:hRule="atLeast"/>
                <w:jc w:val="center"/>
              </w:trPr>
              <w:tc>
                <w:tcPr>
                  <w:tcW w:w="1369" w:type="dxa"/>
                  <w:vMerge w:val="restart"/>
                  <w:tcBorders>
                    <w:right w:val="single" w:color="auto" w:sz="2" w:space="0"/>
                  </w:tcBorders>
                  <w:noWrap w:val="0"/>
                  <w:vAlign w:val="center"/>
                </w:tcPr>
                <w:p>
                  <w:pPr>
                    <w:spacing w:line="300" w:lineRule="exact"/>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2021.7.13</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w:t>
                  </w:r>
                </w:p>
                <w:p>
                  <w:pPr>
                    <w:spacing w:line="30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r>
                    <w:rPr>
                      <w:rFonts w:hint="eastAsia" w:ascii="Times New Roman" w:hAnsi="Times New Roman" w:cs="Times New Roman" w:eastAsiaTheme="minorEastAsia"/>
                      <w:color w:val="auto"/>
                      <w:sz w:val="21"/>
                      <w:szCs w:val="21"/>
                      <w:lang w:val="en-US" w:eastAsia="zh-CN"/>
                    </w:rPr>
                    <w:t>021.7.14</w:t>
                  </w:r>
                </w:p>
              </w:tc>
              <w:tc>
                <w:tcPr>
                  <w:tcW w:w="2482" w:type="dxa"/>
                  <w:tcBorders>
                    <w:left w:val="single" w:color="auto" w:sz="2" w:space="0"/>
                  </w:tcBorders>
                  <w:noWrap w:val="0"/>
                  <w:vAlign w:val="center"/>
                </w:tcPr>
                <w:p>
                  <w:pPr>
                    <w:spacing w:line="30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kern w:val="0"/>
                      <w:sz w:val="21"/>
                      <w:szCs w:val="21"/>
                      <w:highlight w:val="none"/>
                      <w:lang w:val="en-US" w:eastAsia="zh-CN" w:bidi="ar"/>
                    </w:rPr>
                    <w:t>总排污口</w:t>
                  </w:r>
                </w:p>
              </w:tc>
              <w:tc>
                <w:tcPr>
                  <w:tcW w:w="2482" w:type="dxa"/>
                  <w:tcBorders>
                    <w:right w:val="single" w:color="auto" w:sz="4" w:space="0"/>
                  </w:tcBorders>
                  <w:noWrap w:val="0"/>
                  <w:vAlign w:val="center"/>
                </w:tcPr>
                <w:p>
                  <w:pPr>
                    <w:spacing w:line="30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sz w:val="21"/>
                      <w:szCs w:val="21"/>
                    </w:rPr>
                    <w:t>COD</w:t>
                  </w:r>
                  <w:r>
                    <w:rPr>
                      <w:rFonts w:hint="default" w:ascii="Times New Roman" w:hAnsi="Times New Roman" w:cs="Times New Roman" w:eastAsiaTheme="minorEastAsia"/>
                      <w:sz w:val="21"/>
                      <w:szCs w:val="21"/>
                      <w:vertAlign w:val="subscript"/>
                    </w:rPr>
                    <w:t>cr</w:t>
                  </w:r>
                  <w:r>
                    <w:rPr>
                      <w:rFonts w:hint="default" w:ascii="Times New Roman" w:hAnsi="Times New Roman" w:cs="Times New Roman" w:eastAsiaTheme="minorEastAsia"/>
                      <w:sz w:val="21"/>
                      <w:szCs w:val="21"/>
                      <w:vertAlign w:val="baseline"/>
                      <w:lang w:eastAsia="zh-CN"/>
                    </w:rPr>
                    <w:t>、</w:t>
                  </w:r>
                  <w:r>
                    <w:rPr>
                      <w:rFonts w:hint="default" w:ascii="Times New Roman" w:hAnsi="Times New Roman" w:cs="Times New Roman" w:eastAsiaTheme="minorEastAsia"/>
                      <w:sz w:val="21"/>
                      <w:szCs w:val="21"/>
                      <w:lang w:val="en-US" w:eastAsia="zh-CN"/>
                    </w:rPr>
                    <w:t>氨氮、</w:t>
                  </w:r>
                  <w:r>
                    <w:rPr>
                      <w:rFonts w:hint="default" w:ascii="Times New Roman" w:hAnsi="Times New Roman" w:cs="Times New Roman" w:eastAsiaTheme="minorEastAsia"/>
                      <w:sz w:val="21"/>
                      <w:szCs w:val="21"/>
                    </w:rPr>
                    <w:t>SS</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val="en-US" w:eastAsia="zh-CN"/>
                    </w:rPr>
                    <w:t>五日生化需氧量</w:t>
                  </w:r>
                  <w:r>
                    <w:rPr>
                      <w:rFonts w:hint="eastAsia" w:ascii="Times New Roman" w:hAnsi="Times New Roman" w:cs="Times New Roman" w:eastAsiaTheme="minorEastAsia"/>
                      <w:sz w:val="21"/>
                      <w:szCs w:val="21"/>
                      <w:lang w:val="en-US" w:eastAsia="zh-CN"/>
                    </w:rPr>
                    <w:t>、PH值、阴离子表面活性剂、总磷</w:t>
                  </w:r>
                </w:p>
              </w:tc>
              <w:tc>
                <w:tcPr>
                  <w:tcW w:w="2361" w:type="dxa"/>
                  <w:noWrap w:val="0"/>
                  <w:vAlign w:val="center"/>
                </w:tcPr>
                <w:p>
                  <w:pPr>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检测</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天</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rPr>
                    <w:t>次</w:t>
                  </w:r>
                  <w:r>
                    <w:rPr>
                      <w:rFonts w:hint="default" w:ascii="Times New Roman" w:hAnsi="Times New Roman" w:cs="Times New Roman" w:eastAsiaTheme="minorEastAsia"/>
                      <w:color w:val="auto"/>
                      <w:sz w:val="21"/>
                      <w:szCs w:val="21"/>
                      <w:lang w:val="en-US" w:eastAsia="zh-CN"/>
                    </w:rPr>
                    <w:t>/天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9" w:hRule="atLeast"/>
                <w:jc w:val="center"/>
              </w:trPr>
              <w:tc>
                <w:tcPr>
                  <w:tcW w:w="1369" w:type="dxa"/>
                  <w:vMerge w:val="continue"/>
                  <w:tcBorders>
                    <w:right w:val="single" w:color="auto" w:sz="2" w:space="0"/>
                  </w:tcBorders>
                  <w:noWrap w:val="0"/>
                  <w:vAlign w:val="center"/>
                </w:tcPr>
                <w:p>
                  <w:pPr>
                    <w:spacing w:line="300" w:lineRule="exact"/>
                    <w:jc w:val="center"/>
                    <w:rPr>
                      <w:rFonts w:hint="default" w:ascii="Times New Roman" w:hAnsi="Times New Roman" w:cs="Times New Roman" w:eastAsiaTheme="minorEastAsia"/>
                      <w:color w:val="auto"/>
                      <w:sz w:val="21"/>
                      <w:szCs w:val="21"/>
                    </w:rPr>
                  </w:pPr>
                </w:p>
              </w:tc>
              <w:tc>
                <w:tcPr>
                  <w:tcW w:w="2482" w:type="dxa"/>
                  <w:tcBorders>
                    <w:left w:val="single" w:color="auto" w:sz="2" w:space="0"/>
                  </w:tcBorders>
                  <w:noWrap w:val="0"/>
                  <w:vAlign w:val="center"/>
                </w:tcPr>
                <w:p>
                  <w:pPr>
                    <w:spacing w:line="300" w:lineRule="exact"/>
                    <w:jc w:val="center"/>
                    <w:rPr>
                      <w:rFonts w:hint="eastAsia" w:ascii="Times New Roman" w:hAnsi="Times New Roman" w:eastAsia="宋体"/>
                      <w:b w:val="0"/>
                      <w:color w:val="auto"/>
                      <w:position w:val="0"/>
                      <w:sz w:val="21"/>
                      <w:szCs w:val="21"/>
                      <w:lang w:val="en-US" w:eastAsia="zh-CN"/>
                    </w:rPr>
                  </w:pPr>
                  <w:r>
                    <w:rPr>
                      <w:rFonts w:hint="eastAsia" w:ascii="Times New Roman" w:hAnsi="Times New Roman" w:eastAsia="宋体"/>
                      <w:b w:val="0"/>
                      <w:color w:val="auto"/>
                      <w:position w:val="0"/>
                      <w:sz w:val="21"/>
                      <w:szCs w:val="21"/>
                      <w:lang w:val="en-US" w:eastAsia="zh-CN"/>
                    </w:rPr>
                    <w:t>稀硫酸溶液喷淋塔</w:t>
                  </w:r>
                </w:p>
                <w:p>
                  <w:pPr>
                    <w:spacing w:line="300" w:lineRule="exact"/>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eastAsia="宋体"/>
                      <w:b w:val="0"/>
                      <w:color w:val="auto"/>
                      <w:position w:val="0"/>
                      <w:sz w:val="21"/>
                      <w:szCs w:val="21"/>
                      <w:lang w:val="en-US" w:eastAsia="zh-CN"/>
                    </w:rPr>
                    <w:t>碱液喷淋塔</w:t>
                  </w:r>
                </w:p>
              </w:tc>
              <w:tc>
                <w:tcPr>
                  <w:tcW w:w="2482" w:type="dxa"/>
                  <w:tcBorders>
                    <w:right w:val="single" w:color="auto" w:sz="4" w:space="0"/>
                  </w:tcBorders>
                  <w:noWrap w:val="0"/>
                  <w:vAlign w:val="center"/>
                </w:tcPr>
                <w:p>
                  <w:pPr>
                    <w:spacing w:line="300" w:lineRule="exact"/>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sz w:val="21"/>
                      <w:szCs w:val="21"/>
                      <w:lang w:val="en-US" w:eastAsia="zh-CN"/>
                    </w:rPr>
                    <w:t>硫酸雾</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val="en-US" w:eastAsia="zh-CN"/>
                    </w:rPr>
                    <w:t>氨</w:t>
                  </w:r>
                </w:p>
              </w:tc>
              <w:tc>
                <w:tcPr>
                  <w:tcW w:w="2361" w:type="dxa"/>
                  <w:noWrap w:val="0"/>
                  <w:vAlign w:val="center"/>
                </w:tcPr>
                <w:p>
                  <w:pPr>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检测</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天</w:t>
                  </w:r>
                  <w:r>
                    <w:rPr>
                      <w:rFonts w:hint="default" w:ascii="Times New Roman" w:hAnsi="Times New Roman" w:cs="Times New Roman" w:eastAsiaTheme="minorEastAsia"/>
                      <w:color w:val="auto"/>
                      <w:sz w:val="21"/>
                      <w:szCs w:val="21"/>
                      <w:lang w:eastAsia="zh-CN"/>
                    </w:rPr>
                    <w:t>，</w:t>
                  </w: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次</w:t>
                  </w:r>
                  <w:r>
                    <w:rPr>
                      <w:rFonts w:hint="default" w:ascii="Times New Roman" w:hAnsi="Times New Roman" w:cs="Times New Roman" w:eastAsiaTheme="minorEastAsia"/>
                      <w:color w:val="auto"/>
                      <w:sz w:val="21"/>
                      <w:szCs w:val="21"/>
                      <w:lang w:val="en-US" w:eastAsia="zh-CN"/>
                    </w:rPr>
                    <w:t>/天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9" w:hRule="atLeast"/>
                <w:jc w:val="center"/>
              </w:trPr>
              <w:tc>
                <w:tcPr>
                  <w:tcW w:w="1369" w:type="dxa"/>
                  <w:vMerge w:val="continue"/>
                  <w:tcBorders>
                    <w:right w:val="single" w:color="auto" w:sz="2" w:space="0"/>
                  </w:tcBorders>
                  <w:noWrap w:val="0"/>
                  <w:vAlign w:val="center"/>
                </w:tcPr>
                <w:p>
                  <w:pPr>
                    <w:spacing w:line="300" w:lineRule="exact"/>
                    <w:jc w:val="center"/>
                    <w:rPr>
                      <w:rFonts w:hint="default" w:ascii="Times New Roman" w:hAnsi="Times New Roman" w:cs="Times New Roman" w:eastAsiaTheme="minorEastAsia"/>
                      <w:color w:val="auto"/>
                      <w:sz w:val="21"/>
                      <w:szCs w:val="21"/>
                    </w:rPr>
                  </w:pPr>
                </w:p>
              </w:tc>
              <w:tc>
                <w:tcPr>
                  <w:tcW w:w="2482" w:type="dxa"/>
                  <w:tcBorders>
                    <w:left w:val="single" w:color="auto" w:sz="2" w:space="0"/>
                  </w:tcBorders>
                  <w:noWrap w:val="0"/>
                  <w:vAlign w:val="center"/>
                </w:tcPr>
                <w:p>
                  <w:pPr>
                    <w:spacing w:line="300" w:lineRule="exact"/>
                    <w:jc w:val="center"/>
                    <w:rPr>
                      <w:rFonts w:hint="default" w:ascii="Times New Roman" w:hAnsi="Times New Roman" w:eastAsia="宋体"/>
                      <w:b w:val="0"/>
                      <w:color w:val="auto"/>
                      <w:position w:val="0"/>
                      <w:sz w:val="21"/>
                      <w:szCs w:val="21"/>
                      <w:lang w:val="en-US" w:eastAsia="zh-CN"/>
                    </w:rPr>
                  </w:pPr>
                  <w:r>
                    <w:rPr>
                      <w:rFonts w:hint="eastAsia" w:ascii="Times New Roman" w:hAnsi="Times New Roman" w:eastAsia="宋体"/>
                      <w:b w:val="0"/>
                      <w:color w:val="auto"/>
                      <w:position w:val="0"/>
                      <w:sz w:val="21"/>
                      <w:szCs w:val="21"/>
                      <w:lang w:val="en-US" w:eastAsia="zh-CN"/>
                    </w:rPr>
                    <w:t>污水废气</w:t>
                  </w:r>
                </w:p>
              </w:tc>
              <w:tc>
                <w:tcPr>
                  <w:tcW w:w="2482" w:type="dxa"/>
                  <w:tcBorders>
                    <w:right w:val="single" w:color="auto" w:sz="4" w:space="0"/>
                  </w:tcBorders>
                  <w:noWrap w:val="0"/>
                  <w:vAlign w:val="center"/>
                </w:tcPr>
                <w:p>
                  <w:pPr>
                    <w:spacing w:line="300" w:lineRule="exact"/>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硫化氢、氨、臭气浓度</w:t>
                  </w:r>
                </w:p>
              </w:tc>
              <w:tc>
                <w:tcPr>
                  <w:tcW w:w="2361" w:type="dxa"/>
                  <w:noWrap w:val="0"/>
                  <w:vAlign w:val="center"/>
                </w:tcPr>
                <w:p>
                  <w:pPr>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检测</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天</w:t>
                  </w:r>
                  <w:r>
                    <w:rPr>
                      <w:rFonts w:hint="default" w:ascii="Times New Roman" w:hAnsi="Times New Roman" w:cs="Times New Roman" w:eastAsiaTheme="minorEastAsia"/>
                      <w:color w:val="auto"/>
                      <w:sz w:val="21"/>
                      <w:szCs w:val="21"/>
                      <w:lang w:eastAsia="zh-CN"/>
                    </w:rPr>
                    <w:t>，</w:t>
                  </w: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次</w:t>
                  </w:r>
                  <w:r>
                    <w:rPr>
                      <w:rFonts w:hint="default" w:ascii="Times New Roman" w:hAnsi="Times New Roman" w:cs="Times New Roman" w:eastAsiaTheme="minorEastAsia"/>
                      <w:color w:val="auto"/>
                      <w:sz w:val="21"/>
                      <w:szCs w:val="21"/>
                      <w:lang w:val="en-US" w:eastAsia="zh-CN"/>
                    </w:rPr>
                    <w:t>/天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9" w:hRule="atLeast"/>
                <w:jc w:val="center"/>
              </w:trPr>
              <w:tc>
                <w:tcPr>
                  <w:tcW w:w="1369" w:type="dxa"/>
                  <w:vMerge w:val="continue"/>
                  <w:tcBorders>
                    <w:bottom w:val="single" w:color="auto" w:sz="4" w:space="0"/>
                    <w:right w:val="single" w:color="auto" w:sz="2" w:space="0"/>
                  </w:tcBorders>
                  <w:noWrap w:val="0"/>
                  <w:vAlign w:val="center"/>
                </w:tcPr>
                <w:p>
                  <w:pPr>
                    <w:spacing w:line="300" w:lineRule="exact"/>
                    <w:jc w:val="center"/>
                    <w:rPr>
                      <w:rFonts w:hint="default" w:ascii="Times New Roman" w:hAnsi="Times New Roman" w:cs="Times New Roman" w:eastAsiaTheme="minorEastAsia"/>
                      <w:color w:val="auto"/>
                      <w:sz w:val="21"/>
                      <w:szCs w:val="21"/>
                    </w:rPr>
                  </w:pPr>
                </w:p>
              </w:tc>
              <w:tc>
                <w:tcPr>
                  <w:tcW w:w="2482" w:type="dxa"/>
                  <w:tcBorders>
                    <w:left w:val="single" w:color="auto" w:sz="2" w:space="0"/>
                  </w:tcBorders>
                  <w:noWrap w:val="0"/>
                  <w:vAlign w:val="center"/>
                </w:tcPr>
                <w:p>
                  <w:pPr>
                    <w:spacing w:line="300" w:lineRule="exact"/>
                    <w:jc w:val="center"/>
                    <w:rPr>
                      <w:rFonts w:hint="default" w:ascii="Times New Roman" w:hAnsi="Times New Roman" w:cs="Times New Roman" w:eastAsiaTheme="minorEastAsia"/>
                      <w:kern w:val="0"/>
                      <w:sz w:val="21"/>
                      <w:szCs w:val="21"/>
                      <w:highlight w:val="none"/>
                      <w:lang w:val="en-US" w:eastAsia="zh-CN" w:bidi="ar"/>
                    </w:rPr>
                  </w:pPr>
                  <w:r>
                    <w:rPr>
                      <w:rFonts w:hint="default" w:ascii="Times New Roman" w:hAnsi="Times New Roman" w:cs="Times New Roman" w:eastAsiaTheme="minorEastAsia"/>
                      <w:kern w:val="0"/>
                      <w:sz w:val="21"/>
                      <w:szCs w:val="21"/>
                      <w:highlight w:val="none"/>
                      <w:lang w:val="en-US" w:eastAsia="zh-CN" w:bidi="ar"/>
                    </w:rPr>
                    <w:t>厂界上风向设1个参照点</w:t>
                  </w:r>
                </w:p>
                <w:p>
                  <w:pPr>
                    <w:spacing w:line="300" w:lineRule="exact"/>
                    <w:jc w:val="center"/>
                    <w:rPr>
                      <w:rFonts w:hint="default" w:ascii="Times New Roman" w:hAnsi="Times New Roman" w:cs="Times New Roman" w:eastAsiaTheme="minorEastAsia"/>
                      <w:kern w:val="0"/>
                      <w:sz w:val="21"/>
                      <w:szCs w:val="21"/>
                      <w:highlight w:val="none"/>
                      <w:lang w:val="en-US" w:eastAsia="zh-CN" w:bidi="ar"/>
                    </w:rPr>
                  </w:pPr>
                  <w:r>
                    <w:rPr>
                      <w:rFonts w:hint="default" w:ascii="Times New Roman" w:hAnsi="Times New Roman" w:cs="Times New Roman" w:eastAsiaTheme="minorEastAsia"/>
                      <w:kern w:val="0"/>
                      <w:sz w:val="21"/>
                      <w:szCs w:val="21"/>
                      <w:highlight w:val="none"/>
                      <w:lang w:val="en-US" w:eastAsia="zh-CN" w:bidi="ar"/>
                    </w:rPr>
                    <w:t>厂界下风向设3个监控点</w:t>
                  </w:r>
                </w:p>
              </w:tc>
              <w:tc>
                <w:tcPr>
                  <w:tcW w:w="2482" w:type="dxa"/>
                  <w:tcBorders>
                    <w:right w:val="single" w:color="auto" w:sz="4" w:space="0"/>
                  </w:tcBorders>
                  <w:noWrap w:val="0"/>
                  <w:vAlign w:val="center"/>
                </w:tcPr>
                <w:p>
                  <w:pPr>
                    <w:spacing w:line="300" w:lineRule="exact"/>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硫酸雾</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val="en-US" w:eastAsia="zh-CN"/>
                    </w:rPr>
                    <w:t>氨</w:t>
                  </w:r>
                </w:p>
              </w:tc>
              <w:tc>
                <w:tcPr>
                  <w:tcW w:w="2361" w:type="dxa"/>
                  <w:noWrap w:val="0"/>
                  <w:vAlign w:val="center"/>
                </w:tcPr>
                <w:p>
                  <w:pPr>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检测</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天</w:t>
                  </w:r>
                  <w:r>
                    <w:rPr>
                      <w:rFonts w:hint="default" w:ascii="Times New Roman" w:hAnsi="Times New Roman" w:cs="Times New Roman" w:eastAsiaTheme="minorEastAsia"/>
                      <w:color w:val="auto"/>
                      <w:sz w:val="21"/>
                      <w:szCs w:val="21"/>
                      <w:lang w:eastAsia="zh-CN"/>
                    </w:rPr>
                    <w:t>，</w:t>
                  </w:r>
                  <w:r>
                    <w:rPr>
                      <w:rFonts w:hint="eastAsia" w:ascii="Times New Roman" w:hAnsi="Times New Roman"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rPr>
                    <w:t>次</w:t>
                  </w:r>
                  <w:r>
                    <w:rPr>
                      <w:rFonts w:hint="default" w:ascii="Times New Roman" w:hAnsi="Times New Roman" w:cs="Times New Roman" w:eastAsiaTheme="minorEastAsia"/>
                      <w:color w:val="auto"/>
                      <w:sz w:val="21"/>
                      <w:szCs w:val="21"/>
                      <w:lang w:val="en-US" w:eastAsia="zh-CN"/>
                    </w:rPr>
                    <w:t>/天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atLeast"/>
                <w:jc w:val="center"/>
              </w:trPr>
              <w:tc>
                <w:tcPr>
                  <w:tcW w:w="1369" w:type="dxa"/>
                  <w:tcBorders>
                    <w:top w:val="single" w:color="auto" w:sz="4" w:space="0"/>
                    <w:right w:val="single" w:color="auto" w:sz="2" w:space="0"/>
                  </w:tcBorders>
                  <w:noWrap w:val="0"/>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2020.8.02--8.03</w:t>
                  </w:r>
                </w:p>
              </w:tc>
              <w:tc>
                <w:tcPr>
                  <w:tcW w:w="2482" w:type="dxa"/>
                  <w:tcBorders>
                    <w:left w:val="single" w:color="auto" w:sz="2" w:space="0"/>
                  </w:tcBorders>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sz w:val="21"/>
                      <w:szCs w:val="21"/>
                      <w:lang w:val="en-US" w:eastAsia="zh-CN"/>
                    </w:rPr>
                    <w:t>厂界四周</w:t>
                  </w:r>
                </w:p>
              </w:tc>
              <w:tc>
                <w:tcPr>
                  <w:tcW w:w="2482" w:type="dxa"/>
                  <w:tcBorders>
                    <w:right w:val="single" w:color="auto" w:sz="4" w:space="0"/>
                  </w:tcBorders>
                  <w:noWrap w:val="0"/>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sz w:val="21"/>
                      <w:szCs w:val="21"/>
                      <w:lang w:val="en-US" w:eastAsia="zh-CN"/>
                    </w:rPr>
                    <w:t>噪声</w:t>
                  </w:r>
                </w:p>
              </w:tc>
              <w:tc>
                <w:tcPr>
                  <w:tcW w:w="2361" w:type="dxa"/>
                  <w:noWrap w:val="0"/>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sz w:val="21"/>
                      <w:szCs w:val="21"/>
                    </w:rPr>
                    <w:t>连续2天，昼间各1次</w:t>
                  </w:r>
                </w:p>
              </w:tc>
            </w:tr>
          </w:tbl>
          <w:p>
            <w:pPr>
              <w:pageBreakBefore w:val="0"/>
              <w:numPr>
                <w:ilvl w:val="0"/>
                <w:numId w:val="0"/>
              </w:numPr>
              <w:autoSpaceDE/>
              <w:autoSpaceDN/>
              <w:bidi w:val="0"/>
              <w:snapToGrid/>
              <w:spacing w:before="0" w:after="0" w:line="360" w:lineRule="auto"/>
              <w:ind w:right="0" w:firstLine="0"/>
              <w:jc w:val="left"/>
              <w:rPr>
                <w:rFonts w:hint="default" w:ascii="Times New Roman" w:hAnsi="宋体" w:eastAsia="宋体"/>
                <w:b/>
                <w:color w:val="auto"/>
                <w:position w:val="0"/>
                <w:sz w:val="21"/>
                <w:szCs w:val="21"/>
              </w:rPr>
            </w:pPr>
          </w:p>
          <w:p>
            <w:pPr>
              <w:pageBreakBefore w:val="0"/>
              <w:numPr>
                <w:ilvl w:val="0"/>
                <w:numId w:val="0"/>
              </w:numPr>
              <w:autoSpaceDE/>
              <w:autoSpaceDN/>
              <w:bidi w:val="0"/>
              <w:snapToGrid w:val="0"/>
              <w:spacing w:before="0" w:after="0" w:line="360" w:lineRule="auto"/>
              <w:ind w:right="0" w:firstLine="422"/>
              <w:jc w:val="left"/>
              <w:rPr>
                <w:rFonts w:hint="default" w:ascii="Times New Roman" w:hAnsi="宋体" w:eastAsia="宋体"/>
                <w:b/>
                <w:color w:val="auto"/>
                <w:position w:val="0"/>
                <w:sz w:val="21"/>
                <w:szCs w:val="21"/>
              </w:rPr>
            </w:pPr>
          </w:p>
          <w:p>
            <w:pPr>
              <w:pageBreakBefore w:val="0"/>
              <w:numPr>
                <w:ilvl w:val="0"/>
                <w:numId w:val="0"/>
              </w:numPr>
              <w:autoSpaceDE/>
              <w:autoSpaceDN/>
              <w:bidi w:val="0"/>
              <w:snapToGrid w:val="0"/>
              <w:spacing w:before="0" w:after="0" w:line="360" w:lineRule="auto"/>
              <w:ind w:right="0" w:rightChars="0"/>
              <w:jc w:val="left"/>
              <w:rPr>
                <w:rFonts w:hint="default" w:ascii="Times New Roman" w:hAnsi="宋体" w:eastAsia="宋体"/>
                <w:b/>
                <w:color w:val="auto"/>
                <w:position w:val="0"/>
                <w:sz w:val="21"/>
                <w:szCs w:val="21"/>
              </w:rPr>
            </w:pPr>
            <w:r>
              <w:rPr>
                <w:rFonts w:hint="eastAsia" w:ascii="Times New Roman" w:hAnsi="宋体" w:eastAsia="宋体"/>
                <w:b/>
                <w:color w:val="auto"/>
                <w:position w:val="0"/>
                <w:sz w:val="21"/>
                <w:szCs w:val="21"/>
                <w:lang w:val="en-US" w:eastAsia="zh-CN"/>
              </w:rPr>
              <w:t>2、</w:t>
            </w:r>
            <w:r>
              <w:rPr>
                <w:rFonts w:hint="default" w:ascii="Times New Roman" w:hAnsi="宋体" w:eastAsia="宋体"/>
                <w:b/>
                <w:color w:val="auto"/>
                <w:position w:val="0"/>
                <w:sz w:val="21"/>
                <w:szCs w:val="21"/>
              </w:rPr>
              <w:t>厂界布点及点位示意图</w:t>
            </w:r>
          </w:p>
          <w:p>
            <w:pPr>
              <w:pStyle w:val="45"/>
              <w:numPr>
                <w:ilvl w:val="0"/>
                <w:numId w:val="0"/>
              </w:numPr>
              <w:autoSpaceDE w:val="0"/>
              <w:autoSpaceDN w:val="0"/>
              <w:spacing w:before="0" w:after="160" w:line="240" w:lineRule="auto"/>
              <w:ind w:right="0" w:firstLine="0"/>
              <w:jc w:val="left"/>
              <w:rPr>
                <w:rFonts w:hint="default" w:ascii="Times New Roman" w:hAnsi="宋体" w:eastAsia="宋体"/>
                <w:color w:val="000000"/>
                <w:position w:val="0"/>
                <w:sz w:val="21"/>
                <w:szCs w:val="21"/>
              </w:rPr>
            </w:pPr>
          </w:p>
          <w:p>
            <w:pPr>
              <w:pageBreakBefore w:val="0"/>
              <w:numPr>
                <w:ilvl w:val="0"/>
                <w:numId w:val="0"/>
              </w:numPr>
              <w:autoSpaceDE/>
              <w:autoSpaceDN/>
              <w:bidi w:val="0"/>
              <w:snapToGrid w:val="0"/>
              <w:spacing w:before="0" w:after="0" w:line="360" w:lineRule="auto"/>
              <w:ind w:right="0" w:firstLine="420"/>
              <w:jc w:val="left"/>
              <w:rPr>
                <w:rFonts w:hint="default" w:ascii="Times New Roman" w:hAnsi="宋体" w:eastAsia="宋体"/>
                <w:color w:val="0000FF"/>
                <w:position w:val="0"/>
                <w:sz w:val="21"/>
                <w:szCs w:val="21"/>
              </w:rPr>
            </w:pPr>
          </w:p>
          <w:p>
            <w:pPr>
              <w:pStyle w:val="72"/>
              <w:pageBreakBefore w:val="0"/>
              <w:numPr>
                <w:ilvl w:val="0"/>
                <w:numId w:val="0"/>
              </w:numPr>
              <w:autoSpaceDE/>
              <w:autoSpaceDN/>
              <w:bidi w:val="0"/>
              <w:snapToGrid/>
              <w:spacing w:before="0" w:after="0" w:line="360" w:lineRule="auto"/>
              <w:ind w:right="0" w:firstLine="0"/>
              <w:jc w:val="both"/>
              <w:rPr>
                <w:rFonts w:hint="default" w:ascii="Times New Roman" w:hAnsi="宋体" w:eastAsia="宋体"/>
                <w:color w:val="0000FF"/>
                <w:position w:val="0"/>
                <w:sz w:val="21"/>
                <w:szCs w:val="21"/>
              </w:rPr>
            </w:pPr>
            <w:r>
              <w:drawing>
                <wp:inline distT="0" distB="0" distL="114300" distR="114300">
                  <wp:extent cx="4550410" cy="2639060"/>
                  <wp:effectExtent l="0" t="0" r="2540" b="889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13"/>
                          <a:stretch>
                            <a:fillRect/>
                          </a:stretch>
                        </pic:blipFill>
                        <pic:spPr>
                          <a:xfrm>
                            <a:off x="0" y="0"/>
                            <a:ext cx="4550410" cy="2639060"/>
                          </a:xfrm>
                          <a:prstGeom prst="rect">
                            <a:avLst/>
                          </a:prstGeom>
                          <a:noFill/>
                          <a:ln>
                            <a:noFill/>
                          </a:ln>
                        </pic:spPr>
                      </pic:pic>
                    </a:graphicData>
                  </a:graphic>
                </wp:inline>
              </w:drawing>
            </w:r>
          </w:p>
        </w:tc>
      </w:tr>
    </w:tbl>
    <w:p>
      <w:pPr>
        <w:numPr>
          <w:ilvl w:val="0"/>
          <w:numId w:val="0"/>
        </w:numPr>
        <w:wordWrap w:val="0"/>
        <w:spacing w:before="0" w:after="0" w:line="240" w:lineRule="auto"/>
        <w:ind w:right="0" w:firstLine="0"/>
        <w:jc w:val="left"/>
        <w:rPr>
          <w:rFonts w:hint="default" w:ascii="宋体" w:hAnsi="宋体" w:eastAsia="宋体"/>
          <w:b/>
          <w:color w:val="0000FF"/>
          <w:position w:val="0"/>
          <w:sz w:val="24"/>
          <w:szCs w:val="24"/>
        </w:rPr>
        <w:sectPr>
          <w:footerReference r:id="rId4" w:type="default"/>
          <w:pgSz w:w="11906" w:h="16838"/>
          <w:pgMar w:top="1440" w:right="1800" w:bottom="1440" w:left="1800" w:header="708" w:footer="708" w:gutter="0"/>
          <w:pgNumType w:fmt="numberInDash"/>
          <w:cols w:space="720" w:num="1"/>
          <w:docGrid w:linePitch="360" w:charSpace="0"/>
        </w:sectPr>
      </w:pPr>
    </w:p>
    <w:tbl>
      <w:tblPr>
        <w:tblStyle w:val="39"/>
        <w:tblW w:w="498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29" w:hRule="atLeast"/>
          <w:jc w:val="center"/>
        </w:trPr>
        <w:tc>
          <w:tcPr>
            <w:tcW w:w="5000" w:type="pct"/>
            <w:vAlign w:val="top"/>
          </w:tcPr>
          <w:p>
            <w:pPr>
              <w:pageBreakBefore w:val="0"/>
              <w:numPr>
                <w:ilvl w:val="0"/>
                <w:numId w:val="0"/>
              </w:numPr>
              <w:autoSpaceDE/>
              <w:autoSpaceDN/>
              <w:bidi w:val="0"/>
              <w:snapToGrid/>
              <w:spacing w:before="0" w:after="0" w:line="360" w:lineRule="auto"/>
              <w:ind w:right="0" w:firstLine="0"/>
              <w:jc w:val="left"/>
              <w:outlineLvl w:val="0"/>
              <w:rPr>
                <w:rFonts w:hint="default"/>
              </w:rPr>
            </w:pPr>
            <w:bookmarkStart w:id="28" w:name="_Toc9374"/>
            <w:bookmarkStart w:id="29" w:name="_Toc5212"/>
            <w:bookmarkStart w:id="30" w:name="_Toc959"/>
            <w:bookmarkStart w:id="31" w:name="_Toc6181"/>
            <w:r>
              <w:rPr>
                <w:rFonts w:hint="default"/>
              </w:rPr>
              <w:t>表七</w:t>
            </w:r>
            <w:bookmarkEnd w:id="28"/>
          </w:p>
          <w:p>
            <w:pPr>
              <w:pageBreakBefore w:val="0"/>
              <w:numPr>
                <w:ilvl w:val="0"/>
                <w:numId w:val="0"/>
              </w:numPr>
              <w:autoSpaceDE/>
              <w:autoSpaceDN/>
              <w:bidi w:val="0"/>
              <w:snapToGrid/>
              <w:spacing w:before="0" w:after="0" w:line="360" w:lineRule="auto"/>
              <w:ind w:right="0" w:firstLine="0"/>
              <w:jc w:val="both"/>
              <w:outlineLvl w:val="0"/>
              <w:rPr>
                <w:rFonts w:hint="default"/>
              </w:rPr>
            </w:pPr>
            <w:r>
              <w:rPr>
                <w:rFonts w:hint="default"/>
              </w:rPr>
              <w:t>验收检测结果</w:t>
            </w:r>
            <w:bookmarkEnd w:id="29"/>
            <w:bookmarkEnd w:id="30"/>
            <w:bookmarkEnd w:id="31"/>
          </w:p>
          <w:p>
            <w:pPr>
              <w:pageBreakBefore w:val="0"/>
              <w:numPr>
                <w:ilvl w:val="0"/>
                <w:numId w:val="0"/>
              </w:numPr>
              <w:autoSpaceDE/>
              <w:autoSpaceDN/>
              <w:bidi w:val="0"/>
              <w:snapToGrid/>
              <w:spacing w:before="0" w:after="0" w:line="360" w:lineRule="auto"/>
              <w:ind w:right="0" w:firstLine="480"/>
              <w:jc w:val="both"/>
              <w:rPr>
                <w:rFonts w:hint="default"/>
              </w:rPr>
            </w:pPr>
            <w:r>
              <w:rPr>
                <w:rFonts w:hint="default"/>
              </w:rPr>
              <w:t>1、验收监测期间生产工况记录：</w:t>
            </w:r>
          </w:p>
          <w:p>
            <w:pPr>
              <w:pageBreakBefore w:val="0"/>
              <w:numPr>
                <w:ilvl w:val="0"/>
                <w:numId w:val="0"/>
              </w:numPr>
              <w:autoSpaceDE/>
              <w:autoSpaceDN/>
              <w:bidi w:val="0"/>
              <w:snapToGrid w:val="0"/>
              <w:spacing w:before="0" w:after="0" w:line="360" w:lineRule="auto"/>
              <w:ind w:right="0" w:firstLine="480"/>
              <w:jc w:val="both"/>
              <w:rPr>
                <w:rFonts w:hint="default"/>
              </w:rPr>
            </w:pPr>
            <w:r>
              <w:rPr>
                <w:rFonts w:hint="default"/>
              </w:rPr>
              <w:t>20</w:t>
            </w:r>
            <w:r>
              <w:rPr>
                <w:rFonts w:hint="eastAsia"/>
                <w:lang w:val="en-US" w:eastAsia="zh-CN"/>
              </w:rPr>
              <w:t>21</w:t>
            </w:r>
            <w:r>
              <w:rPr>
                <w:rFonts w:hint="default"/>
              </w:rPr>
              <w:t>年</w:t>
            </w:r>
            <w:r>
              <w:rPr>
                <w:rFonts w:hint="eastAsia"/>
                <w:lang w:val="en-US" w:eastAsia="zh-CN"/>
              </w:rPr>
              <w:t>7</w:t>
            </w:r>
            <w:r>
              <w:rPr>
                <w:rFonts w:hint="default"/>
              </w:rPr>
              <w:t>月</w:t>
            </w:r>
            <w:r>
              <w:rPr>
                <w:rFonts w:hint="eastAsia"/>
                <w:lang w:val="en-US" w:eastAsia="zh-CN"/>
              </w:rPr>
              <w:t>13</w:t>
            </w:r>
            <w:r>
              <w:rPr>
                <w:rFonts w:hint="default"/>
              </w:rPr>
              <w:t>日至</w:t>
            </w:r>
            <w:r>
              <w:rPr>
                <w:rFonts w:hint="eastAsia"/>
                <w:lang w:val="en-US" w:eastAsia="zh-CN"/>
              </w:rPr>
              <w:t>7月14</w:t>
            </w:r>
            <w:r>
              <w:rPr>
                <w:rFonts w:hint="default"/>
              </w:rPr>
              <w:t>日验收监测期间，企业正常生产，污染治理设施运转正常。</w:t>
            </w:r>
          </w:p>
          <w:p>
            <w:pPr>
              <w:pageBreakBefore w:val="0"/>
              <w:numPr>
                <w:ilvl w:val="0"/>
                <w:numId w:val="0"/>
              </w:numPr>
              <w:autoSpaceDE/>
              <w:autoSpaceDN/>
              <w:bidi w:val="0"/>
              <w:snapToGrid/>
              <w:spacing w:before="0" w:after="0" w:line="360" w:lineRule="auto"/>
              <w:ind w:right="0" w:firstLine="480"/>
              <w:jc w:val="both"/>
              <w:rPr>
                <w:rFonts w:hint="default"/>
              </w:rPr>
            </w:pPr>
            <w:r>
              <w:rPr>
                <w:rFonts w:hint="default"/>
              </w:rPr>
              <w:t>2、检测结果</w:t>
            </w:r>
          </w:p>
          <w:p>
            <w:pPr>
              <w:pageBreakBefore w:val="0"/>
              <w:numPr>
                <w:ilvl w:val="0"/>
                <w:numId w:val="0"/>
              </w:numPr>
              <w:autoSpaceDE/>
              <w:autoSpaceDN/>
              <w:bidi w:val="0"/>
              <w:snapToGrid/>
              <w:spacing w:before="0" w:after="0" w:line="360" w:lineRule="auto"/>
              <w:ind w:right="0" w:firstLine="0"/>
              <w:jc w:val="both"/>
              <w:rPr>
                <w:rFonts w:hint="default"/>
                <w:lang w:val="en-US" w:eastAsia="zh-CN"/>
              </w:rPr>
            </w:pPr>
            <w:r>
              <w:rPr>
                <w:rFonts w:hint="default"/>
              </w:rPr>
              <w:t xml:space="preserve">    检测结果详见</w:t>
            </w:r>
            <w:r>
              <w:rPr>
                <w:rFonts w:hint="eastAsia"/>
                <w:lang w:val="en-US" w:eastAsia="zh-CN"/>
              </w:rPr>
              <w:t>下</w:t>
            </w:r>
            <w:r>
              <w:rPr>
                <w:rFonts w:hint="default"/>
              </w:rPr>
              <w:t>表。</w:t>
            </w:r>
          </w:p>
          <w:p>
            <w:pPr>
              <w:pageBreakBefore w:val="0"/>
              <w:numPr>
                <w:ilvl w:val="0"/>
                <w:numId w:val="0"/>
              </w:numPr>
              <w:autoSpaceDE/>
              <w:autoSpaceDN/>
              <w:bidi w:val="0"/>
              <w:snapToGrid/>
              <w:spacing w:before="0" w:after="0" w:line="360" w:lineRule="auto"/>
              <w:ind w:right="0" w:firstLine="0"/>
              <w:jc w:val="center"/>
              <w:rPr>
                <w:rFonts w:hint="default"/>
              </w:rPr>
            </w:pPr>
            <w:r>
              <w:rPr>
                <w:rFonts w:hint="default"/>
              </w:rPr>
              <w:t>表7-2</w:t>
            </w:r>
            <w:r>
              <w:rPr>
                <w:rFonts w:hint="eastAsia"/>
                <w:lang w:val="en-US" w:eastAsia="zh-CN"/>
              </w:rPr>
              <w:t>-1有</w:t>
            </w:r>
            <w:r>
              <w:rPr>
                <w:rFonts w:hint="default"/>
              </w:rPr>
              <w:t>组织废气检测结果一览表</w:t>
            </w:r>
          </w:p>
          <w:tbl>
            <w:tblPr>
              <w:tblStyle w:val="38"/>
              <w:tblpPr w:leftFromText="180" w:rightFromText="180" w:vertAnchor="text" w:horzAnchor="page" w:tblpXSpec="center" w:tblpY="56"/>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57"/>
              <w:gridCol w:w="1124"/>
              <w:gridCol w:w="493"/>
              <w:gridCol w:w="473"/>
              <w:gridCol w:w="698"/>
              <w:gridCol w:w="349"/>
              <w:gridCol w:w="534"/>
              <w:gridCol w:w="685"/>
              <w:gridCol w:w="496"/>
              <w:gridCol w:w="1004"/>
              <w:gridCol w:w="1028"/>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2" w:hRule="atLeast"/>
                <w:tblHeader/>
                <w:jc w:val="center"/>
              </w:trPr>
              <w:tc>
                <w:tcPr>
                  <w:tcW w:w="48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lang w:val="en-US" w:eastAsia="zh-CN"/>
                    </w:rPr>
                    <w:t>检</w:t>
                  </w:r>
                  <w:r>
                    <w:rPr>
                      <w:rFonts w:hint="eastAsia"/>
                      <w:lang w:eastAsia="zh-CN"/>
                    </w:rPr>
                    <w:t>测</w:t>
                  </w:r>
                  <w:r>
                    <w:rPr>
                      <w:rFonts w:hint="eastAsia"/>
                    </w:rPr>
                    <w:t>点位</w:t>
                  </w:r>
                </w:p>
              </w:tc>
              <w:tc>
                <w:tcPr>
                  <w:tcW w:w="1415" w:type="dxa"/>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检测时间</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rPr>
                  </w:pPr>
                  <w:r>
                    <w:rPr>
                      <w:rFonts w:hint="eastAsia"/>
                    </w:rPr>
                    <w:t>频次</w:t>
                  </w:r>
                </w:p>
              </w:tc>
              <w:tc>
                <w:tcPr>
                  <w:tcW w:w="57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default"/>
                    </w:rPr>
                    <w:t>排气筒高度(m)</w:t>
                  </w:r>
                </w:p>
              </w:tc>
              <w:tc>
                <w:tcPr>
                  <w:tcW w:w="69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r>
                    <w:rPr>
                      <w:rFonts w:hint="default"/>
                    </w:rPr>
                    <w:t>测点截面积(m2)</w:t>
                  </w:r>
                </w:p>
              </w:tc>
              <w:tc>
                <w:tcPr>
                  <w:tcW w:w="46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净化方式</w:t>
                  </w:r>
                </w:p>
              </w:tc>
              <w:tc>
                <w:tcPr>
                  <w:tcW w:w="65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rPr>
                  </w:pPr>
                  <w:r>
                    <w:rPr>
                      <w:rFonts w:hint="default"/>
                    </w:rPr>
                    <w:t>烟温(℃)</w:t>
                  </w:r>
                </w:p>
              </w:tc>
              <w:tc>
                <w:tcPr>
                  <w:tcW w:w="64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eastAsia="zh-CN"/>
                    </w:rPr>
                  </w:pPr>
                  <w:r>
                    <w:rPr>
                      <w:rFonts w:hint="eastAsia"/>
                      <w:lang w:eastAsia="zh-CN"/>
                    </w:rPr>
                    <w:t>含湿量（</w:t>
                  </w:r>
                  <w:r>
                    <w:rPr>
                      <w:rFonts w:hint="eastAsia"/>
                      <w:lang w:val="en-US" w:eastAsia="zh-CN"/>
                    </w:rPr>
                    <w:t>%</w:t>
                  </w:r>
                  <w:r>
                    <w:rPr>
                      <w:rFonts w:hint="eastAsia"/>
                      <w:lang w:eastAsia="zh-CN"/>
                    </w:rPr>
                    <w:t>）</w:t>
                  </w:r>
                </w:p>
              </w:tc>
              <w:tc>
                <w:tcPr>
                  <w:tcW w:w="78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eastAsia="zh-CN"/>
                    </w:rPr>
                  </w:pPr>
                  <w:r>
                    <w:rPr>
                      <w:rFonts w:hint="eastAsia"/>
                      <w:lang w:eastAsia="zh-CN"/>
                    </w:rPr>
                    <w:t>检测</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eastAsia="zh-CN"/>
                    </w:rPr>
                  </w:pPr>
                  <w:r>
                    <w:rPr>
                      <w:rFonts w:hint="eastAsia"/>
                      <w:lang w:eastAsia="zh-CN"/>
                    </w:rPr>
                    <w:t>项目</w:t>
                  </w:r>
                </w:p>
              </w:tc>
              <w:tc>
                <w:tcPr>
                  <w:tcW w:w="3371"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rPr>
                  </w:pPr>
                  <w:r>
                    <w:rPr>
                      <w:rFonts w:hint="eastAsia"/>
                      <w:lang w:eastAsia="zh-CN"/>
                    </w:rPr>
                    <w:t>检</w:t>
                  </w:r>
                  <w:r>
                    <w:rPr>
                      <w:rFonts w:hint="eastAsia"/>
                    </w:rPr>
                    <w:t>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06" w:hRule="atLeast"/>
                <w:tblHeader/>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141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57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69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65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64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78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113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实测</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浓度</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eastAsia="zh-CN"/>
                    </w:rPr>
                  </w:pPr>
                  <w:r>
                    <w:rPr>
                      <w:rFonts w:hint="eastAsia"/>
                    </w:rPr>
                    <w:t>(mg/m3)</w:t>
                  </w:r>
                </w:p>
              </w:tc>
              <w:tc>
                <w:tcPr>
                  <w:tcW w:w="1170" w:type="dxa"/>
                  <w:tcBorders>
                    <w:tl2br w:val="nil"/>
                    <w:tr2bl w:val="nil"/>
                  </w:tcBorders>
                  <w:noWrap w:val="0"/>
                  <w:vAlign w:val="center"/>
                </w:tcPr>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排放</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速率</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（kg/h）</w:t>
                  </w:r>
                </w:p>
              </w:tc>
              <w:tc>
                <w:tcPr>
                  <w:tcW w:w="1068" w:type="dxa"/>
                  <w:tcBorders>
                    <w:tl2br w:val="nil"/>
                    <w:tr2bl w:val="nil"/>
                  </w:tcBorders>
                  <w:noWrap w:val="0"/>
                  <w:vAlign w:val="center"/>
                </w:tcPr>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标杆</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流量</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（m3/h）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9" w:hRule="exact"/>
                <w:jc w:val="center"/>
              </w:trPr>
              <w:tc>
                <w:tcPr>
                  <w:tcW w:w="48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碱液喷淋排气筒进口</w:t>
                  </w:r>
                </w:p>
              </w:tc>
              <w:tc>
                <w:tcPr>
                  <w:tcW w:w="63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eastAsia="zh-CN"/>
                    </w:rPr>
                    <w:t>20</w:t>
                  </w:r>
                  <w:r>
                    <w:rPr>
                      <w:rFonts w:hint="eastAsia"/>
                      <w:lang w:val="en-US" w:eastAsia="zh-CN"/>
                    </w:rPr>
                    <w:t>21.07.13</w:t>
                  </w: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第一次</w:t>
                  </w:r>
                </w:p>
              </w:tc>
              <w:tc>
                <w:tcPr>
                  <w:tcW w:w="57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tc>
              <w:tc>
                <w:tcPr>
                  <w:tcW w:w="69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0.1963</w:t>
                  </w:r>
                </w:p>
              </w:tc>
              <w:tc>
                <w:tcPr>
                  <w:tcW w:w="46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42</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3.3</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硫酸雾</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70.8</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0.423</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5975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8"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第二次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44</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3.2</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硫酸雾</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69.1</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0.416</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6024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4"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第三次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45</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3.0</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硫酸雾</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73.1</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0.422</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5772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85" w:hRule="exact"/>
                <w:jc w:val="center"/>
              </w:trPr>
              <w:tc>
                <w:tcPr>
                  <w:tcW w:w="48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r>
                    <w:rPr>
                      <w:rFonts w:hint="eastAsia"/>
                      <w:lang w:val="en-US" w:eastAsia="zh-CN"/>
                    </w:rPr>
                    <w:t>碱液喷淋排气筒出口</w:t>
                  </w: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第一次</w:t>
                  </w:r>
                </w:p>
              </w:tc>
              <w:tc>
                <w:tcPr>
                  <w:tcW w:w="57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15</w:t>
                  </w:r>
                </w:p>
              </w:tc>
              <w:tc>
                <w:tcPr>
                  <w:tcW w:w="69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0.0706</w:t>
                  </w:r>
                </w:p>
              </w:tc>
              <w:tc>
                <w:tcPr>
                  <w:tcW w:w="46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eastAsia="zh-CN"/>
                    </w:rPr>
                  </w:pPr>
                  <w:r>
                    <w:rPr>
                      <w:rFonts w:hint="eastAsia"/>
                      <w:lang w:eastAsia="zh-CN"/>
                    </w:rPr>
                    <w:t>碱液喷淋</w:t>
                  </w: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36</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2.8</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硫酸雾</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7.93</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0.0459</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5790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18"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第二次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37</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2.7</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硫酸雾</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7.94</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0.0464</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5849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18"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第三次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38</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2.8</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硫酸雾</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8.06</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0.0463</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5739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18" w:hRule="exact"/>
                <w:jc w:val="center"/>
              </w:trPr>
              <w:tc>
                <w:tcPr>
                  <w:tcW w:w="2477"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去除率，%</w:t>
                  </w:r>
                </w:p>
              </w:tc>
              <w:tc>
                <w:tcPr>
                  <w:tcW w:w="1160"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eastAsia="zh-CN"/>
                    </w:rPr>
                    <w:t>第一次</w:t>
                  </w:r>
                </w:p>
              </w:tc>
              <w:tc>
                <w:tcPr>
                  <w:tcW w:w="130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89</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第二次</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89</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第三次</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1" w:hRule="exact"/>
                <w:jc w:val="center"/>
              </w:trPr>
              <w:tc>
                <w:tcPr>
                  <w:tcW w:w="48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default"/>
                      <w:lang w:val="en-US" w:eastAsia="zh-CN"/>
                    </w:rPr>
                  </w:pPr>
                  <w:r>
                    <w:rPr>
                      <w:rFonts w:hint="eastAsia"/>
                      <w:lang w:val="en-US" w:eastAsia="zh-CN"/>
                    </w:rPr>
                    <w:t>酸液喷淋塔排气筒进口</w:t>
                  </w:r>
                </w:p>
              </w:tc>
              <w:tc>
                <w:tcPr>
                  <w:tcW w:w="63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eastAsia="zh-CN"/>
                    </w:rPr>
                    <w:t>20</w:t>
                  </w:r>
                  <w:r>
                    <w:rPr>
                      <w:rFonts w:hint="eastAsia"/>
                      <w:lang w:val="en-US" w:eastAsia="zh-CN"/>
                    </w:rPr>
                    <w:t>21.07.13</w:t>
                  </w: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第一次</w:t>
                  </w:r>
                </w:p>
              </w:tc>
              <w:tc>
                <w:tcPr>
                  <w:tcW w:w="57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tc>
              <w:tc>
                <w:tcPr>
                  <w:tcW w:w="69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0.0706</w:t>
                  </w:r>
                </w:p>
              </w:tc>
              <w:tc>
                <w:tcPr>
                  <w:tcW w:w="46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eastAsia="zh-CN"/>
                    </w:rPr>
                  </w:pPr>
                  <w:r>
                    <w:rPr>
                      <w:rFonts w:hint="eastAsia"/>
                      <w:lang w:val="en-US" w:eastAsia="zh-CN"/>
                    </w:rPr>
                    <w:t>/</w:t>
                  </w: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34</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2.3</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氨</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14.1</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0.0257</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1820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7"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第二次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35</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2.2</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氨</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14.8</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0.0274</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1849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第三次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37</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2.4</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氨</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15.2</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0.0275</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1809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r>
                    <w:rPr>
                      <w:rFonts w:hint="eastAsia"/>
                      <w:lang w:val="en-US" w:eastAsia="zh-CN"/>
                    </w:rPr>
                    <w:t>酸液喷淋塔排气筒出口</w:t>
                  </w: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第一次</w:t>
                  </w:r>
                </w:p>
              </w:tc>
              <w:tc>
                <w:tcPr>
                  <w:tcW w:w="57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15</w:t>
                  </w: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p>
              </w:tc>
              <w:tc>
                <w:tcPr>
                  <w:tcW w:w="46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lang w:eastAsia="zh-CN"/>
                    </w:rPr>
                    <w:t>酸液喷淋</w:t>
                  </w: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36</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2.9</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氨</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2.70</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0.00496</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1836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第二次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37</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2.6</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氨</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2.83</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0.00524</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1852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第三次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38</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2.7</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氨</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2.91</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0.00533</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1833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2477"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去除率，%</w:t>
                  </w:r>
                </w:p>
              </w:tc>
              <w:tc>
                <w:tcPr>
                  <w:tcW w:w="1160"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eastAsia="zh-CN"/>
                    </w:rPr>
                    <w:t>第一次</w:t>
                  </w:r>
                </w:p>
              </w:tc>
              <w:tc>
                <w:tcPr>
                  <w:tcW w:w="130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81</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第二次</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81</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第三次</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r>
                    <w:rPr>
                      <w:rFonts w:hint="eastAsia"/>
                      <w:lang w:val="en-US" w:eastAsia="zh-CN"/>
                    </w:rPr>
                    <w:t>污水站排气筒进口</w:t>
                  </w:r>
                </w:p>
              </w:tc>
              <w:tc>
                <w:tcPr>
                  <w:tcW w:w="63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eastAsia="zh-CN"/>
                    </w:rPr>
                    <w:t>20</w:t>
                  </w:r>
                  <w:r>
                    <w:rPr>
                      <w:rFonts w:hint="eastAsia"/>
                      <w:lang w:val="en-US" w:eastAsia="zh-CN"/>
                    </w:rPr>
                    <w:t>21.07.13</w:t>
                  </w: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第一次</w:t>
                  </w:r>
                </w:p>
              </w:tc>
              <w:tc>
                <w:tcPr>
                  <w:tcW w:w="57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tc>
              <w:tc>
                <w:tcPr>
                  <w:tcW w:w="69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0.0706</w:t>
                  </w:r>
                </w:p>
              </w:tc>
              <w:tc>
                <w:tcPr>
                  <w:tcW w:w="46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w:t>
                  </w: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35</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2.6</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硫化氢</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5.65</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0.0234</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第二次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36</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2.2</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硫化氢</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5.72</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0.0239</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第三次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36</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2.4</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硫化氢</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6.02</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0.0250</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lang w:val="en-US" w:eastAsia="zh-CN"/>
                    </w:rPr>
                  </w:pPr>
                  <w:r>
                    <w:rPr>
                      <w:rFonts w:hint="eastAsia"/>
                      <w:lang w:val="en-US" w:eastAsia="zh-CN"/>
                    </w:rPr>
                    <w:t>污水站排气筒出口</w:t>
                  </w: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第一次</w:t>
                  </w:r>
                </w:p>
              </w:tc>
              <w:tc>
                <w:tcPr>
                  <w:tcW w:w="57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15</w:t>
                  </w: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eastAsia="zh-CN"/>
                    </w:rPr>
                  </w:pPr>
                  <w:r>
                    <w:rPr>
                      <w:rFonts w:hint="eastAsia"/>
                      <w:lang w:eastAsia="zh-CN"/>
                    </w:rPr>
                    <w:t>活性炭吸附</w:t>
                  </w: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41</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2.4</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硫化氢</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0.99</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0.00419</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第二次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42</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2.3</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硫化氢</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1.03</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0.00439</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第三次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40</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2.6</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硫化氢</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1.14</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0.00481</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2477"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去除率，%</w:t>
                  </w:r>
                </w:p>
              </w:tc>
              <w:tc>
                <w:tcPr>
                  <w:tcW w:w="1160"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eastAsia="zh-CN"/>
                    </w:rPr>
                  </w:pPr>
                  <w:r>
                    <w:rPr>
                      <w:rFonts w:hint="eastAsia"/>
                      <w:lang w:eastAsia="zh-CN"/>
                    </w:rPr>
                    <w:t>第一次</w:t>
                  </w:r>
                </w:p>
              </w:tc>
              <w:tc>
                <w:tcPr>
                  <w:tcW w:w="130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82</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第二次</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82</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第三次</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81</w:t>
                  </w:r>
                </w:p>
              </w:tc>
            </w:tr>
          </w:tbl>
          <w:p>
            <w:pPr>
              <w:pStyle w:val="45"/>
              <w:jc w:val="both"/>
              <w:rPr>
                <w:rFonts w:hint="default"/>
              </w:rPr>
            </w:pPr>
          </w:p>
          <w:p>
            <w:pPr>
              <w:pStyle w:val="2"/>
              <w:ind w:left="0" w:leftChars="0" w:firstLine="0" w:firstLineChars="0"/>
              <w:jc w:val="both"/>
              <w:rPr>
                <w:rFonts w:hint="default"/>
              </w:rPr>
            </w:pPr>
          </w:p>
          <w:p>
            <w:pPr>
              <w:pageBreakBefore w:val="0"/>
              <w:numPr>
                <w:ilvl w:val="0"/>
                <w:numId w:val="0"/>
              </w:numPr>
              <w:autoSpaceDE/>
              <w:autoSpaceDN/>
              <w:bidi w:val="0"/>
              <w:snapToGrid/>
              <w:spacing w:before="0" w:after="0" w:line="360" w:lineRule="auto"/>
              <w:ind w:right="0" w:firstLine="0"/>
              <w:jc w:val="center"/>
              <w:rPr>
                <w:rFonts w:hint="default"/>
              </w:rPr>
            </w:pPr>
            <w:r>
              <w:rPr>
                <w:rFonts w:hint="default"/>
              </w:rPr>
              <w:t>表7-2</w:t>
            </w:r>
            <w:r>
              <w:rPr>
                <w:rFonts w:hint="eastAsia"/>
                <w:lang w:val="en-US" w:eastAsia="zh-CN"/>
              </w:rPr>
              <w:t>-2有</w:t>
            </w:r>
            <w:r>
              <w:rPr>
                <w:rFonts w:hint="default"/>
              </w:rPr>
              <w:t>组织废气检测结果一览表</w:t>
            </w:r>
          </w:p>
          <w:tbl>
            <w:tblPr>
              <w:tblStyle w:val="38"/>
              <w:tblpPr w:leftFromText="180" w:rightFromText="180" w:vertAnchor="text" w:horzAnchor="page" w:tblpXSpec="center" w:tblpY="56"/>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57"/>
              <w:gridCol w:w="1124"/>
              <w:gridCol w:w="494"/>
              <w:gridCol w:w="473"/>
              <w:gridCol w:w="698"/>
              <w:gridCol w:w="349"/>
              <w:gridCol w:w="534"/>
              <w:gridCol w:w="685"/>
              <w:gridCol w:w="496"/>
              <w:gridCol w:w="1003"/>
              <w:gridCol w:w="1028"/>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tblHeader/>
                <w:jc w:val="center"/>
              </w:trPr>
              <w:tc>
                <w:tcPr>
                  <w:tcW w:w="48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lang w:val="en-US" w:eastAsia="zh-CN"/>
                    </w:rPr>
                    <w:t>检</w:t>
                  </w:r>
                  <w:r>
                    <w:rPr>
                      <w:rFonts w:hint="eastAsia"/>
                      <w:lang w:eastAsia="zh-CN"/>
                    </w:rPr>
                    <w:t>测</w:t>
                  </w:r>
                  <w:r>
                    <w:rPr>
                      <w:rFonts w:hint="eastAsia"/>
                    </w:rPr>
                    <w:t>点位</w:t>
                  </w:r>
                </w:p>
              </w:tc>
              <w:tc>
                <w:tcPr>
                  <w:tcW w:w="1412" w:type="dxa"/>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检测时间</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rPr>
                  </w:pPr>
                  <w:r>
                    <w:rPr>
                      <w:rFonts w:hint="eastAsia"/>
                    </w:rPr>
                    <w:t>频次</w:t>
                  </w:r>
                </w:p>
              </w:tc>
              <w:tc>
                <w:tcPr>
                  <w:tcW w:w="57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default"/>
                    </w:rPr>
                    <w:t>排气筒高度(m)</w:t>
                  </w:r>
                </w:p>
              </w:tc>
              <w:tc>
                <w:tcPr>
                  <w:tcW w:w="69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r>
                    <w:rPr>
                      <w:rFonts w:hint="default"/>
                    </w:rPr>
                    <w:t>测点截面积(m2)</w:t>
                  </w:r>
                </w:p>
              </w:tc>
              <w:tc>
                <w:tcPr>
                  <w:tcW w:w="46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净化方式</w:t>
                  </w:r>
                </w:p>
              </w:tc>
              <w:tc>
                <w:tcPr>
                  <w:tcW w:w="65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rPr>
                  </w:pPr>
                  <w:r>
                    <w:rPr>
                      <w:rFonts w:hint="default"/>
                    </w:rPr>
                    <w:t>烟温(℃)</w:t>
                  </w:r>
                </w:p>
              </w:tc>
              <w:tc>
                <w:tcPr>
                  <w:tcW w:w="64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eastAsia="zh-CN"/>
                    </w:rPr>
                  </w:pPr>
                  <w:r>
                    <w:rPr>
                      <w:rFonts w:hint="eastAsia"/>
                      <w:lang w:eastAsia="zh-CN"/>
                    </w:rPr>
                    <w:t>含湿量（</w:t>
                  </w:r>
                  <w:r>
                    <w:rPr>
                      <w:rFonts w:hint="eastAsia"/>
                      <w:lang w:val="en-US" w:eastAsia="zh-CN"/>
                    </w:rPr>
                    <w:t>%</w:t>
                  </w:r>
                  <w:r>
                    <w:rPr>
                      <w:rFonts w:hint="eastAsia"/>
                      <w:lang w:eastAsia="zh-CN"/>
                    </w:rPr>
                    <w:t>）</w:t>
                  </w:r>
                </w:p>
              </w:tc>
              <w:tc>
                <w:tcPr>
                  <w:tcW w:w="78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eastAsia="zh-CN"/>
                    </w:rPr>
                  </w:pPr>
                  <w:r>
                    <w:rPr>
                      <w:rFonts w:hint="eastAsia"/>
                      <w:lang w:eastAsia="zh-CN"/>
                    </w:rPr>
                    <w:t>检测</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eastAsia="zh-CN"/>
                    </w:rPr>
                  </w:pPr>
                  <w:r>
                    <w:rPr>
                      <w:rFonts w:hint="eastAsia"/>
                      <w:lang w:eastAsia="zh-CN"/>
                    </w:rPr>
                    <w:t>项目</w:t>
                  </w:r>
                </w:p>
              </w:tc>
              <w:tc>
                <w:tcPr>
                  <w:tcW w:w="3365"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rPr>
                  </w:pPr>
                  <w:r>
                    <w:rPr>
                      <w:rFonts w:hint="eastAsia"/>
                      <w:lang w:eastAsia="zh-CN"/>
                    </w:rPr>
                    <w:t>检</w:t>
                  </w:r>
                  <w:r>
                    <w:rPr>
                      <w:rFonts w:hint="eastAsia"/>
                    </w:rPr>
                    <w:t>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20" w:hRule="atLeast"/>
                <w:tblHeader/>
                <w:jc w:val="center"/>
              </w:trPr>
              <w:tc>
                <w:tcPr>
                  <w:tcW w:w="48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1412"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57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69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4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65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64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7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11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实测</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浓度</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eastAsia="zh-CN"/>
                    </w:rPr>
                  </w:pPr>
                  <w:r>
                    <w:rPr>
                      <w:rFonts w:hint="eastAsia"/>
                    </w:rPr>
                    <w:t>(mg/m3)</w:t>
                  </w:r>
                </w:p>
              </w:tc>
              <w:tc>
                <w:tcPr>
                  <w:tcW w:w="1168" w:type="dxa"/>
                  <w:tcBorders>
                    <w:tl2br w:val="nil"/>
                    <w:tr2bl w:val="nil"/>
                  </w:tcBorders>
                  <w:noWrap w:val="0"/>
                  <w:vAlign w:val="center"/>
                </w:tcPr>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排放</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速率</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（kg/h）</w:t>
                  </w:r>
                </w:p>
              </w:tc>
              <w:tc>
                <w:tcPr>
                  <w:tcW w:w="1066" w:type="dxa"/>
                  <w:tcBorders>
                    <w:tl2br w:val="nil"/>
                    <w:tr2bl w:val="nil"/>
                  </w:tcBorders>
                  <w:noWrap w:val="0"/>
                  <w:vAlign w:val="center"/>
                </w:tcPr>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标杆</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流量</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（m3/h）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exact"/>
                <w:jc w:val="center"/>
              </w:trPr>
              <w:tc>
                <w:tcPr>
                  <w:tcW w:w="48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lang w:val="en-US" w:eastAsia="zh-CN"/>
                    </w:rPr>
                  </w:pPr>
                  <w:r>
                    <w:rPr>
                      <w:rFonts w:hint="eastAsia"/>
                      <w:lang w:val="en-US" w:eastAsia="zh-CN"/>
                    </w:rPr>
                    <w:t>污水站排气筒进口</w:t>
                  </w:r>
                </w:p>
              </w:tc>
              <w:tc>
                <w:tcPr>
                  <w:tcW w:w="63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eastAsia="zh-CN"/>
                    </w:rPr>
                    <w:t>20</w:t>
                  </w:r>
                  <w:r>
                    <w:rPr>
                      <w:rFonts w:hint="eastAsia"/>
                      <w:lang w:val="en-US" w:eastAsia="zh-CN"/>
                    </w:rPr>
                    <w:t>21.07.13</w:t>
                  </w:r>
                </w:p>
              </w:tc>
              <w:tc>
                <w:tcPr>
                  <w:tcW w:w="7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第一次</w:t>
                  </w:r>
                </w:p>
              </w:tc>
              <w:tc>
                <w:tcPr>
                  <w:tcW w:w="57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p>
              </w:tc>
              <w:tc>
                <w:tcPr>
                  <w:tcW w:w="69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0.0706</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p>
              </w:tc>
              <w:tc>
                <w:tcPr>
                  <w:tcW w:w="46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p>
              </w:tc>
              <w:tc>
                <w:tcPr>
                  <w:tcW w:w="6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35</w:t>
                  </w:r>
                </w:p>
              </w:tc>
              <w:tc>
                <w:tcPr>
                  <w:tcW w:w="64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2.6</w:t>
                  </w:r>
                </w:p>
              </w:tc>
              <w:tc>
                <w:tcPr>
                  <w:tcW w:w="7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氨</w:t>
                  </w:r>
                </w:p>
              </w:tc>
              <w:tc>
                <w:tcPr>
                  <w:tcW w:w="113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18.7</w:t>
                  </w:r>
                </w:p>
              </w:tc>
              <w:tc>
                <w:tcPr>
                  <w:tcW w:w="11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0.0775</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exact"/>
                <w:jc w:val="center"/>
              </w:trPr>
              <w:tc>
                <w:tcPr>
                  <w:tcW w:w="48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第二次</w:t>
                  </w:r>
                </w:p>
              </w:tc>
              <w:tc>
                <w:tcPr>
                  <w:tcW w:w="57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36</w:t>
                  </w:r>
                </w:p>
              </w:tc>
              <w:tc>
                <w:tcPr>
                  <w:tcW w:w="64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2.2</w:t>
                  </w:r>
                </w:p>
              </w:tc>
              <w:tc>
                <w:tcPr>
                  <w:tcW w:w="7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氨</w:t>
                  </w:r>
                </w:p>
              </w:tc>
              <w:tc>
                <w:tcPr>
                  <w:tcW w:w="113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19.1</w:t>
                  </w:r>
                </w:p>
              </w:tc>
              <w:tc>
                <w:tcPr>
                  <w:tcW w:w="11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0.0799</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exact"/>
                <w:jc w:val="center"/>
              </w:trPr>
              <w:tc>
                <w:tcPr>
                  <w:tcW w:w="48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第三次</w:t>
                  </w:r>
                </w:p>
              </w:tc>
              <w:tc>
                <w:tcPr>
                  <w:tcW w:w="57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36</w:t>
                  </w:r>
                </w:p>
              </w:tc>
              <w:tc>
                <w:tcPr>
                  <w:tcW w:w="64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2.4</w:t>
                  </w:r>
                </w:p>
              </w:tc>
              <w:tc>
                <w:tcPr>
                  <w:tcW w:w="7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氨</w:t>
                  </w:r>
                </w:p>
              </w:tc>
              <w:tc>
                <w:tcPr>
                  <w:tcW w:w="113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20.4</w:t>
                  </w:r>
                </w:p>
              </w:tc>
              <w:tc>
                <w:tcPr>
                  <w:tcW w:w="11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0.0847</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exact"/>
                <w:jc w:val="center"/>
              </w:trPr>
              <w:tc>
                <w:tcPr>
                  <w:tcW w:w="48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r>
                    <w:rPr>
                      <w:rFonts w:hint="eastAsia"/>
                      <w:lang w:val="en-US" w:eastAsia="zh-CN"/>
                    </w:rPr>
                    <w:t>污水站排气筒出口</w:t>
                  </w:r>
                </w:p>
              </w:tc>
              <w:tc>
                <w:tcPr>
                  <w:tcW w:w="63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第一次</w:t>
                  </w:r>
                </w:p>
              </w:tc>
              <w:tc>
                <w:tcPr>
                  <w:tcW w:w="57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15</w:t>
                  </w:r>
                </w:p>
              </w:tc>
              <w:tc>
                <w:tcPr>
                  <w:tcW w:w="69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p>
              </w:tc>
              <w:tc>
                <w:tcPr>
                  <w:tcW w:w="46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eastAsia="zh-CN"/>
                    </w:rPr>
                    <w:t>活性炭吸附</w:t>
                  </w:r>
                </w:p>
              </w:tc>
              <w:tc>
                <w:tcPr>
                  <w:tcW w:w="6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41</w:t>
                  </w:r>
                </w:p>
              </w:tc>
              <w:tc>
                <w:tcPr>
                  <w:tcW w:w="64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2.4</w:t>
                  </w:r>
                </w:p>
              </w:tc>
              <w:tc>
                <w:tcPr>
                  <w:tcW w:w="7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氨</w:t>
                  </w:r>
                </w:p>
              </w:tc>
              <w:tc>
                <w:tcPr>
                  <w:tcW w:w="113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3.09</w:t>
                  </w:r>
                </w:p>
              </w:tc>
              <w:tc>
                <w:tcPr>
                  <w:tcW w:w="11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0.0131</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exact"/>
                <w:jc w:val="center"/>
              </w:trPr>
              <w:tc>
                <w:tcPr>
                  <w:tcW w:w="48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第二次</w:t>
                  </w:r>
                </w:p>
              </w:tc>
              <w:tc>
                <w:tcPr>
                  <w:tcW w:w="57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42</w:t>
                  </w:r>
                </w:p>
              </w:tc>
              <w:tc>
                <w:tcPr>
                  <w:tcW w:w="64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2.3</w:t>
                  </w:r>
                </w:p>
              </w:tc>
              <w:tc>
                <w:tcPr>
                  <w:tcW w:w="7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氨</w:t>
                  </w:r>
                </w:p>
              </w:tc>
              <w:tc>
                <w:tcPr>
                  <w:tcW w:w="113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3.13</w:t>
                  </w:r>
                </w:p>
              </w:tc>
              <w:tc>
                <w:tcPr>
                  <w:tcW w:w="11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0.0133</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exact"/>
                <w:jc w:val="center"/>
              </w:trPr>
              <w:tc>
                <w:tcPr>
                  <w:tcW w:w="48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第三次</w:t>
                  </w:r>
                </w:p>
              </w:tc>
              <w:tc>
                <w:tcPr>
                  <w:tcW w:w="57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40</w:t>
                  </w:r>
                </w:p>
              </w:tc>
              <w:tc>
                <w:tcPr>
                  <w:tcW w:w="64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2.6</w:t>
                  </w:r>
                </w:p>
              </w:tc>
              <w:tc>
                <w:tcPr>
                  <w:tcW w:w="7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氨</w:t>
                  </w:r>
                </w:p>
              </w:tc>
              <w:tc>
                <w:tcPr>
                  <w:tcW w:w="113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3.33</w:t>
                  </w:r>
                </w:p>
              </w:tc>
              <w:tc>
                <w:tcPr>
                  <w:tcW w:w="11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0.0141</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exact"/>
                <w:jc w:val="center"/>
              </w:trPr>
              <w:tc>
                <w:tcPr>
                  <w:tcW w:w="2472"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去除率，%</w:t>
                  </w:r>
                </w:p>
              </w:tc>
              <w:tc>
                <w:tcPr>
                  <w:tcW w:w="1157"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eastAsia="zh-CN"/>
                    </w:rPr>
                    <w:t>第一次</w:t>
                  </w:r>
                </w:p>
              </w:tc>
              <w:tc>
                <w:tcPr>
                  <w:tcW w:w="1297"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83</w:t>
                  </w:r>
                </w:p>
              </w:tc>
              <w:tc>
                <w:tcPr>
                  <w:tcW w:w="7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第二次</w:t>
                  </w:r>
                </w:p>
              </w:tc>
              <w:tc>
                <w:tcPr>
                  <w:tcW w:w="113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83</w:t>
                  </w:r>
                </w:p>
              </w:tc>
              <w:tc>
                <w:tcPr>
                  <w:tcW w:w="11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第三次</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67" w:hRule="exact"/>
                <w:jc w:val="center"/>
              </w:trPr>
              <w:tc>
                <w:tcPr>
                  <w:tcW w:w="48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lang w:val="en-US" w:eastAsia="zh-CN"/>
                    </w:rPr>
                  </w:pPr>
                  <w:r>
                    <w:rPr>
                      <w:rFonts w:hint="eastAsia"/>
                      <w:lang w:val="en-US" w:eastAsia="zh-CN"/>
                    </w:rPr>
                    <w:t>污水站排气筒进口</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eastAsia="zh-CN"/>
                    </w:rPr>
                    <w:t>20</w:t>
                  </w:r>
                  <w:r>
                    <w:rPr>
                      <w:rFonts w:hint="eastAsia"/>
                      <w:lang w:val="en-US" w:eastAsia="zh-CN"/>
                    </w:rPr>
                    <w:t>21.07.13</w:t>
                  </w:r>
                </w:p>
              </w:tc>
              <w:tc>
                <w:tcPr>
                  <w:tcW w:w="7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第一次</w:t>
                  </w:r>
                </w:p>
              </w:tc>
              <w:tc>
                <w:tcPr>
                  <w:tcW w:w="57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0.0706</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35</w:t>
                  </w:r>
                </w:p>
              </w:tc>
              <w:tc>
                <w:tcPr>
                  <w:tcW w:w="64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2.6</w:t>
                  </w:r>
                </w:p>
              </w:tc>
              <w:tc>
                <w:tcPr>
                  <w:tcW w:w="7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臭气</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浓度</w:t>
                  </w:r>
                </w:p>
              </w:tc>
              <w:tc>
                <w:tcPr>
                  <w:tcW w:w="113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2317</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（无量纲）</w:t>
                  </w:r>
                </w:p>
              </w:tc>
              <w:tc>
                <w:tcPr>
                  <w:tcW w:w="11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4143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7" w:hRule="exact"/>
                <w:jc w:val="center"/>
              </w:trPr>
              <w:tc>
                <w:tcPr>
                  <w:tcW w:w="48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第二次</w:t>
                  </w:r>
                </w:p>
              </w:tc>
              <w:tc>
                <w:tcPr>
                  <w:tcW w:w="57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36</w:t>
                  </w:r>
                </w:p>
              </w:tc>
              <w:tc>
                <w:tcPr>
                  <w:tcW w:w="64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2.2</w:t>
                  </w:r>
                </w:p>
              </w:tc>
              <w:tc>
                <w:tcPr>
                  <w:tcW w:w="7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臭气</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浓度</w:t>
                  </w:r>
                </w:p>
              </w:tc>
              <w:tc>
                <w:tcPr>
                  <w:tcW w:w="113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3090</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（无量纲）</w:t>
                  </w:r>
                </w:p>
              </w:tc>
              <w:tc>
                <w:tcPr>
                  <w:tcW w:w="11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4183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0" w:hRule="exact"/>
                <w:jc w:val="center"/>
              </w:trPr>
              <w:tc>
                <w:tcPr>
                  <w:tcW w:w="48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第三次</w:t>
                  </w:r>
                </w:p>
              </w:tc>
              <w:tc>
                <w:tcPr>
                  <w:tcW w:w="57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36</w:t>
                  </w:r>
                </w:p>
              </w:tc>
              <w:tc>
                <w:tcPr>
                  <w:tcW w:w="64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2.4</w:t>
                  </w:r>
                </w:p>
              </w:tc>
              <w:tc>
                <w:tcPr>
                  <w:tcW w:w="7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臭气</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浓度</w:t>
                  </w:r>
                </w:p>
              </w:tc>
              <w:tc>
                <w:tcPr>
                  <w:tcW w:w="113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4120</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（无量纲）</w:t>
                  </w:r>
                </w:p>
              </w:tc>
              <w:tc>
                <w:tcPr>
                  <w:tcW w:w="11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4150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34" w:hRule="exact"/>
                <w:jc w:val="center"/>
              </w:trPr>
              <w:tc>
                <w:tcPr>
                  <w:tcW w:w="48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lang w:val="en-US" w:eastAsia="zh-CN"/>
                    </w:rPr>
                  </w:pPr>
                  <w:r>
                    <w:rPr>
                      <w:rFonts w:hint="eastAsia"/>
                      <w:lang w:val="en-US" w:eastAsia="zh-CN"/>
                    </w:rPr>
                    <w:t>污水站排气筒出口</w:t>
                  </w:r>
                </w:p>
              </w:tc>
              <w:tc>
                <w:tcPr>
                  <w:tcW w:w="63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第一次</w:t>
                  </w:r>
                </w:p>
              </w:tc>
              <w:tc>
                <w:tcPr>
                  <w:tcW w:w="57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15</w:t>
                  </w:r>
                </w:p>
              </w:tc>
              <w:tc>
                <w:tcPr>
                  <w:tcW w:w="69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eastAsia="zh-CN"/>
                    </w:rPr>
                    <w:t>活性炭吸附</w:t>
                  </w:r>
                </w:p>
              </w:tc>
              <w:tc>
                <w:tcPr>
                  <w:tcW w:w="6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41</w:t>
                  </w:r>
                </w:p>
              </w:tc>
              <w:tc>
                <w:tcPr>
                  <w:tcW w:w="64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2.4</w:t>
                  </w:r>
                </w:p>
              </w:tc>
              <w:tc>
                <w:tcPr>
                  <w:tcW w:w="7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臭气</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浓度</w:t>
                  </w:r>
                </w:p>
              </w:tc>
              <w:tc>
                <w:tcPr>
                  <w:tcW w:w="113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412</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（无量纲）</w:t>
                  </w:r>
                </w:p>
              </w:tc>
              <w:tc>
                <w:tcPr>
                  <w:tcW w:w="11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4235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34" w:hRule="exact"/>
                <w:jc w:val="center"/>
              </w:trPr>
              <w:tc>
                <w:tcPr>
                  <w:tcW w:w="48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第二次</w:t>
                  </w:r>
                </w:p>
              </w:tc>
              <w:tc>
                <w:tcPr>
                  <w:tcW w:w="57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42</w:t>
                  </w:r>
                </w:p>
              </w:tc>
              <w:tc>
                <w:tcPr>
                  <w:tcW w:w="64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2.3</w:t>
                  </w:r>
                </w:p>
              </w:tc>
              <w:tc>
                <w:tcPr>
                  <w:tcW w:w="7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臭气</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浓度</w:t>
                  </w:r>
                </w:p>
              </w:tc>
              <w:tc>
                <w:tcPr>
                  <w:tcW w:w="113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549</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（无量纲）</w:t>
                  </w:r>
                </w:p>
              </w:tc>
              <w:tc>
                <w:tcPr>
                  <w:tcW w:w="11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4263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72" w:hRule="exact"/>
                <w:jc w:val="center"/>
              </w:trPr>
              <w:tc>
                <w:tcPr>
                  <w:tcW w:w="48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第三次</w:t>
                  </w:r>
                </w:p>
              </w:tc>
              <w:tc>
                <w:tcPr>
                  <w:tcW w:w="57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40</w:t>
                  </w:r>
                </w:p>
              </w:tc>
              <w:tc>
                <w:tcPr>
                  <w:tcW w:w="64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2.6</w:t>
                  </w:r>
                </w:p>
              </w:tc>
              <w:tc>
                <w:tcPr>
                  <w:tcW w:w="78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臭气</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浓度</w:t>
                  </w:r>
                </w:p>
              </w:tc>
              <w:tc>
                <w:tcPr>
                  <w:tcW w:w="113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741</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（无量纲）</w:t>
                  </w:r>
                </w:p>
              </w:tc>
              <w:tc>
                <w:tcPr>
                  <w:tcW w:w="11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tc>
              <w:tc>
                <w:tcPr>
                  <w:tcW w:w="1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4223</w:t>
                  </w:r>
                </w:p>
              </w:tc>
            </w:tr>
          </w:tbl>
          <w:p>
            <w:pPr>
              <w:pageBreakBefore w:val="0"/>
              <w:numPr>
                <w:ilvl w:val="0"/>
                <w:numId w:val="0"/>
              </w:numPr>
              <w:autoSpaceDE/>
              <w:autoSpaceDN/>
              <w:bidi w:val="0"/>
              <w:snapToGrid/>
              <w:spacing w:before="0" w:after="0" w:line="360" w:lineRule="auto"/>
              <w:ind w:right="0" w:firstLine="0"/>
              <w:jc w:val="center"/>
              <w:rPr>
                <w:rFonts w:hint="default"/>
              </w:rPr>
            </w:pPr>
          </w:p>
          <w:p>
            <w:pPr>
              <w:pStyle w:val="2"/>
              <w:ind w:left="0" w:leftChars="0" w:firstLine="0" w:firstLineChars="0"/>
              <w:jc w:val="both"/>
              <w:rPr>
                <w:rFonts w:hint="default"/>
                <w:lang w:val="en-US" w:eastAsia="zh-CN"/>
              </w:rPr>
            </w:pPr>
          </w:p>
          <w:p>
            <w:pPr>
              <w:pageBreakBefore w:val="0"/>
              <w:numPr>
                <w:ilvl w:val="0"/>
                <w:numId w:val="0"/>
              </w:numPr>
              <w:autoSpaceDE/>
              <w:autoSpaceDN/>
              <w:bidi w:val="0"/>
              <w:snapToGrid/>
              <w:spacing w:before="0" w:after="0" w:line="360" w:lineRule="auto"/>
              <w:ind w:right="0" w:firstLine="0"/>
              <w:jc w:val="center"/>
              <w:rPr>
                <w:rFonts w:hint="default"/>
              </w:rPr>
            </w:pPr>
            <w:r>
              <w:rPr>
                <w:rFonts w:hint="default"/>
              </w:rPr>
              <w:t>表7-2</w:t>
            </w:r>
            <w:r>
              <w:rPr>
                <w:rFonts w:hint="eastAsia"/>
                <w:lang w:val="en-US" w:eastAsia="zh-CN"/>
              </w:rPr>
              <w:t>-3有</w:t>
            </w:r>
            <w:r>
              <w:rPr>
                <w:rFonts w:hint="default"/>
              </w:rPr>
              <w:t>组织废气检测结果一览表</w:t>
            </w:r>
          </w:p>
          <w:tbl>
            <w:tblPr>
              <w:tblStyle w:val="38"/>
              <w:tblpPr w:leftFromText="180" w:rightFromText="180" w:vertAnchor="text" w:horzAnchor="page" w:tblpXSpec="center" w:tblpY="56"/>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57"/>
              <w:gridCol w:w="1124"/>
              <w:gridCol w:w="493"/>
              <w:gridCol w:w="473"/>
              <w:gridCol w:w="698"/>
              <w:gridCol w:w="349"/>
              <w:gridCol w:w="534"/>
              <w:gridCol w:w="685"/>
              <w:gridCol w:w="496"/>
              <w:gridCol w:w="1004"/>
              <w:gridCol w:w="1028"/>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2" w:hRule="atLeast"/>
                <w:tblHeader/>
                <w:jc w:val="center"/>
              </w:trPr>
              <w:tc>
                <w:tcPr>
                  <w:tcW w:w="48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lang w:val="en-US" w:eastAsia="zh-CN"/>
                    </w:rPr>
                    <w:t>检</w:t>
                  </w:r>
                  <w:r>
                    <w:rPr>
                      <w:rFonts w:hint="eastAsia"/>
                      <w:lang w:eastAsia="zh-CN"/>
                    </w:rPr>
                    <w:t>测</w:t>
                  </w:r>
                  <w:r>
                    <w:rPr>
                      <w:rFonts w:hint="eastAsia"/>
                    </w:rPr>
                    <w:t>点位</w:t>
                  </w:r>
                </w:p>
              </w:tc>
              <w:tc>
                <w:tcPr>
                  <w:tcW w:w="1415" w:type="dxa"/>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检测时间</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rPr>
                  </w:pPr>
                  <w:r>
                    <w:rPr>
                      <w:rFonts w:hint="eastAsia"/>
                    </w:rPr>
                    <w:t>频次</w:t>
                  </w:r>
                </w:p>
              </w:tc>
              <w:tc>
                <w:tcPr>
                  <w:tcW w:w="57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default"/>
                    </w:rPr>
                    <w:t>排气筒高度(m)</w:t>
                  </w:r>
                </w:p>
              </w:tc>
              <w:tc>
                <w:tcPr>
                  <w:tcW w:w="69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r>
                    <w:rPr>
                      <w:rFonts w:hint="default"/>
                    </w:rPr>
                    <w:t>测点截面积(m2)</w:t>
                  </w:r>
                </w:p>
              </w:tc>
              <w:tc>
                <w:tcPr>
                  <w:tcW w:w="46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净化方式</w:t>
                  </w:r>
                </w:p>
              </w:tc>
              <w:tc>
                <w:tcPr>
                  <w:tcW w:w="65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rPr>
                  </w:pPr>
                  <w:r>
                    <w:rPr>
                      <w:rFonts w:hint="default"/>
                    </w:rPr>
                    <w:t>烟温(℃)</w:t>
                  </w:r>
                </w:p>
              </w:tc>
              <w:tc>
                <w:tcPr>
                  <w:tcW w:w="64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eastAsia="zh-CN"/>
                    </w:rPr>
                  </w:pPr>
                  <w:r>
                    <w:rPr>
                      <w:rFonts w:hint="eastAsia"/>
                      <w:lang w:eastAsia="zh-CN"/>
                    </w:rPr>
                    <w:t>含湿量（</w:t>
                  </w:r>
                  <w:r>
                    <w:rPr>
                      <w:rFonts w:hint="eastAsia"/>
                      <w:lang w:val="en-US" w:eastAsia="zh-CN"/>
                    </w:rPr>
                    <w:t>%</w:t>
                  </w:r>
                  <w:r>
                    <w:rPr>
                      <w:rFonts w:hint="eastAsia"/>
                      <w:lang w:eastAsia="zh-CN"/>
                    </w:rPr>
                    <w:t>）</w:t>
                  </w:r>
                </w:p>
              </w:tc>
              <w:tc>
                <w:tcPr>
                  <w:tcW w:w="78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eastAsia="zh-CN"/>
                    </w:rPr>
                  </w:pPr>
                  <w:r>
                    <w:rPr>
                      <w:rFonts w:hint="eastAsia"/>
                      <w:lang w:eastAsia="zh-CN"/>
                    </w:rPr>
                    <w:t>检测</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eastAsia="zh-CN"/>
                    </w:rPr>
                  </w:pPr>
                  <w:r>
                    <w:rPr>
                      <w:rFonts w:hint="eastAsia"/>
                      <w:lang w:eastAsia="zh-CN"/>
                    </w:rPr>
                    <w:t>项目</w:t>
                  </w:r>
                </w:p>
              </w:tc>
              <w:tc>
                <w:tcPr>
                  <w:tcW w:w="3371"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rPr>
                  </w:pPr>
                  <w:r>
                    <w:rPr>
                      <w:rFonts w:hint="eastAsia"/>
                      <w:lang w:eastAsia="zh-CN"/>
                    </w:rPr>
                    <w:t>检</w:t>
                  </w:r>
                  <w:r>
                    <w:rPr>
                      <w:rFonts w:hint="eastAsia"/>
                    </w:rPr>
                    <w:t>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06" w:hRule="atLeast"/>
                <w:tblHeader/>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141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57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69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65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64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78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113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实测</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浓度</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eastAsia="zh-CN"/>
                    </w:rPr>
                  </w:pPr>
                  <w:r>
                    <w:rPr>
                      <w:rFonts w:hint="eastAsia"/>
                    </w:rPr>
                    <w:t>(mg/m3)</w:t>
                  </w:r>
                </w:p>
              </w:tc>
              <w:tc>
                <w:tcPr>
                  <w:tcW w:w="1170" w:type="dxa"/>
                  <w:tcBorders>
                    <w:tl2br w:val="nil"/>
                    <w:tr2bl w:val="nil"/>
                  </w:tcBorders>
                  <w:noWrap w:val="0"/>
                  <w:vAlign w:val="center"/>
                </w:tcPr>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排放</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速率</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（kg/h）</w:t>
                  </w:r>
                </w:p>
              </w:tc>
              <w:tc>
                <w:tcPr>
                  <w:tcW w:w="1068" w:type="dxa"/>
                  <w:tcBorders>
                    <w:tl2br w:val="nil"/>
                    <w:tr2bl w:val="nil"/>
                  </w:tcBorders>
                  <w:noWrap w:val="0"/>
                  <w:vAlign w:val="center"/>
                </w:tcPr>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标杆</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流量</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（m3/h）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5" w:hRule="exact"/>
                <w:jc w:val="center"/>
              </w:trPr>
              <w:tc>
                <w:tcPr>
                  <w:tcW w:w="48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碱液喷淋排气筒进口</w:t>
                  </w:r>
                </w:p>
              </w:tc>
              <w:tc>
                <w:tcPr>
                  <w:tcW w:w="63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eastAsia="zh-CN"/>
                    </w:rPr>
                    <w:t>20</w:t>
                  </w:r>
                  <w:r>
                    <w:rPr>
                      <w:rFonts w:hint="eastAsia"/>
                      <w:lang w:val="en-US" w:eastAsia="zh-CN"/>
                    </w:rPr>
                    <w:t>21.07.14</w:t>
                  </w: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第一次</w:t>
                  </w:r>
                </w:p>
              </w:tc>
              <w:tc>
                <w:tcPr>
                  <w:tcW w:w="57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tc>
              <w:tc>
                <w:tcPr>
                  <w:tcW w:w="69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0.1963</w:t>
                  </w:r>
                </w:p>
              </w:tc>
              <w:tc>
                <w:tcPr>
                  <w:tcW w:w="46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44</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2.9</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硫酸雾</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72.9</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0.430</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5905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4"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第二次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46</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2.8</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硫酸雾</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66.1</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0.399</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6029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8"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第三次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47</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2.6</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硫酸雾</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72.3</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0.428</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5922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8" w:hRule="exact"/>
                <w:jc w:val="center"/>
              </w:trPr>
              <w:tc>
                <w:tcPr>
                  <w:tcW w:w="48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r>
                    <w:rPr>
                      <w:rFonts w:hint="eastAsia"/>
                      <w:lang w:val="en-US" w:eastAsia="zh-CN"/>
                    </w:rPr>
                    <w:t>碱液喷淋排气筒出口</w:t>
                  </w: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第一次</w:t>
                  </w:r>
                </w:p>
              </w:tc>
              <w:tc>
                <w:tcPr>
                  <w:tcW w:w="57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15</w:t>
                  </w:r>
                </w:p>
              </w:tc>
              <w:tc>
                <w:tcPr>
                  <w:tcW w:w="69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0.0706</w:t>
                  </w:r>
                </w:p>
              </w:tc>
              <w:tc>
                <w:tcPr>
                  <w:tcW w:w="46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eastAsia="zh-CN"/>
                    </w:rPr>
                  </w:pPr>
                  <w:r>
                    <w:rPr>
                      <w:rFonts w:hint="eastAsia"/>
                      <w:lang w:eastAsia="zh-CN"/>
                    </w:rPr>
                    <w:t>碱液喷淋</w:t>
                  </w: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38</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2.2</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硫酸雾</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8.17</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0.0466</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5699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8"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第二次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39</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2.5</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硫酸雾</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8.10</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0.0463</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5713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8"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第三次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40</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2.4</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硫酸雾</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7.90</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0.0456</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5773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8" w:hRule="exact"/>
                <w:jc w:val="center"/>
              </w:trPr>
              <w:tc>
                <w:tcPr>
                  <w:tcW w:w="2477"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去除率，%</w:t>
                  </w:r>
                </w:p>
              </w:tc>
              <w:tc>
                <w:tcPr>
                  <w:tcW w:w="1160"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eastAsia="zh-CN"/>
                    </w:rPr>
                    <w:t>第一次</w:t>
                  </w:r>
                </w:p>
              </w:tc>
              <w:tc>
                <w:tcPr>
                  <w:tcW w:w="130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89</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第二次</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88</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第三次</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1" w:hRule="exact"/>
                <w:jc w:val="center"/>
              </w:trPr>
              <w:tc>
                <w:tcPr>
                  <w:tcW w:w="48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default"/>
                      <w:lang w:val="en-US" w:eastAsia="zh-CN"/>
                    </w:rPr>
                  </w:pPr>
                  <w:r>
                    <w:rPr>
                      <w:rFonts w:hint="eastAsia"/>
                      <w:lang w:val="en-US" w:eastAsia="zh-CN"/>
                    </w:rPr>
                    <w:t>酸液喷淋塔排气筒进口</w:t>
                  </w:r>
                </w:p>
              </w:tc>
              <w:tc>
                <w:tcPr>
                  <w:tcW w:w="63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eastAsia="zh-CN"/>
                    </w:rPr>
                    <w:t>20</w:t>
                  </w:r>
                  <w:r>
                    <w:rPr>
                      <w:rFonts w:hint="eastAsia"/>
                      <w:lang w:val="en-US" w:eastAsia="zh-CN"/>
                    </w:rPr>
                    <w:t>21.07.14</w:t>
                  </w: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第一次</w:t>
                  </w:r>
                </w:p>
              </w:tc>
              <w:tc>
                <w:tcPr>
                  <w:tcW w:w="57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tc>
              <w:tc>
                <w:tcPr>
                  <w:tcW w:w="69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0.0706</w:t>
                  </w:r>
                </w:p>
              </w:tc>
              <w:tc>
                <w:tcPr>
                  <w:tcW w:w="46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eastAsia="zh-CN"/>
                    </w:rPr>
                  </w:pPr>
                  <w:r>
                    <w:rPr>
                      <w:rFonts w:hint="eastAsia"/>
                      <w:lang w:val="en-US" w:eastAsia="zh-CN"/>
                    </w:rPr>
                    <w:t>/</w:t>
                  </w: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35</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2.2</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氨</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15.8</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0.0292</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1851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7"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第二次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36</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2.4</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氨</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16.5</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0.0302</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第三次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36</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2.5</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氨</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17.0</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0.0316</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r>
                    <w:rPr>
                      <w:rFonts w:hint="eastAsia"/>
                      <w:lang w:val="en-US" w:eastAsia="zh-CN"/>
                    </w:rPr>
                    <w:t>酸液喷淋塔排气筒出口</w:t>
                  </w: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第一次</w:t>
                  </w:r>
                </w:p>
              </w:tc>
              <w:tc>
                <w:tcPr>
                  <w:tcW w:w="57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15</w:t>
                  </w: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p>
              </w:tc>
              <w:tc>
                <w:tcPr>
                  <w:tcW w:w="46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lang w:eastAsia="zh-CN"/>
                    </w:rPr>
                    <w:t>酸液喷淋</w:t>
                  </w: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38</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2.6</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氨</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2.80</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0.00523</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1867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第二次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39</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2.7</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氨</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2.88</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0.00532</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1846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第三次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39</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2.7</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氨</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2.95</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0.00553</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1876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2477"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去除率，%</w:t>
                  </w:r>
                </w:p>
              </w:tc>
              <w:tc>
                <w:tcPr>
                  <w:tcW w:w="1160"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eastAsia="zh-CN"/>
                    </w:rPr>
                    <w:t>第一次</w:t>
                  </w:r>
                </w:p>
              </w:tc>
              <w:tc>
                <w:tcPr>
                  <w:tcW w:w="130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82</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第二次</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82</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第三次</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9" w:hRule="exact"/>
                <w:jc w:val="center"/>
              </w:trPr>
              <w:tc>
                <w:tcPr>
                  <w:tcW w:w="48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r>
                    <w:rPr>
                      <w:rFonts w:hint="eastAsia"/>
                      <w:lang w:val="en-US" w:eastAsia="zh-CN"/>
                    </w:rPr>
                    <w:t>污水站排气筒进口</w:t>
                  </w:r>
                </w:p>
              </w:tc>
              <w:tc>
                <w:tcPr>
                  <w:tcW w:w="63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eastAsia="zh-CN"/>
                    </w:rPr>
                    <w:t>20</w:t>
                  </w:r>
                  <w:r>
                    <w:rPr>
                      <w:rFonts w:hint="eastAsia"/>
                      <w:lang w:val="en-US" w:eastAsia="zh-CN"/>
                    </w:rPr>
                    <w:t>21.07.14</w:t>
                  </w: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第一次</w:t>
                  </w:r>
                </w:p>
              </w:tc>
              <w:tc>
                <w:tcPr>
                  <w:tcW w:w="57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tc>
              <w:tc>
                <w:tcPr>
                  <w:tcW w:w="69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0.0706</w:t>
                  </w:r>
                </w:p>
              </w:tc>
              <w:tc>
                <w:tcPr>
                  <w:tcW w:w="46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w:t>
                  </w: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36</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2.2</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硫化氢</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6.52</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0.0272</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第二次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37</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2.3</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硫化氢</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6.31</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0.0264</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第三次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38</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2.6</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硫化氢</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7.96</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0.0332</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lang w:val="en-US" w:eastAsia="zh-CN"/>
                    </w:rPr>
                  </w:pPr>
                  <w:r>
                    <w:rPr>
                      <w:rFonts w:hint="eastAsia"/>
                      <w:lang w:val="en-US" w:eastAsia="zh-CN"/>
                    </w:rPr>
                    <w:t>污水站排气筒出口</w:t>
                  </w: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第一次</w:t>
                  </w:r>
                </w:p>
              </w:tc>
              <w:tc>
                <w:tcPr>
                  <w:tcW w:w="57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15</w:t>
                  </w: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eastAsia="zh-CN"/>
                    </w:rPr>
                  </w:pPr>
                  <w:r>
                    <w:rPr>
                      <w:rFonts w:hint="eastAsia"/>
                      <w:lang w:eastAsia="zh-CN"/>
                    </w:rPr>
                    <w:t>活性炭吸附</w:t>
                  </w: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41</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2.5</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硫化氢</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1.04</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0.00441</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第二次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42</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2.6</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硫化氢</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1.06</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0.00453</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第三次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42</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2.5</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硫化氢</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1.35</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0.00578</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2477"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去除率，%</w:t>
                  </w:r>
                </w:p>
              </w:tc>
              <w:tc>
                <w:tcPr>
                  <w:tcW w:w="1160"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eastAsia="zh-CN"/>
                    </w:rPr>
                  </w:pPr>
                  <w:r>
                    <w:rPr>
                      <w:rFonts w:hint="eastAsia"/>
                      <w:lang w:eastAsia="zh-CN"/>
                    </w:rPr>
                    <w:t>第一次</w:t>
                  </w:r>
                </w:p>
              </w:tc>
              <w:tc>
                <w:tcPr>
                  <w:tcW w:w="130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84</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第二次</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83</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第三次</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83</w:t>
                  </w:r>
                </w:p>
              </w:tc>
            </w:tr>
          </w:tbl>
          <w:p>
            <w:pPr>
              <w:pStyle w:val="2"/>
              <w:ind w:left="0" w:leftChars="0" w:firstLine="0" w:firstLineChars="0"/>
              <w:jc w:val="both"/>
              <w:rPr>
                <w:rFonts w:hint="default"/>
              </w:rPr>
            </w:pPr>
          </w:p>
          <w:p>
            <w:pPr>
              <w:pageBreakBefore w:val="0"/>
              <w:numPr>
                <w:ilvl w:val="0"/>
                <w:numId w:val="0"/>
              </w:numPr>
              <w:autoSpaceDE/>
              <w:autoSpaceDN/>
              <w:bidi w:val="0"/>
              <w:snapToGrid/>
              <w:spacing w:before="0" w:after="0" w:line="360" w:lineRule="auto"/>
              <w:ind w:right="0" w:firstLine="0"/>
              <w:jc w:val="center"/>
              <w:rPr>
                <w:rFonts w:hint="default"/>
              </w:rPr>
            </w:pPr>
            <w:r>
              <w:rPr>
                <w:rFonts w:hint="default"/>
              </w:rPr>
              <w:t>表7-</w:t>
            </w:r>
            <w:r>
              <w:rPr>
                <w:rFonts w:hint="eastAsia"/>
                <w:lang w:val="en-US" w:eastAsia="zh-CN"/>
              </w:rPr>
              <w:t>2-4有</w:t>
            </w:r>
            <w:r>
              <w:rPr>
                <w:rFonts w:hint="default"/>
              </w:rPr>
              <w:t>组织废气检测结果一览表</w:t>
            </w:r>
          </w:p>
          <w:tbl>
            <w:tblPr>
              <w:tblStyle w:val="38"/>
              <w:tblpPr w:leftFromText="180" w:rightFromText="180" w:vertAnchor="text" w:horzAnchor="page" w:tblpXSpec="center" w:tblpY="56"/>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57"/>
              <w:gridCol w:w="1124"/>
              <w:gridCol w:w="493"/>
              <w:gridCol w:w="473"/>
              <w:gridCol w:w="698"/>
              <w:gridCol w:w="349"/>
              <w:gridCol w:w="534"/>
              <w:gridCol w:w="685"/>
              <w:gridCol w:w="496"/>
              <w:gridCol w:w="1004"/>
              <w:gridCol w:w="1028"/>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2" w:hRule="atLeast"/>
                <w:tblHeader/>
                <w:jc w:val="center"/>
              </w:trPr>
              <w:tc>
                <w:tcPr>
                  <w:tcW w:w="48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lang w:val="en-US" w:eastAsia="zh-CN"/>
                    </w:rPr>
                    <w:t>检</w:t>
                  </w:r>
                  <w:r>
                    <w:rPr>
                      <w:rFonts w:hint="eastAsia"/>
                      <w:lang w:eastAsia="zh-CN"/>
                    </w:rPr>
                    <w:t>测</w:t>
                  </w:r>
                  <w:r>
                    <w:rPr>
                      <w:rFonts w:hint="eastAsia"/>
                    </w:rPr>
                    <w:t>点位</w:t>
                  </w:r>
                </w:p>
              </w:tc>
              <w:tc>
                <w:tcPr>
                  <w:tcW w:w="1415" w:type="dxa"/>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检测时间</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rPr>
                  </w:pPr>
                  <w:r>
                    <w:rPr>
                      <w:rFonts w:hint="eastAsia"/>
                    </w:rPr>
                    <w:t>频次</w:t>
                  </w:r>
                </w:p>
              </w:tc>
              <w:tc>
                <w:tcPr>
                  <w:tcW w:w="57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default"/>
                    </w:rPr>
                    <w:t>排气筒高度(m)</w:t>
                  </w:r>
                </w:p>
              </w:tc>
              <w:tc>
                <w:tcPr>
                  <w:tcW w:w="69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r>
                    <w:rPr>
                      <w:rFonts w:hint="default"/>
                    </w:rPr>
                    <w:t>测点截面积(m2)</w:t>
                  </w:r>
                </w:p>
              </w:tc>
              <w:tc>
                <w:tcPr>
                  <w:tcW w:w="46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净化方式</w:t>
                  </w:r>
                </w:p>
              </w:tc>
              <w:tc>
                <w:tcPr>
                  <w:tcW w:w="65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rPr>
                  </w:pPr>
                  <w:r>
                    <w:rPr>
                      <w:rFonts w:hint="default"/>
                    </w:rPr>
                    <w:t>烟温(℃)</w:t>
                  </w:r>
                </w:p>
              </w:tc>
              <w:tc>
                <w:tcPr>
                  <w:tcW w:w="64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eastAsia="zh-CN"/>
                    </w:rPr>
                  </w:pPr>
                  <w:r>
                    <w:rPr>
                      <w:rFonts w:hint="eastAsia"/>
                      <w:lang w:eastAsia="zh-CN"/>
                    </w:rPr>
                    <w:t>含湿量（</w:t>
                  </w:r>
                  <w:r>
                    <w:rPr>
                      <w:rFonts w:hint="eastAsia"/>
                      <w:lang w:val="en-US" w:eastAsia="zh-CN"/>
                    </w:rPr>
                    <w:t>%</w:t>
                  </w:r>
                  <w:r>
                    <w:rPr>
                      <w:rFonts w:hint="eastAsia"/>
                      <w:lang w:eastAsia="zh-CN"/>
                    </w:rPr>
                    <w:t>）</w:t>
                  </w:r>
                </w:p>
              </w:tc>
              <w:tc>
                <w:tcPr>
                  <w:tcW w:w="78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eastAsia="zh-CN"/>
                    </w:rPr>
                  </w:pPr>
                  <w:r>
                    <w:rPr>
                      <w:rFonts w:hint="eastAsia"/>
                      <w:lang w:eastAsia="zh-CN"/>
                    </w:rPr>
                    <w:t>检测</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eastAsia="zh-CN"/>
                    </w:rPr>
                  </w:pPr>
                  <w:r>
                    <w:rPr>
                      <w:rFonts w:hint="eastAsia"/>
                      <w:lang w:eastAsia="zh-CN"/>
                    </w:rPr>
                    <w:t>项目</w:t>
                  </w:r>
                </w:p>
              </w:tc>
              <w:tc>
                <w:tcPr>
                  <w:tcW w:w="3371"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rPr>
                  </w:pPr>
                  <w:r>
                    <w:rPr>
                      <w:rFonts w:hint="eastAsia"/>
                      <w:lang w:eastAsia="zh-CN"/>
                    </w:rPr>
                    <w:t>检</w:t>
                  </w:r>
                  <w:r>
                    <w:rPr>
                      <w:rFonts w:hint="eastAsia"/>
                    </w:rPr>
                    <w:t>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06" w:hRule="atLeast"/>
                <w:tblHeader/>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141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57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69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65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64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78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pPr>
                </w:p>
              </w:tc>
              <w:tc>
                <w:tcPr>
                  <w:tcW w:w="113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实测</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浓度</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eastAsia="zh-CN"/>
                    </w:rPr>
                  </w:pPr>
                  <w:r>
                    <w:rPr>
                      <w:rFonts w:hint="eastAsia"/>
                    </w:rPr>
                    <w:t>(mg/m3)</w:t>
                  </w:r>
                </w:p>
              </w:tc>
              <w:tc>
                <w:tcPr>
                  <w:tcW w:w="1170" w:type="dxa"/>
                  <w:tcBorders>
                    <w:tl2br w:val="nil"/>
                    <w:tr2bl w:val="nil"/>
                  </w:tcBorders>
                  <w:noWrap w:val="0"/>
                  <w:vAlign w:val="center"/>
                </w:tcPr>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排放</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速率</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（kg/h）</w:t>
                  </w:r>
                </w:p>
              </w:tc>
              <w:tc>
                <w:tcPr>
                  <w:tcW w:w="1068" w:type="dxa"/>
                  <w:tcBorders>
                    <w:tl2br w:val="nil"/>
                    <w:tr2bl w:val="nil"/>
                  </w:tcBorders>
                  <w:noWrap w:val="0"/>
                  <w:vAlign w:val="center"/>
                </w:tcPr>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标杆</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流量</w:t>
                  </w:r>
                </w:p>
                <w:p>
                  <w:pPr>
                    <w:keepNext w:val="0"/>
                    <w:keepLines w:val="0"/>
                    <w:pageBreakBefore w:val="0"/>
                    <w:tabs>
                      <w:tab w:val="left" w:pos="780"/>
                      <w:tab w:val="center" w:pos="4615"/>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r>
                    <w:rPr>
                      <w:rFonts w:hint="eastAsia"/>
                    </w:rPr>
                    <w:t>（m3/h）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r>
                    <w:rPr>
                      <w:rFonts w:hint="eastAsia"/>
                      <w:lang w:val="en-US" w:eastAsia="zh-CN"/>
                    </w:rPr>
                    <w:t>污水站排气筒进口</w:t>
                  </w:r>
                </w:p>
              </w:tc>
              <w:tc>
                <w:tcPr>
                  <w:tcW w:w="63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eastAsia="zh-CN"/>
                    </w:rPr>
                    <w:t>20</w:t>
                  </w:r>
                  <w:r>
                    <w:rPr>
                      <w:rFonts w:hint="eastAsia"/>
                      <w:lang w:val="en-US" w:eastAsia="zh-CN"/>
                    </w:rPr>
                    <w:t>21.07.14</w:t>
                  </w: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第一次</w:t>
                  </w:r>
                </w:p>
              </w:tc>
              <w:tc>
                <w:tcPr>
                  <w:tcW w:w="57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tc>
              <w:tc>
                <w:tcPr>
                  <w:tcW w:w="69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0.0706</w:t>
                  </w:r>
                </w:p>
              </w:tc>
              <w:tc>
                <w:tcPr>
                  <w:tcW w:w="46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w:t>
                  </w: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36</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2.2</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氨</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17.6</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0.0733</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第二次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37</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2.3</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氨</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18.6</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0.0778</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第三次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38</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2.6</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氨</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19.2</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0.0801</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lang w:val="en-US" w:eastAsia="zh-CN"/>
                    </w:rPr>
                  </w:pPr>
                  <w:r>
                    <w:rPr>
                      <w:rFonts w:hint="eastAsia"/>
                      <w:lang w:val="en-US" w:eastAsia="zh-CN"/>
                    </w:rPr>
                    <w:t>污水站排气筒出口</w:t>
                  </w: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第一次</w:t>
                  </w:r>
                </w:p>
              </w:tc>
              <w:tc>
                <w:tcPr>
                  <w:tcW w:w="57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15</w:t>
                  </w: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eastAsia="zh-CN"/>
                    </w:rPr>
                  </w:pPr>
                  <w:r>
                    <w:rPr>
                      <w:rFonts w:hint="eastAsia"/>
                      <w:lang w:eastAsia="zh-CN"/>
                    </w:rPr>
                    <w:t>活性炭吸附</w:t>
                  </w: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41</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2.5</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氨</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3.01</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0.0128</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第二次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42</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2.6</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氨</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3.10</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0.0133</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第三次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42</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2.5</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氨</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3.17</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0.0136</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4284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1" w:hRule="exact"/>
                <w:jc w:val="center"/>
              </w:trPr>
              <w:tc>
                <w:tcPr>
                  <w:tcW w:w="2477"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去除率，%</w:t>
                  </w:r>
                </w:p>
              </w:tc>
              <w:tc>
                <w:tcPr>
                  <w:tcW w:w="1160"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eastAsia="zh-CN"/>
                    </w:rPr>
                    <w:t>第一次</w:t>
                  </w:r>
                </w:p>
              </w:tc>
              <w:tc>
                <w:tcPr>
                  <w:tcW w:w="130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lang w:val="en-US" w:eastAsia="zh-CN"/>
                    </w:rPr>
                  </w:pPr>
                  <w:r>
                    <w:rPr>
                      <w:rFonts w:hint="eastAsia"/>
                      <w:lang w:val="en-US" w:eastAsia="zh-CN"/>
                    </w:rPr>
                    <w:t>83</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第二次</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83</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第三次</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67" w:hRule="exact"/>
                <w:jc w:val="center"/>
              </w:trPr>
              <w:tc>
                <w:tcPr>
                  <w:tcW w:w="48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lang w:val="en-US" w:eastAsia="zh-CN"/>
                    </w:rPr>
                  </w:pPr>
                  <w:r>
                    <w:rPr>
                      <w:rFonts w:hint="eastAsia"/>
                      <w:lang w:val="en-US" w:eastAsia="zh-CN"/>
                    </w:rPr>
                    <w:t>污水站排气筒进口</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eastAsia="zh-CN"/>
                    </w:rPr>
                    <w:t>20</w:t>
                  </w:r>
                  <w:r>
                    <w:rPr>
                      <w:rFonts w:hint="eastAsia"/>
                      <w:lang w:val="en-US" w:eastAsia="zh-CN"/>
                    </w:rPr>
                    <w:t>21.07.14</w:t>
                  </w: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第一次</w:t>
                  </w:r>
                </w:p>
              </w:tc>
              <w:tc>
                <w:tcPr>
                  <w:tcW w:w="57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0.0706</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36</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2.2</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臭气</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浓度</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4120</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（无量纲）</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4167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46"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第二次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37</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2.3</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臭气</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浓度</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2344</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（无量纲）</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4181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80"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第三次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38</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2.6</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臭气</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浓度</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3090</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（无量纲）</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4171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85" w:hRule="exact"/>
                <w:jc w:val="center"/>
              </w:trPr>
              <w:tc>
                <w:tcPr>
                  <w:tcW w:w="48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lang w:val="en-US" w:eastAsia="zh-CN"/>
                    </w:rPr>
                  </w:pPr>
                  <w:r>
                    <w:rPr>
                      <w:rFonts w:hint="eastAsia"/>
                      <w:lang w:val="en-US" w:eastAsia="zh-CN"/>
                    </w:rPr>
                    <w:t>污水站排气筒出口</w:t>
                  </w: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第一次</w:t>
                  </w:r>
                </w:p>
              </w:tc>
              <w:tc>
                <w:tcPr>
                  <w:tcW w:w="57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15</w:t>
                  </w: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eastAsia="zh-CN"/>
                    </w:rPr>
                    <w:t>活性炭吸附</w:t>
                  </w: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41</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2.5</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臭气</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浓度</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741</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（无量纲）</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4241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6"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第二次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42</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2.6</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臭气</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浓度</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412</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（无量纲）</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4276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31" w:hRule="exact"/>
                <w:jc w:val="center"/>
              </w:trPr>
              <w:tc>
                <w:tcPr>
                  <w:tcW w:w="48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both"/>
                    <w:outlineLvl w:val="9"/>
                    <w:rPr>
                      <w:rFonts w:hint="eastAsia"/>
                    </w:rPr>
                  </w:pPr>
                </w:p>
              </w:tc>
              <w:tc>
                <w:tcPr>
                  <w:tcW w:w="63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第三次</w:t>
                  </w:r>
                </w:p>
              </w:tc>
              <w:tc>
                <w:tcPr>
                  <w:tcW w:w="5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6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p>
              </w:tc>
              <w:tc>
                <w:tcPr>
                  <w:tcW w:w="46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rPr>
                  </w:pPr>
                </w:p>
              </w:tc>
              <w:tc>
                <w:tcPr>
                  <w:tcW w:w="6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42</w:t>
                  </w:r>
                </w:p>
              </w:tc>
              <w:tc>
                <w:tcPr>
                  <w:tcW w:w="6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lang w:val="en-US" w:eastAsia="zh-CN"/>
                    </w:rPr>
                  </w:pPr>
                  <w:r>
                    <w:rPr>
                      <w:rFonts w:hint="eastAsia"/>
                      <w:lang w:val="en-US" w:eastAsia="zh-CN"/>
                    </w:rPr>
                    <w:t>2.5</w:t>
                  </w:r>
                </w:p>
              </w:tc>
              <w:tc>
                <w:tcPr>
                  <w:tcW w:w="7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臭气</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浓度</w:t>
                  </w:r>
                </w:p>
              </w:tc>
              <w:tc>
                <w:tcPr>
                  <w:tcW w:w="113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lang w:val="en-US" w:eastAsia="zh-CN"/>
                    </w:rPr>
                  </w:pPr>
                  <w:r>
                    <w:rPr>
                      <w:rFonts w:hint="eastAsia"/>
                      <w:lang w:val="en-US" w:eastAsia="zh-CN"/>
                    </w:rPr>
                    <w:t>549</w:t>
                  </w:r>
                </w:p>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default"/>
                      <w:lang w:val="en-US" w:eastAsia="zh-CN"/>
                    </w:rPr>
                  </w:pPr>
                  <w:r>
                    <w:rPr>
                      <w:rFonts w:hint="eastAsia"/>
                      <w:lang w:val="en-US" w:eastAsia="zh-CN"/>
                    </w:rPr>
                    <w:t>（无量纲）</w:t>
                  </w:r>
                </w:p>
              </w:tc>
              <w:tc>
                <w:tcPr>
                  <w:tcW w:w="11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lang w:val="en-US" w:eastAsia="zh-CN"/>
                    </w:rPr>
                  </w:pPr>
                  <w:r>
                    <w:rPr>
                      <w:rFonts w:hint="eastAsia"/>
                      <w:lang w:val="en-US" w:eastAsia="zh-CN"/>
                    </w:rPr>
                    <w:t>/</w:t>
                  </w:r>
                </w:p>
              </w:tc>
              <w:tc>
                <w:tcPr>
                  <w:tcW w:w="10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lang w:val="en-US" w:eastAsia="zh-CN"/>
                    </w:rPr>
                  </w:pPr>
                  <w:r>
                    <w:rPr>
                      <w:rFonts w:hint="eastAsia"/>
                      <w:lang w:val="en-US" w:eastAsia="zh-CN"/>
                    </w:rPr>
                    <w:t>4284</w:t>
                  </w:r>
                </w:p>
              </w:tc>
            </w:tr>
          </w:tbl>
          <w:p>
            <w:pPr>
              <w:pStyle w:val="2"/>
              <w:ind w:left="0" w:leftChars="0" w:firstLine="0" w:firstLineChars="0"/>
              <w:jc w:val="both"/>
              <w:rPr>
                <w:rFonts w:hint="default"/>
              </w:rPr>
            </w:pPr>
          </w:p>
          <w:p>
            <w:pPr>
              <w:pStyle w:val="2"/>
              <w:ind w:left="0" w:leftChars="0" w:firstLine="0" w:firstLineChars="0"/>
              <w:jc w:val="both"/>
              <w:rPr>
                <w:rFonts w:hint="default"/>
              </w:rPr>
            </w:pPr>
          </w:p>
          <w:p>
            <w:pPr>
              <w:numPr>
                <w:ilvl w:val="0"/>
                <w:numId w:val="0"/>
              </w:numPr>
              <w:autoSpaceDE/>
              <w:autoSpaceDN/>
              <w:snapToGrid w:val="0"/>
              <w:spacing w:before="0" w:after="120" w:line="400" w:lineRule="exact"/>
              <w:ind w:right="0" w:firstLine="0"/>
              <w:jc w:val="center"/>
              <w:rPr>
                <w:rFonts w:hint="default"/>
              </w:rPr>
            </w:pPr>
            <w:r>
              <w:rPr>
                <w:rFonts w:hint="default"/>
              </w:rPr>
              <w:t>表7-</w:t>
            </w:r>
            <w:r>
              <w:rPr>
                <w:rFonts w:hint="eastAsia"/>
                <w:lang w:val="en-US" w:eastAsia="zh-CN"/>
              </w:rPr>
              <w:t>3-1</w:t>
            </w:r>
            <w:r>
              <w:rPr>
                <w:rFonts w:hint="default"/>
              </w:rPr>
              <w:t>气象条件参数</w:t>
            </w:r>
          </w:p>
          <w:p>
            <w:pPr>
              <w:pStyle w:val="2"/>
              <w:ind w:left="0" w:leftChars="0" w:firstLine="0" w:firstLineChars="0"/>
              <w:jc w:val="both"/>
              <w:rPr>
                <w:rFonts w:hint="eastAsia"/>
                <w:lang w:eastAsia="zh-CN"/>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7"/>
              <w:gridCol w:w="1190"/>
              <w:gridCol w:w="1117"/>
              <w:gridCol w:w="1196"/>
              <w:gridCol w:w="1090"/>
              <w:gridCol w:w="995"/>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jc w:val="center"/>
              </w:trPr>
              <w:tc>
                <w:tcPr>
                  <w:tcW w:w="3099" w:type="dxa"/>
                  <w:gridSpan w:val="2"/>
                  <w:tcBorders>
                    <w:tl2br w:val="single" w:color="auto" w:sz="4" w:space="0"/>
                  </w:tcBorders>
                  <w:noWrap w:val="0"/>
                  <w:vAlign w:val="center"/>
                </w:tcPr>
                <w:p>
                  <w:pPr>
                    <w:pStyle w:val="131"/>
                    <w:jc w:val="right"/>
                    <w:rPr>
                      <w:rFonts w:hint="default"/>
                    </w:rPr>
                  </w:pPr>
                  <w:r>
                    <w:rPr>
                      <w:rFonts w:hint="default"/>
                    </w:rPr>
                    <w:t>气象条件</w:t>
                  </w:r>
                </w:p>
                <w:p>
                  <w:pPr>
                    <w:pStyle w:val="131"/>
                    <w:jc w:val="both"/>
                    <w:rPr>
                      <w:rFonts w:hint="default"/>
                    </w:rPr>
                  </w:pPr>
                  <w:r>
                    <w:rPr>
                      <w:rFonts w:hint="default"/>
                    </w:rPr>
                    <w:t>日期、时间</w:t>
                  </w:r>
                </w:p>
              </w:tc>
              <w:tc>
                <w:tcPr>
                  <w:tcW w:w="1136" w:type="dxa"/>
                  <w:noWrap w:val="0"/>
                  <w:vAlign w:val="center"/>
                </w:tcPr>
                <w:p>
                  <w:pPr>
                    <w:pStyle w:val="131"/>
                    <w:rPr>
                      <w:rFonts w:hint="default"/>
                    </w:rPr>
                  </w:pPr>
                  <w:r>
                    <w:rPr>
                      <w:rFonts w:hint="default"/>
                    </w:rPr>
                    <w:t>气温</w:t>
                  </w:r>
                </w:p>
                <w:p>
                  <w:pPr>
                    <w:pStyle w:val="131"/>
                    <w:rPr>
                      <w:rFonts w:hint="default"/>
                    </w:rPr>
                  </w:pPr>
                  <w:r>
                    <w:rPr>
                      <w:rFonts w:hint="default"/>
                    </w:rPr>
                    <w:t>(℃)</w:t>
                  </w:r>
                </w:p>
              </w:tc>
              <w:tc>
                <w:tcPr>
                  <w:tcW w:w="1255" w:type="dxa"/>
                  <w:noWrap w:val="0"/>
                  <w:vAlign w:val="center"/>
                </w:tcPr>
                <w:p>
                  <w:pPr>
                    <w:pStyle w:val="131"/>
                    <w:rPr>
                      <w:rFonts w:hint="default"/>
                    </w:rPr>
                  </w:pPr>
                  <w:r>
                    <w:rPr>
                      <w:rFonts w:hint="default"/>
                    </w:rPr>
                    <w:t>气压</w:t>
                  </w:r>
                </w:p>
                <w:p>
                  <w:pPr>
                    <w:pStyle w:val="131"/>
                    <w:rPr>
                      <w:rFonts w:hint="default"/>
                    </w:rPr>
                  </w:pPr>
                  <w:r>
                    <w:rPr>
                      <w:rFonts w:hint="default"/>
                    </w:rPr>
                    <w:t>(kPa)</w:t>
                  </w:r>
                </w:p>
              </w:tc>
              <w:tc>
                <w:tcPr>
                  <w:tcW w:w="1163" w:type="dxa"/>
                  <w:noWrap w:val="0"/>
                  <w:vAlign w:val="center"/>
                </w:tcPr>
                <w:p>
                  <w:pPr>
                    <w:pStyle w:val="131"/>
                    <w:rPr>
                      <w:rFonts w:hint="default"/>
                    </w:rPr>
                  </w:pPr>
                  <w:r>
                    <w:rPr>
                      <w:rFonts w:hint="default"/>
                    </w:rPr>
                    <w:t>风速</w:t>
                  </w:r>
                </w:p>
                <w:p>
                  <w:pPr>
                    <w:pStyle w:val="131"/>
                    <w:rPr>
                      <w:rFonts w:hint="default"/>
                    </w:rPr>
                  </w:pPr>
                  <w:r>
                    <w:rPr>
                      <w:rFonts w:hint="default"/>
                    </w:rPr>
                    <w:t>(m/s)</w:t>
                  </w:r>
                </w:p>
              </w:tc>
              <w:tc>
                <w:tcPr>
                  <w:tcW w:w="1013" w:type="dxa"/>
                  <w:noWrap w:val="0"/>
                  <w:vAlign w:val="center"/>
                </w:tcPr>
                <w:p>
                  <w:pPr>
                    <w:pStyle w:val="131"/>
                    <w:rPr>
                      <w:rFonts w:hint="default"/>
                    </w:rPr>
                  </w:pPr>
                  <w:r>
                    <w:rPr>
                      <w:rFonts w:hint="default"/>
                    </w:rPr>
                    <w:t>风向</w:t>
                  </w:r>
                </w:p>
              </w:tc>
              <w:tc>
                <w:tcPr>
                  <w:tcW w:w="1172" w:type="dxa"/>
                  <w:noWrap w:val="0"/>
                  <w:vAlign w:val="center"/>
                </w:tcPr>
                <w:p>
                  <w:pPr>
                    <w:pStyle w:val="131"/>
                    <w:rPr>
                      <w:rFonts w:hint="default"/>
                    </w:rPr>
                  </w:pPr>
                  <w:r>
                    <w:rPr>
                      <w:rFonts w:hint="default"/>
                    </w:rPr>
                    <w:t>天气情况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1662" w:type="dxa"/>
                  <w:vMerge w:val="restart"/>
                  <w:noWrap w:val="0"/>
                  <w:vAlign w:val="center"/>
                </w:tcPr>
                <w:p>
                  <w:pPr>
                    <w:jc w:val="center"/>
                    <w:rPr>
                      <w:rFonts w:hint="default"/>
                      <w:lang w:val="en-US" w:eastAsia="zh-CN"/>
                    </w:rPr>
                  </w:pPr>
                </w:p>
                <w:p>
                  <w:pPr>
                    <w:jc w:val="center"/>
                    <w:rPr>
                      <w:rFonts w:hint="default"/>
                      <w:lang w:val="en-US" w:eastAsia="zh-CN"/>
                    </w:rPr>
                  </w:pPr>
                  <w:r>
                    <w:rPr>
                      <w:rFonts w:hint="default"/>
                      <w:lang w:val="en-US" w:eastAsia="zh-CN"/>
                    </w:rPr>
                    <w:t>202</w:t>
                  </w:r>
                  <w:r>
                    <w:rPr>
                      <w:rFonts w:hint="eastAsia"/>
                      <w:lang w:val="en-US" w:eastAsia="zh-CN"/>
                    </w:rPr>
                    <w:t>1</w:t>
                  </w:r>
                  <w:r>
                    <w:rPr>
                      <w:rFonts w:hint="default"/>
                      <w:lang w:val="en-US" w:eastAsia="zh-CN"/>
                    </w:rPr>
                    <w:t>.</w:t>
                  </w:r>
                  <w:r>
                    <w:rPr>
                      <w:rFonts w:hint="eastAsia"/>
                      <w:lang w:val="en-US" w:eastAsia="zh-CN"/>
                    </w:rPr>
                    <w:t>07.13</w:t>
                  </w:r>
                </w:p>
              </w:tc>
              <w:tc>
                <w:tcPr>
                  <w:tcW w:w="1437" w:type="dxa"/>
                  <w:noWrap w:val="0"/>
                  <w:vAlign w:val="center"/>
                </w:tcPr>
                <w:p>
                  <w:pPr>
                    <w:pStyle w:val="131"/>
                    <w:rPr>
                      <w:rFonts w:hint="default"/>
                      <w:lang w:val="en-US" w:eastAsia="zh-CN"/>
                    </w:rPr>
                  </w:pPr>
                  <w:r>
                    <w:rPr>
                      <w:rFonts w:hint="eastAsia"/>
                      <w:lang w:val="en-US" w:eastAsia="zh-CN"/>
                    </w:rPr>
                    <w:t>11:22</w:t>
                  </w:r>
                </w:p>
              </w:tc>
              <w:tc>
                <w:tcPr>
                  <w:tcW w:w="1136" w:type="dxa"/>
                  <w:noWrap w:val="0"/>
                  <w:vAlign w:val="center"/>
                </w:tcPr>
                <w:p>
                  <w:pPr>
                    <w:pStyle w:val="140"/>
                    <w:autoSpaceDE w:val="0"/>
                    <w:autoSpaceDN w:val="0"/>
                    <w:spacing w:before="10" w:after="0" w:line="240" w:lineRule="auto"/>
                    <w:ind w:left="241" w:right="181"/>
                    <w:jc w:val="center"/>
                    <w:rPr>
                      <w:rFonts w:hint="default"/>
                      <w:lang w:val="en-US" w:eastAsia="zh-CN"/>
                    </w:rPr>
                  </w:pPr>
                  <w:r>
                    <w:rPr>
                      <w:rFonts w:hint="eastAsia"/>
                      <w:lang w:val="en-US" w:eastAsia="zh-CN"/>
                    </w:rPr>
                    <w:t>33.1</w:t>
                  </w:r>
                </w:p>
              </w:tc>
              <w:tc>
                <w:tcPr>
                  <w:tcW w:w="1255" w:type="dxa"/>
                  <w:noWrap w:val="0"/>
                  <w:vAlign w:val="center"/>
                </w:tcPr>
                <w:p>
                  <w:pPr>
                    <w:pStyle w:val="140"/>
                    <w:autoSpaceDE w:val="0"/>
                    <w:autoSpaceDN w:val="0"/>
                    <w:spacing w:before="10" w:after="0" w:line="240" w:lineRule="auto"/>
                    <w:ind w:left="241" w:right="181"/>
                    <w:jc w:val="center"/>
                    <w:rPr>
                      <w:rFonts w:hint="default"/>
                      <w:lang w:val="en-US" w:eastAsia="zh-CN"/>
                    </w:rPr>
                  </w:pPr>
                  <w:r>
                    <w:rPr>
                      <w:rFonts w:hint="eastAsia"/>
                      <w:lang w:val="en-US" w:eastAsia="zh-CN"/>
                    </w:rPr>
                    <w:t>99.8</w:t>
                  </w:r>
                </w:p>
              </w:tc>
              <w:tc>
                <w:tcPr>
                  <w:tcW w:w="1163" w:type="dxa"/>
                  <w:noWrap w:val="0"/>
                  <w:vAlign w:val="center"/>
                </w:tcPr>
                <w:p>
                  <w:pPr>
                    <w:autoSpaceDE w:val="0"/>
                    <w:autoSpaceDN w:val="0"/>
                    <w:spacing w:before="10" w:after="0" w:line="240" w:lineRule="auto"/>
                    <w:ind w:left="241" w:right="181"/>
                    <w:jc w:val="center"/>
                    <w:rPr>
                      <w:rFonts w:hint="default"/>
                      <w:lang w:val="en-US" w:eastAsia="zh-CN"/>
                    </w:rPr>
                  </w:pPr>
                  <w:r>
                    <w:rPr>
                      <w:rFonts w:hint="eastAsia"/>
                      <w:lang w:val="en-US" w:eastAsia="zh-CN"/>
                    </w:rPr>
                    <w:t>3.3</w:t>
                  </w:r>
                </w:p>
              </w:tc>
              <w:tc>
                <w:tcPr>
                  <w:tcW w:w="1013" w:type="dxa"/>
                  <w:noWrap w:val="0"/>
                  <w:vAlign w:val="center"/>
                </w:tcPr>
                <w:p>
                  <w:pPr>
                    <w:autoSpaceDE w:val="0"/>
                    <w:autoSpaceDN w:val="0"/>
                    <w:spacing w:before="10" w:after="0" w:line="240" w:lineRule="auto"/>
                    <w:ind w:left="241" w:leftChars="0" w:right="181" w:rightChars="0"/>
                    <w:jc w:val="center"/>
                    <w:rPr>
                      <w:rFonts w:hint="default"/>
                      <w:lang w:val="en-US" w:eastAsia="zh-CN"/>
                    </w:rPr>
                  </w:pPr>
                  <w:r>
                    <w:rPr>
                      <w:rFonts w:hint="eastAsia"/>
                      <w:lang w:val="en-US" w:eastAsia="zh-CN"/>
                    </w:rPr>
                    <w:t>WS</w:t>
                  </w:r>
                </w:p>
              </w:tc>
              <w:tc>
                <w:tcPr>
                  <w:tcW w:w="1172" w:type="dxa"/>
                  <w:vMerge w:val="restart"/>
                  <w:noWrap w:val="0"/>
                  <w:vAlign w:val="center"/>
                </w:tcPr>
                <w:p>
                  <w:pPr>
                    <w:pStyle w:val="140"/>
                    <w:autoSpaceDE w:val="0"/>
                    <w:autoSpaceDN w:val="0"/>
                    <w:spacing w:before="10" w:after="0" w:line="240" w:lineRule="auto"/>
                    <w:ind w:left="241" w:right="181"/>
                    <w:jc w:val="center"/>
                    <w:rPr>
                      <w:rFonts w:hint="default"/>
                      <w:lang w:val="en-US" w:eastAsia="zh-CN"/>
                    </w:rPr>
                  </w:pPr>
                  <w:r>
                    <w:rPr>
                      <w:rFonts w:hint="eastAsia"/>
                      <w:lang w:val="en-US" w:eastAsia="zh-CN"/>
                    </w:rPr>
                    <w:t xml:space="preserve">多云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1662" w:type="dxa"/>
                  <w:vMerge w:val="continue"/>
                  <w:noWrap w:val="0"/>
                  <w:vAlign w:val="center"/>
                </w:tcPr>
                <w:p>
                  <w:pPr>
                    <w:pStyle w:val="140"/>
                    <w:autoSpaceDE w:val="0"/>
                    <w:autoSpaceDN w:val="0"/>
                    <w:spacing w:before="10" w:after="0" w:line="240" w:lineRule="auto"/>
                    <w:ind w:right="181"/>
                    <w:jc w:val="center"/>
                    <w:rPr>
                      <w:rFonts w:hint="default"/>
                      <w:lang w:val="en-US" w:eastAsia="zh-CN"/>
                    </w:rPr>
                  </w:pPr>
                </w:p>
              </w:tc>
              <w:tc>
                <w:tcPr>
                  <w:tcW w:w="1437" w:type="dxa"/>
                  <w:noWrap w:val="0"/>
                  <w:vAlign w:val="center"/>
                </w:tcPr>
                <w:p>
                  <w:pPr>
                    <w:pStyle w:val="131"/>
                    <w:rPr>
                      <w:rFonts w:hint="default"/>
                      <w:lang w:val="en-US" w:eastAsia="zh-CN"/>
                    </w:rPr>
                  </w:pPr>
                  <w:r>
                    <w:rPr>
                      <w:rFonts w:hint="eastAsia"/>
                      <w:lang w:val="en-US" w:eastAsia="zh-CN"/>
                    </w:rPr>
                    <w:t>13:37</w:t>
                  </w:r>
                </w:p>
              </w:tc>
              <w:tc>
                <w:tcPr>
                  <w:tcW w:w="1136" w:type="dxa"/>
                  <w:noWrap w:val="0"/>
                  <w:vAlign w:val="center"/>
                </w:tcPr>
                <w:p>
                  <w:pPr>
                    <w:pStyle w:val="140"/>
                    <w:autoSpaceDE w:val="0"/>
                    <w:autoSpaceDN w:val="0"/>
                    <w:spacing w:before="10" w:after="0" w:line="240" w:lineRule="auto"/>
                    <w:ind w:left="241" w:right="181"/>
                    <w:jc w:val="center"/>
                    <w:rPr>
                      <w:rFonts w:hint="default"/>
                      <w:lang w:val="en-US" w:eastAsia="zh-CN"/>
                    </w:rPr>
                  </w:pPr>
                  <w:r>
                    <w:rPr>
                      <w:rFonts w:hint="eastAsia"/>
                      <w:lang w:val="en-US" w:eastAsia="zh-CN"/>
                    </w:rPr>
                    <w:t>34.5</w:t>
                  </w:r>
                </w:p>
              </w:tc>
              <w:tc>
                <w:tcPr>
                  <w:tcW w:w="1255" w:type="dxa"/>
                  <w:noWrap w:val="0"/>
                  <w:vAlign w:val="center"/>
                </w:tcPr>
                <w:p>
                  <w:pPr>
                    <w:pStyle w:val="140"/>
                    <w:autoSpaceDE w:val="0"/>
                    <w:autoSpaceDN w:val="0"/>
                    <w:spacing w:before="10" w:after="0" w:line="240" w:lineRule="auto"/>
                    <w:ind w:left="241" w:right="181"/>
                    <w:jc w:val="center"/>
                    <w:rPr>
                      <w:rFonts w:hint="default"/>
                      <w:lang w:val="en-US" w:eastAsia="zh-CN"/>
                    </w:rPr>
                  </w:pPr>
                  <w:r>
                    <w:rPr>
                      <w:rFonts w:hint="eastAsia"/>
                      <w:lang w:val="en-US" w:eastAsia="zh-CN"/>
                    </w:rPr>
                    <w:t>99.6</w:t>
                  </w:r>
                </w:p>
              </w:tc>
              <w:tc>
                <w:tcPr>
                  <w:tcW w:w="1163" w:type="dxa"/>
                  <w:noWrap w:val="0"/>
                  <w:vAlign w:val="center"/>
                </w:tcPr>
                <w:p>
                  <w:pPr>
                    <w:autoSpaceDE w:val="0"/>
                    <w:autoSpaceDN w:val="0"/>
                    <w:spacing w:before="10" w:after="0" w:line="240" w:lineRule="auto"/>
                    <w:ind w:left="241" w:right="181"/>
                    <w:jc w:val="center"/>
                    <w:rPr>
                      <w:rFonts w:hint="default"/>
                      <w:lang w:val="en-US" w:eastAsia="zh-CN"/>
                    </w:rPr>
                  </w:pPr>
                  <w:r>
                    <w:rPr>
                      <w:rFonts w:hint="eastAsia"/>
                      <w:lang w:val="en-US" w:eastAsia="zh-CN"/>
                    </w:rPr>
                    <w:t>3.2</w:t>
                  </w:r>
                </w:p>
              </w:tc>
              <w:tc>
                <w:tcPr>
                  <w:tcW w:w="1013" w:type="dxa"/>
                  <w:noWrap w:val="0"/>
                  <w:vAlign w:val="center"/>
                </w:tcPr>
                <w:p>
                  <w:pPr>
                    <w:autoSpaceDE w:val="0"/>
                    <w:autoSpaceDN w:val="0"/>
                    <w:spacing w:before="10" w:after="0" w:line="240" w:lineRule="auto"/>
                    <w:ind w:left="241" w:leftChars="0" w:right="181" w:rightChars="0"/>
                    <w:jc w:val="center"/>
                    <w:rPr>
                      <w:rFonts w:hint="default"/>
                      <w:lang w:val="en-US" w:eastAsia="zh-CN"/>
                    </w:rPr>
                  </w:pPr>
                  <w:r>
                    <w:rPr>
                      <w:rFonts w:hint="eastAsia"/>
                      <w:lang w:val="en-US" w:eastAsia="zh-CN"/>
                    </w:rPr>
                    <w:t>WS</w:t>
                  </w:r>
                </w:p>
              </w:tc>
              <w:tc>
                <w:tcPr>
                  <w:tcW w:w="1172" w:type="dxa"/>
                  <w:vMerge w:val="continue"/>
                  <w:noWrap w:val="0"/>
                  <w:vAlign w:val="center"/>
                </w:tcPr>
                <w:p>
                  <w:pPr>
                    <w:autoSpaceDE w:val="0"/>
                    <w:autoSpaceDN w:val="0"/>
                    <w:spacing w:before="10" w:after="0" w:line="240" w:lineRule="auto"/>
                    <w:ind w:left="241" w:right="181"/>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1662" w:type="dxa"/>
                  <w:vMerge w:val="continue"/>
                  <w:noWrap w:val="0"/>
                  <w:vAlign w:val="center"/>
                </w:tcPr>
                <w:p>
                  <w:pPr>
                    <w:pStyle w:val="140"/>
                    <w:autoSpaceDE w:val="0"/>
                    <w:autoSpaceDN w:val="0"/>
                    <w:spacing w:before="10" w:after="0" w:line="240" w:lineRule="auto"/>
                    <w:ind w:right="181"/>
                    <w:jc w:val="center"/>
                    <w:rPr>
                      <w:rFonts w:hint="default"/>
                      <w:lang w:val="en-US" w:eastAsia="zh-CN"/>
                    </w:rPr>
                  </w:pPr>
                </w:p>
              </w:tc>
              <w:tc>
                <w:tcPr>
                  <w:tcW w:w="1437" w:type="dxa"/>
                  <w:noWrap w:val="0"/>
                  <w:vAlign w:val="center"/>
                </w:tcPr>
                <w:p>
                  <w:pPr>
                    <w:pStyle w:val="131"/>
                    <w:rPr>
                      <w:rFonts w:hint="default"/>
                      <w:lang w:val="en-US" w:eastAsia="zh-CN"/>
                    </w:rPr>
                  </w:pPr>
                  <w:r>
                    <w:rPr>
                      <w:rFonts w:hint="eastAsia"/>
                      <w:lang w:val="en-US" w:eastAsia="zh-CN"/>
                    </w:rPr>
                    <w:t>15:28</w:t>
                  </w:r>
                </w:p>
              </w:tc>
              <w:tc>
                <w:tcPr>
                  <w:tcW w:w="1136" w:type="dxa"/>
                  <w:noWrap w:val="0"/>
                  <w:vAlign w:val="center"/>
                </w:tcPr>
                <w:p>
                  <w:pPr>
                    <w:pStyle w:val="140"/>
                    <w:autoSpaceDE w:val="0"/>
                    <w:autoSpaceDN w:val="0"/>
                    <w:spacing w:before="10" w:after="0" w:line="240" w:lineRule="auto"/>
                    <w:ind w:left="241" w:right="181"/>
                    <w:jc w:val="center"/>
                    <w:rPr>
                      <w:rFonts w:hint="default"/>
                      <w:lang w:val="en-US" w:eastAsia="zh-CN"/>
                    </w:rPr>
                  </w:pPr>
                  <w:r>
                    <w:rPr>
                      <w:rFonts w:hint="eastAsia"/>
                      <w:lang w:val="en-US" w:eastAsia="zh-CN"/>
                    </w:rPr>
                    <w:t>35.6</w:t>
                  </w:r>
                </w:p>
              </w:tc>
              <w:tc>
                <w:tcPr>
                  <w:tcW w:w="1255" w:type="dxa"/>
                  <w:noWrap w:val="0"/>
                  <w:vAlign w:val="center"/>
                </w:tcPr>
                <w:p>
                  <w:pPr>
                    <w:pStyle w:val="140"/>
                    <w:autoSpaceDE w:val="0"/>
                    <w:autoSpaceDN w:val="0"/>
                    <w:spacing w:before="10" w:after="0" w:line="240" w:lineRule="auto"/>
                    <w:ind w:left="241" w:right="181"/>
                    <w:jc w:val="center"/>
                    <w:rPr>
                      <w:rFonts w:hint="default"/>
                      <w:lang w:val="en-US" w:eastAsia="zh-CN"/>
                    </w:rPr>
                  </w:pPr>
                  <w:r>
                    <w:rPr>
                      <w:rFonts w:hint="eastAsia"/>
                      <w:lang w:val="en-US" w:eastAsia="zh-CN"/>
                    </w:rPr>
                    <w:t>99.6</w:t>
                  </w:r>
                </w:p>
              </w:tc>
              <w:tc>
                <w:tcPr>
                  <w:tcW w:w="1163" w:type="dxa"/>
                  <w:noWrap w:val="0"/>
                  <w:vAlign w:val="center"/>
                </w:tcPr>
                <w:p>
                  <w:pPr>
                    <w:autoSpaceDE w:val="0"/>
                    <w:autoSpaceDN w:val="0"/>
                    <w:spacing w:before="10" w:after="0" w:line="240" w:lineRule="auto"/>
                    <w:ind w:left="241" w:right="181"/>
                    <w:jc w:val="center"/>
                    <w:rPr>
                      <w:rFonts w:hint="default"/>
                      <w:lang w:val="en-US" w:eastAsia="zh-CN"/>
                    </w:rPr>
                  </w:pPr>
                  <w:r>
                    <w:rPr>
                      <w:rFonts w:hint="eastAsia"/>
                      <w:lang w:val="en-US" w:eastAsia="zh-CN"/>
                    </w:rPr>
                    <w:t>3.4</w:t>
                  </w:r>
                </w:p>
              </w:tc>
              <w:tc>
                <w:tcPr>
                  <w:tcW w:w="1013" w:type="dxa"/>
                  <w:noWrap w:val="0"/>
                  <w:vAlign w:val="center"/>
                </w:tcPr>
                <w:p>
                  <w:pPr>
                    <w:autoSpaceDE w:val="0"/>
                    <w:autoSpaceDN w:val="0"/>
                    <w:spacing w:before="10" w:after="0" w:line="240" w:lineRule="auto"/>
                    <w:ind w:left="241" w:leftChars="0" w:right="181" w:rightChars="0"/>
                    <w:jc w:val="center"/>
                    <w:rPr>
                      <w:rFonts w:hint="default"/>
                      <w:lang w:val="en-US" w:eastAsia="zh-CN"/>
                    </w:rPr>
                  </w:pPr>
                  <w:r>
                    <w:rPr>
                      <w:rFonts w:hint="eastAsia"/>
                      <w:lang w:val="en-US" w:eastAsia="zh-CN"/>
                    </w:rPr>
                    <w:t>WS</w:t>
                  </w:r>
                </w:p>
              </w:tc>
              <w:tc>
                <w:tcPr>
                  <w:tcW w:w="1172" w:type="dxa"/>
                  <w:vMerge w:val="continue"/>
                  <w:noWrap w:val="0"/>
                  <w:vAlign w:val="center"/>
                </w:tcPr>
                <w:p>
                  <w:pPr>
                    <w:autoSpaceDE w:val="0"/>
                    <w:autoSpaceDN w:val="0"/>
                    <w:spacing w:before="10" w:after="0" w:line="240" w:lineRule="auto"/>
                    <w:ind w:left="241" w:right="181"/>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1662" w:type="dxa"/>
                  <w:vMerge w:val="restart"/>
                  <w:noWrap w:val="0"/>
                  <w:vAlign w:val="center"/>
                </w:tcPr>
                <w:p>
                  <w:pPr>
                    <w:pStyle w:val="140"/>
                    <w:autoSpaceDE w:val="0"/>
                    <w:autoSpaceDN w:val="0"/>
                    <w:spacing w:before="10" w:after="0" w:line="240" w:lineRule="auto"/>
                    <w:ind w:right="181"/>
                    <w:jc w:val="center"/>
                    <w:rPr>
                      <w:rFonts w:hint="default"/>
                      <w:lang w:val="en-US" w:eastAsia="zh-CN"/>
                    </w:rPr>
                  </w:pPr>
                  <w:r>
                    <w:rPr>
                      <w:rFonts w:hint="default"/>
                      <w:lang w:val="en-US" w:eastAsia="zh-CN"/>
                    </w:rPr>
                    <w:t>202</w:t>
                  </w:r>
                  <w:r>
                    <w:rPr>
                      <w:rFonts w:hint="eastAsia"/>
                      <w:lang w:val="en-US" w:eastAsia="zh-CN"/>
                    </w:rPr>
                    <w:t>1</w:t>
                  </w:r>
                  <w:r>
                    <w:rPr>
                      <w:rFonts w:hint="default"/>
                      <w:lang w:val="en-US" w:eastAsia="zh-CN"/>
                    </w:rPr>
                    <w:t>.</w:t>
                  </w:r>
                  <w:r>
                    <w:rPr>
                      <w:rFonts w:hint="eastAsia"/>
                      <w:lang w:val="en-US" w:eastAsia="zh-CN"/>
                    </w:rPr>
                    <w:t>07.14</w:t>
                  </w:r>
                </w:p>
              </w:tc>
              <w:tc>
                <w:tcPr>
                  <w:tcW w:w="1437" w:type="dxa"/>
                  <w:noWrap w:val="0"/>
                  <w:vAlign w:val="center"/>
                </w:tcPr>
                <w:p>
                  <w:pPr>
                    <w:pStyle w:val="131"/>
                    <w:rPr>
                      <w:rFonts w:hint="default"/>
                      <w:lang w:val="en-US" w:eastAsia="zh-CN"/>
                    </w:rPr>
                  </w:pPr>
                  <w:r>
                    <w:rPr>
                      <w:rFonts w:hint="eastAsia"/>
                      <w:lang w:val="en-US" w:eastAsia="zh-CN"/>
                    </w:rPr>
                    <w:t>9:36</w:t>
                  </w:r>
                </w:p>
              </w:tc>
              <w:tc>
                <w:tcPr>
                  <w:tcW w:w="1136" w:type="dxa"/>
                  <w:noWrap w:val="0"/>
                  <w:vAlign w:val="center"/>
                </w:tcPr>
                <w:p>
                  <w:pPr>
                    <w:pStyle w:val="140"/>
                    <w:autoSpaceDE w:val="0"/>
                    <w:autoSpaceDN w:val="0"/>
                    <w:spacing w:before="10" w:after="0" w:line="240" w:lineRule="auto"/>
                    <w:ind w:left="241" w:right="181"/>
                    <w:jc w:val="center"/>
                    <w:rPr>
                      <w:rFonts w:hint="default"/>
                      <w:lang w:val="en-US" w:eastAsia="zh-CN"/>
                    </w:rPr>
                  </w:pPr>
                  <w:r>
                    <w:rPr>
                      <w:rFonts w:hint="eastAsia"/>
                      <w:lang w:val="en-US" w:eastAsia="zh-CN"/>
                    </w:rPr>
                    <w:t>32.0</w:t>
                  </w:r>
                </w:p>
              </w:tc>
              <w:tc>
                <w:tcPr>
                  <w:tcW w:w="1255" w:type="dxa"/>
                  <w:noWrap w:val="0"/>
                  <w:vAlign w:val="center"/>
                </w:tcPr>
                <w:p>
                  <w:pPr>
                    <w:pStyle w:val="140"/>
                    <w:autoSpaceDE w:val="0"/>
                    <w:autoSpaceDN w:val="0"/>
                    <w:spacing w:before="10" w:after="0" w:line="240" w:lineRule="auto"/>
                    <w:ind w:left="241" w:right="181"/>
                    <w:jc w:val="center"/>
                    <w:rPr>
                      <w:rFonts w:hint="default"/>
                      <w:lang w:val="en-US" w:eastAsia="zh-CN"/>
                    </w:rPr>
                  </w:pPr>
                  <w:r>
                    <w:rPr>
                      <w:rFonts w:hint="eastAsia"/>
                      <w:lang w:val="en-US" w:eastAsia="zh-CN"/>
                    </w:rPr>
                    <w:t>99.9</w:t>
                  </w:r>
                </w:p>
              </w:tc>
              <w:tc>
                <w:tcPr>
                  <w:tcW w:w="1163" w:type="dxa"/>
                  <w:noWrap w:val="0"/>
                  <w:vAlign w:val="center"/>
                </w:tcPr>
                <w:p>
                  <w:pPr>
                    <w:autoSpaceDE w:val="0"/>
                    <w:autoSpaceDN w:val="0"/>
                    <w:spacing w:before="10" w:after="0" w:line="240" w:lineRule="auto"/>
                    <w:ind w:left="241" w:right="181"/>
                    <w:jc w:val="center"/>
                    <w:rPr>
                      <w:rFonts w:hint="default"/>
                      <w:lang w:val="en-US" w:eastAsia="zh-CN"/>
                    </w:rPr>
                  </w:pPr>
                  <w:r>
                    <w:rPr>
                      <w:rFonts w:hint="eastAsia"/>
                      <w:lang w:val="en-US" w:eastAsia="zh-CN"/>
                    </w:rPr>
                    <w:t>3.1</w:t>
                  </w:r>
                </w:p>
              </w:tc>
              <w:tc>
                <w:tcPr>
                  <w:tcW w:w="1013" w:type="dxa"/>
                  <w:noWrap w:val="0"/>
                  <w:vAlign w:val="center"/>
                </w:tcPr>
                <w:p>
                  <w:pPr>
                    <w:autoSpaceDE w:val="0"/>
                    <w:autoSpaceDN w:val="0"/>
                    <w:spacing w:before="10" w:after="0" w:line="240" w:lineRule="auto"/>
                    <w:ind w:left="241" w:leftChars="0" w:right="181" w:rightChars="0"/>
                    <w:jc w:val="center"/>
                    <w:rPr>
                      <w:rFonts w:hint="default"/>
                      <w:lang w:val="en-US" w:eastAsia="zh-CN"/>
                    </w:rPr>
                  </w:pPr>
                  <w:r>
                    <w:rPr>
                      <w:rFonts w:hint="eastAsia"/>
                      <w:lang w:val="en-US" w:eastAsia="zh-CN"/>
                    </w:rPr>
                    <w:t>WS</w:t>
                  </w:r>
                </w:p>
              </w:tc>
              <w:tc>
                <w:tcPr>
                  <w:tcW w:w="1172" w:type="dxa"/>
                  <w:vMerge w:val="restart"/>
                  <w:noWrap w:val="0"/>
                  <w:vAlign w:val="center"/>
                </w:tcPr>
                <w:p>
                  <w:pPr>
                    <w:autoSpaceDE w:val="0"/>
                    <w:autoSpaceDN w:val="0"/>
                    <w:spacing w:before="10" w:after="0" w:line="240" w:lineRule="auto"/>
                    <w:ind w:left="241" w:right="181"/>
                    <w:jc w:val="center"/>
                    <w:rPr>
                      <w:rFonts w:hint="default"/>
                      <w:lang w:val="en-US" w:eastAsia="zh-CN"/>
                    </w:rPr>
                  </w:pPr>
                  <w:r>
                    <w:rPr>
                      <w:rFonts w:hint="eastAsia"/>
                      <w:lang w:val="en-US" w:eastAsia="zh-CN"/>
                    </w:rPr>
                    <w:t xml:space="preserve">多云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1662" w:type="dxa"/>
                  <w:vMerge w:val="continue"/>
                  <w:noWrap w:val="0"/>
                  <w:vAlign w:val="center"/>
                </w:tcPr>
                <w:p>
                  <w:pPr>
                    <w:pStyle w:val="140"/>
                    <w:autoSpaceDE w:val="0"/>
                    <w:autoSpaceDN w:val="0"/>
                    <w:spacing w:before="10" w:after="0" w:line="240" w:lineRule="auto"/>
                    <w:ind w:right="181"/>
                    <w:jc w:val="center"/>
                    <w:rPr>
                      <w:rFonts w:hint="default"/>
                      <w:lang w:val="en-US" w:eastAsia="zh-CN"/>
                    </w:rPr>
                  </w:pPr>
                </w:p>
              </w:tc>
              <w:tc>
                <w:tcPr>
                  <w:tcW w:w="1437" w:type="dxa"/>
                  <w:noWrap w:val="0"/>
                  <w:vAlign w:val="center"/>
                </w:tcPr>
                <w:p>
                  <w:pPr>
                    <w:pStyle w:val="131"/>
                    <w:rPr>
                      <w:rFonts w:hint="default"/>
                      <w:lang w:val="en-US" w:eastAsia="zh-CN"/>
                    </w:rPr>
                  </w:pPr>
                  <w:r>
                    <w:rPr>
                      <w:rFonts w:hint="eastAsia"/>
                      <w:lang w:val="en-US" w:eastAsia="zh-CN"/>
                    </w:rPr>
                    <w:t>11:34</w:t>
                  </w:r>
                </w:p>
              </w:tc>
              <w:tc>
                <w:tcPr>
                  <w:tcW w:w="1136" w:type="dxa"/>
                  <w:noWrap w:val="0"/>
                  <w:vAlign w:val="center"/>
                </w:tcPr>
                <w:p>
                  <w:pPr>
                    <w:pStyle w:val="140"/>
                    <w:autoSpaceDE w:val="0"/>
                    <w:autoSpaceDN w:val="0"/>
                    <w:spacing w:before="10" w:after="0" w:line="240" w:lineRule="auto"/>
                    <w:ind w:left="241" w:right="181"/>
                    <w:jc w:val="center"/>
                    <w:rPr>
                      <w:rFonts w:hint="default"/>
                      <w:lang w:val="en-US" w:eastAsia="zh-CN"/>
                    </w:rPr>
                  </w:pPr>
                  <w:r>
                    <w:rPr>
                      <w:rFonts w:hint="eastAsia"/>
                      <w:lang w:val="en-US" w:eastAsia="zh-CN"/>
                    </w:rPr>
                    <w:t>33.1</w:t>
                  </w:r>
                </w:p>
              </w:tc>
              <w:tc>
                <w:tcPr>
                  <w:tcW w:w="1255" w:type="dxa"/>
                  <w:noWrap w:val="0"/>
                  <w:vAlign w:val="center"/>
                </w:tcPr>
                <w:p>
                  <w:pPr>
                    <w:pStyle w:val="140"/>
                    <w:autoSpaceDE w:val="0"/>
                    <w:autoSpaceDN w:val="0"/>
                    <w:spacing w:before="10" w:after="0" w:line="240" w:lineRule="auto"/>
                    <w:ind w:left="241" w:right="181"/>
                    <w:jc w:val="center"/>
                    <w:rPr>
                      <w:rFonts w:hint="default"/>
                      <w:lang w:val="en-US" w:eastAsia="zh-CN"/>
                    </w:rPr>
                  </w:pPr>
                  <w:r>
                    <w:rPr>
                      <w:rFonts w:hint="eastAsia"/>
                      <w:lang w:val="en-US" w:eastAsia="zh-CN"/>
                    </w:rPr>
                    <w:t>99.8</w:t>
                  </w:r>
                </w:p>
              </w:tc>
              <w:tc>
                <w:tcPr>
                  <w:tcW w:w="1163" w:type="dxa"/>
                  <w:noWrap w:val="0"/>
                  <w:vAlign w:val="center"/>
                </w:tcPr>
                <w:p>
                  <w:pPr>
                    <w:autoSpaceDE w:val="0"/>
                    <w:autoSpaceDN w:val="0"/>
                    <w:spacing w:before="10" w:after="0" w:line="240" w:lineRule="auto"/>
                    <w:ind w:left="241" w:right="181"/>
                    <w:jc w:val="center"/>
                    <w:rPr>
                      <w:rFonts w:hint="default"/>
                      <w:lang w:val="en-US" w:eastAsia="zh-CN"/>
                    </w:rPr>
                  </w:pPr>
                  <w:r>
                    <w:rPr>
                      <w:rFonts w:hint="eastAsia"/>
                      <w:lang w:val="en-US" w:eastAsia="zh-CN"/>
                    </w:rPr>
                    <w:t>3.4</w:t>
                  </w:r>
                </w:p>
              </w:tc>
              <w:tc>
                <w:tcPr>
                  <w:tcW w:w="1013" w:type="dxa"/>
                  <w:noWrap w:val="0"/>
                  <w:vAlign w:val="center"/>
                </w:tcPr>
                <w:p>
                  <w:pPr>
                    <w:autoSpaceDE w:val="0"/>
                    <w:autoSpaceDN w:val="0"/>
                    <w:spacing w:before="10" w:after="0" w:line="240" w:lineRule="auto"/>
                    <w:ind w:left="241" w:leftChars="0" w:right="181" w:rightChars="0"/>
                    <w:jc w:val="center"/>
                    <w:rPr>
                      <w:rFonts w:hint="default"/>
                      <w:lang w:val="en-US" w:eastAsia="zh-CN"/>
                    </w:rPr>
                  </w:pPr>
                  <w:r>
                    <w:rPr>
                      <w:rFonts w:hint="eastAsia"/>
                      <w:lang w:val="en-US" w:eastAsia="zh-CN"/>
                    </w:rPr>
                    <w:t>WS</w:t>
                  </w:r>
                </w:p>
              </w:tc>
              <w:tc>
                <w:tcPr>
                  <w:tcW w:w="1172" w:type="dxa"/>
                  <w:vMerge w:val="continue"/>
                  <w:noWrap w:val="0"/>
                  <w:vAlign w:val="center"/>
                </w:tcPr>
                <w:p>
                  <w:pPr>
                    <w:autoSpaceDE w:val="0"/>
                    <w:autoSpaceDN w:val="0"/>
                    <w:spacing w:before="10" w:after="0" w:line="240" w:lineRule="auto"/>
                    <w:ind w:left="241" w:right="181"/>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1662" w:type="dxa"/>
                  <w:vMerge w:val="continue"/>
                  <w:noWrap w:val="0"/>
                  <w:vAlign w:val="center"/>
                </w:tcPr>
                <w:p>
                  <w:pPr>
                    <w:pStyle w:val="140"/>
                    <w:autoSpaceDE w:val="0"/>
                    <w:autoSpaceDN w:val="0"/>
                    <w:spacing w:before="10" w:after="0" w:line="240" w:lineRule="auto"/>
                    <w:ind w:right="181"/>
                    <w:jc w:val="center"/>
                    <w:rPr>
                      <w:rFonts w:hint="default"/>
                      <w:lang w:val="en-US" w:eastAsia="zh-CN"/>
                    </w:rPr>
                  </w:pPr>
                </w:p>
              </w:tc>
              <w:tc>
                <w:tcPr>
                  <w:tcW w:w="1437" w:type="dxa"/>
                  <w:noWrap w:val="0"/>
                  <w:vAlign w:val="center"/>
                </w:tcPr>
                <w:p>
                  <w:pPr>
                    <w:pStyle w:val="131"/>
                    <w:rPr>
                      <w:rFonts w:hint="default"/>
                      <w:lang w:val="en-US" w:eastAsia="zh-CN"/>
                    </w:rPr>
                  </w:pPr>
                  <w:r>
                    <w:rPr>
                      <w:rFonts w:hint="eastAsia"/>
                      <w:lang w:val="en-US" w:eastAsia="zh-CN"/>
                    </w:rPr>
                    <w:t>13:21</w:t>
                  </w:r>
                </w:p>
              </w:tc>
              <w:tc>
                <w:tcPr>
                  <w:tcW w:w="1136" w:type="dxa"/>
                  <w:noWrap w:val="0"/>
                  <w:vAlign w:val="center"/>
                </w:tcPr>
                <w:p>
                  <w:pPr>
                    <w:pStyle w:val="140"/>
                    <w:autoSpaceDE w:val="0"/>
                    <w:autoSpaceDN w:val="0"/>
                    <w:spacing w:before="10" w:after="0" w:line="240" w:lineRule="auto"/>
                    <w:ind w:left="241" w:right="181"/>
                    <w:jc w:val="center"/>
                    <w:rPr>
                      <w:rFonts w:hint="default"/>
                      <w:lang w:val="en-US" w:eastAsia="zh-CN"/>
                    </w:rPr>
                  </w:pPr>
                  <w:r>
                    <w:rPr>
                      <w:rFonts w:hint="eastAsia"/>
                      <w:lang w:val="en-US" w:eastAsia="zh-CN"/>
                    </w:rPr>
                    <w:t>34.3</w:t>
                  </w:r>
                </w:p>
              </w:tc>
              <w:tc>
                <w:tcPr>
                  <w:tcW w:w="1255" w:type="dxa"/>
                  <w:noWrap w:val="0"/>
                  <w:vAlign w:val="center"/>
                </w:tcPr>
                <w:p>
                  <w:pPr>
                    <w:pStyle w:val="140"/>
                    <w:autoSpaceDE w:val="0"/>
                    <w:autoSpaceDN w:val="0"/>
                    <w:spacing w:before="10" w:after="0" w:line="240" w:lineRule="auto"/>
                    <w:ind w:left="241" w:right="181"/>
                    <w:jc w:val="center"/>
                    <w:rPr>
                      <w:rFonts w:hint="default"/>
                      <w:lang w:val="en-US" w:eastAsia="zh-CN"/>
                    </w:rPr>
                  </w:pPr>
                  <w:r>
                    <w:rPr>
                      <w:rFonts w:hint="eastAsia"/>
                      <w:lang w:val="en-US" w:eastAsia="zh-CN"/>
                    </w:rPr>
                    <w:t>99.7</w:t>
                  </w:r>
                </w:p>
              </w:tc>
              <w:tc>
                <w:tcPr>
                  <w:tcW w:w="1163" w:type="dxa"/>
                  <w:noWrap w:val="0"/>
                  <w:vAlign w:val="center"/>
                </w:tcPr>
                <w:p>
                  <w:pPr>
                    <w:autoSpaceDE w:val="0"/>
                    <w:autoSpaceDN w:val="0"/>
                    <w:spacing w:before="10" w:after="0" w:line="240" w:lineRule="auto"/>
                    <w:ind w:left="241" w:right="181"/>
                    <w:jc w:val="center"/>
                    <w:rPr>
                      <w:rFonts w:hint="default"/>
                      <w:lang w:val="en-US" w:eastAsia="zh-CN"/>
                    </w:rPr>
                  </w:pPr>
                  <w:r>
                    <w:rPr>
                      <w:rFonts w:hint="eastAsia"/>
                      <w:lang w:val="en-US" w:eastAsia="zh-CN"/>
                    </w:rPr>
                    <w:t>3.8</w:t>
                  </w:r>
                </w:p>
              </w:tc>
              <w:tc>
                <w:tcPr>
                  <w:tcW w:w="1013" w:type="dxa"/>
                  <w:noWrap w:val="0"/>
                  <w:vAlign w:val="center"/>
                </w:tcPr>
                <w:p>
                  <w:pPr>
                    <w:autoSpaceDE w:val="0"/>
                    <w:autoSpaceDN w:val="0"/>
                    <w:spacing w:before="10" w:after="0" w:line="240" w:lineRule="auto"/>
                    <w:ind w:left="241" w:leftChars="0" w:right="181" w:rightChars="0"/>
                    <w:jc w:val="center"/>
                    <w:rPr>
                      <w:rFonts w:hint="default"/>
                      <w:lang w:val="en-US" w:eastAsia="zh-CN"/>
                    </w:rPr>
                  </w:pPr>
                  <w:r>
                    <w:rPr>
                      <w:rFonts w:hint="eastAsia"/>
                      <w:lang w:val="en-US" w:eastAsia="zh-CN"/>
                    </w:rPr>
                    <w:t>WS</w:t>
                  </w:r>
                </w:p>
              </w:tc>
              <w:tc>
                <w:tcPr>
                  <w:tcW w:w="1172" w:type="dxa"/>
                  <w:vMerge w:val="continue"/>
                  <w:noWrap w:val="0"/>
                  <w:vAlign w:val="center"/>
                </w:tcPr>
                <w:p>
                  <w:pPr>
                    <w:autoSpaceDE w:val="0"/>
                    <w:autoSpaceDN w:val="0"/>
                    <w:spacing w:before="10" w:after="0" w:line="240" w:lineRule="auto"/>
                    <w:ind w:left="241" w:right="181"/>
                    <w:jc w:val="center"/>
                    <w:rPr>
                      <w:rFonts w:hint="default"/>
                      <w:lang w:val="en-US" w:eastAsia="zh-CN"/>
                    </w:rPr>
                  </w:pPr>
                </w:p>
              </w:tc>
            </w:tr>
          </w:tbl>
          <w:p>
            <w:pPr>
              <w:pStyle w:val="2"/>
              <w:jc w:val="both"/>
              <w:rPr>
                <w:rFonts w:hint="default"/>
              </w:rPr>
            </w:pPr>
          </w:p>
          <w:p>
            <w:pPr>
              <w:spacing w:after="0" w:line="220" w:lineRule="atLeast"/>
              <w:jc w:val="center"/>
            </w:pPr>
            <w:r>
              <w:t>表</w:t>
            </w:r>
            <w:r>
              <w:rPr>
                <w:rFonts w:hint="default"/>
              </w:rPr>
              <w:t>7-</w:t>
            </w:r>
            <w:r>
              <w:rPr>
                <w:rFonts w:hint="eastAsia"/>
                <w:lang w:val="en-US" w:eastAsia="zh-CN"/>
              </w:rPr>
              <w:t>4-1无组织</w:t>
            </w:r>
            <w:r>
              <w:rPr>
                <w:rFonts w:hint="eastAsia"/>
                <w:lang w:eastAsia="zh-CN"/>
              </w:rPr>
              <w:t>氨</w:t>
            </w:r>
            <w:r>
              <w:t>检测结果</w:t>
            </w:r>
          </w:p>
          <w:tbl>
            <w:tblPr>
              <w:tblStyle w:val="38"/>
              <w:tblpPr w:leftFromText="180" w:rightFromText="180" w:vertAnchor="text" w:horzAnchor="page" w:tblpXSpec="center" w:tblpY="50"/>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5"/>
              <w:gridCol w:w="1319"/>
              <w:gridCol w:w="952"/>
              <w:gridCol w:w="1167"/>
              <w:gridCol w:w="1186"/>
              <w:gridCol w:w="1186"/>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1276" w:type="dxa"/>
                  <w:vMerge w:val="restart"/>
                  <w:noWrap w:val="0"/>
                  <w:vAlign w:val="center"/>
                </w:tcPr>
                <w:p>
                  <w:pPr>
                    <w:pStyle w:val="131"/>
                    <w:rPr>
                      <w:rFonts w:hint="eastAsia"/>
                    </w:rPr>
                  </w:pPr>
                  <w:r>
                    <w:rPr>
                      <w:rFonts w:hint="eastAsia"/>
                    </w:rPr>
                    <w:t>监测项目</w:t>
                  </w:r>
                </w:p>
              </w:tc>
              <w:tc>
                <w:tcPr>
                  <w:tcW w:w="2406" w:type="dxa"/>
                  <w:gridSpan w:val="2"/>
                  <w:vMerge w:val="restart"/>
                  <w:noWrap w:val="0"/>
                  <w:vAlign w:val="center"/>
                </w:tcPr>
                <w:p>
                  <w:pPr>
                    <w:pStyle w:val="131"/>
                    <w:rPr>
                      <w:rFonts w:hint="eastAsia"/>
                    </w:rPr>
                  </w:pPr>
                  <w:r>
                    <w:rPr>
                      <w:rFonts w:hint="eastAsia"/>
                    </w:rPr>
                    <w:t>采样日期</w:t>
                  </w:r>
                </w:p>
              </w:tc>
              <w:tc>
                <w:tcPr>
                  <w:tcW w:w="5297" w:type="dxa"/>
                  <w:gridSpan w:val="4"/>
                  <w:noWrap w:val="0"/>
                  <w:vAlign w:val="center"/>
                </w:tcPr>
                <w:p>
                  <w:pPr>
                    <w:pStyle w:val="131"/>
                    <w:rPr>
                      <w:rFonts w:hint="eastAsia"/>
                    </w:rPr>
                  </w:pPr>
                  <w:r>
                    <w:rPr>
                      <w:rFonts w:hint="eastAsia"/>
                    </w:rPr>
                    <w:t>采样点位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1276" w:type="dxa"/>
                  <w:vMerge w:val="continue"/>
                  <w:noWrap w:val="0"/>
                  <w:vAlign w:val="center"/>
                </w:tcPr>
                <w:p>
                  <w:pPr>
                    <w:pStyle w:val="131"/>
                    <w:rPr>
                      <w:rFonts w:hint="eastAsia"/>
                    </w:rPr>
                  </w:pPr>
                </w:p>
              </w:tc>
              <w:tc>
                <w:tcPr>
                  <w:tcW w:w="2406" w:type="dxa"/>
                  <w:gridSpan w:val="2"/>
                  <w:vMerge w:val="continue"/>
                  <w:noWrap w:val="0"/>
                  <w:vAlign w:val="center"/>
                </w:tcPr>
                <w:p>
                  <w:pPr>
                    <w:pStyle w:val="131"/>
                    <w:rPr>
                      <w:rFonts w:hint="eastAsia"/>
                    </w:rPr>
                  </w:pPr>
                </w:p>
              </w:tc>
              <w:tc>
                <w:tcPr>
                  <w:tcW w:w="1323" w:type="dxa"/>
                  <w:noWrap w:val="0"/>
                  <w:vAlign w:val="center"/>
                </w:tcPr>
                <w:p>
                  <w:pPr>
                    <w:pStyle w:val="131"/>
                    <w:rPr>
                      <w:rFonts w:hint="eastAsia"/>
                    </w:rPr>
                  </w:pPr>
                  <w:r>
                    <w:rPr>
                      <w:rFonts w:hint="eastAsia"/>
                    </w:rPr>
                    <w:t>上风向1#</w:t>
                  </w:r>
                </w:p>
              </w:tc>
              <w:tc>
                <w:tcPr>
                  <w:tcW w:w="1324" w:type="dxa"/>
                  <w:noWrap w:val="0"/>
                  <w:vAlign w:val="center"/>
                </w:tcPr>
                <w:p>
                  <w:pPr>
                    <w:pStyle w:val="131"/>
                    <w:rPr>
                      <w:rFonts w:hint="eastAsia"/>
                    </w:rPr>
                  </w:pPr>
                  <w:r>
                    <w:rPr>
                      <w:rFonts w:hint="eastAsia"/>
                    </w:rPr>
                    <w:t>下风向2#</w:t>
                  </w:r>
                </w:p>
              </w:tc>
              <w:tc>
                <w:tcPr>
                  <w:tcW w:w="1324" w:type="dxa"/>
                  <w:noWrap w:val="0"/>
                  <w:vAlign w:val="center"/>
                </w:tcPr>
                <w:p>
                  <w:pPr>
                    <w:pStyle w:val="131"/>
                    <w:rPr>
                      <w:rFonts w:hint="eastAsia"/>
                    </w:rPr>
                  </w:pPr>
                  <w:r>
                    <w:rPr>
                      <w:rFonts w:hint="eastAsia"/>
                    </w:rPr>
                    <w:t>下风向3#</w:t>
                  </w:r>
                </w:p>
              </w:tc>
              <w:tc>
                <w:tcPr>
                  <w:tcW w:w="1326" w:type="dxa"/>
                  <w:noWrap w:val="0"/>
                  <w:vAlign w:val="center"/>
                </w:tcPr>
                <w:p>
                  <w:pPr>
                    <w:pStyle w:val="131"/>
                    <w:rPr>
                      <w:rFonts w:hint="eastAsia"/>
                    </w:rPr>
                  </w:pPr>
                  <w:r>
                    <w:rPr>
                      <w:rFonts w:hint="eastAsia"/>
                    </w:rPr>
                    <w:t>下风向4#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1276" w:type="dxa"/>
                  <w:vMerge w:val="restart"/>
                  <w:noWrap w:val="0"/>
                  <w:vAlign w:val="center"/>
                </w:tcPr>
                <w:p>
                  <w:pPr>
                    <w:pStyle w:val="131"/>
                    <w:rPr>
                      <w:rFonts w:hint="eastAsia"/>
                      <w:lang w:val="en-US" w:eastAsia="zh-CN"/>
                    </w:rPr>
                  </w:pPr>
                  <w:r>
                    <w:rPr>
                      <w:rFonts w:hint="eastAsia"/>
                      <w:lang w:val="en-US" w:eastAsia="zh-CN"/>
                    </w:rPr>
                    <w:t>硫酸雾（</w:t>
                  </w:r>
                  <w:r>
                    <w:rPr>
                      <w:rFonts w:hint="eastAsia"/>
                      <w:lang w:eastAsia="zh-CN"/>
                    </w:rPr>
                    <w:t>mg/m3</w:t>
                  </w:r>
                  <w:r>
                    <w:rPr>
                      <w:rFonts w:hint="eastAsia"/>
                      <w:lang w:val="en-US" w:eastAsia="zh-CN"/>
                    </w:rPr>
                    <w:t>）</w:t>
                  </w:r>
                </w:p>
              </w:tc>
              <w:tc>
                <w:tcPr>
                  <w:tcW w:w="1370" w:type="dxa"/>
                  <w:vMerge w:val="restart"/>
                  <w:noWrap w:val="0"/>
                  <w:vAlign w:val="center"/>
                </w:tcPr>
                <w:p>
                  <w:pPr>
                    <w:pStyle w:val="131"/>
                    <w:rPr>
                      <w:rFonts w:hint="eastAsia"/>
                      <w:lang w:val="en-US" w:eastAsia="zh-CN"/>
                    </w:rPr>
                  </w:pPr>
                </w:p>
                <w:p>
                  <w:pPr>
                    <w:pStyle w:val="131"/>
                    <w:rPr>
                      <w:rFonts w:hint="default"/>
                      <w:lang w:val="en-US" w:eastAsia="zh-CN"/>
                    </w:rPr>
                  </w:pPr>
                  <w:r>
                    <w:rPr>
                      <w:rFonts w:hint="eastAsia"/>
                      <w:lang w:val="en-US" w:eastAsia="zh-CN"/>
                    </w:rPr>
                    <w:t>2021.07.13</w:t>
                  </w:r>
                </w:p>
              </w:tc>
              <w:tc>
                <w:tcPr>
                  <w:tcW w:w="1036" w:type="dxa"/>
                  <w:noWrap w:val="0"/>
                  <w:vAlign w:val="center"/>
                </w:tcPr>
                <w:p>
                  <w:pPr>
                    <w:pStyle w:val="131"/>
                    <w:rPr>
                      <w:rFonts w:hint="default"/>
                      <w:lang w:val="en-US" w:eastAsia="zh-CN"/>
                    </w:rPr>
                  </w:pPr>
                  <w:r>
                    <w:rPr>
                      <w:rFonts w:hint="eastAsia"/>
                      <w:lang w:val="en-US" w:eastAsia="zh-CN"/>
                    </w:rPr>
                    <w:t>11:22</w:t>
                  </w:r>
                </w:p>
              </w:tc>
              <w:tc>
                <w:tcPr>
                  <w:tcW w:w="1323" w:type="dxa"/>
                  <w:noWrap w:val="0"/>
                  <w:vAlign w:val="center"/>
                </w:tcPr>
                <w:p>
                  <w:pPr>
                    <w:pStyle w:val="131"/>
                    <w:rPr>
                      <w:rFonts w:hint="default"/>
                      <w:lang w:val="en-US" w:eastAsia="zh-CN"/>
                    </w:rPr>
                  </w:pPr>
                  <w:r>
                    <w:rPr>
                      <w:rFonts w:hint="eastAsia"/>
                      <w:lang w:val="en-US" w:eastAsia="zh-CN"/>
                    </w:rPr>
                    <w:t>0.171</w:t>
                  </w:r>
                </w:p>
              </w:tc>
              <w:tc>
                <w:tcPr>
                  <w:tcW w:w="1324" w:type="dxa"/>
                  <w:noWrap w:val="0"/>
                  <w:vAlign w:val="center"/>
                </w:tcPr>
                <w:p>
                  <w:pPr>
                    <w:pStyle w:val="131"/>
                    <w:rPr>
                      <w:rFonts w:hint="default"/>
                      <w:lang w:val="en-US" w:eastAsia="zh-CN"/>
                    </w:rPr>
                  </w:pPr>
                  <w:r>
                    <w:rPr>
                      <w:rFonts w:hint="eastAsia"/>
                      <w:lang w:val="en-US" w:eastAsia="zh-CN"/>
                    </w:rPr>
                    <w:t>0.188</w:t>
                  </w:r>
                </w:p>
              </w:tc>
              <w:tc>
                <w:tcPr>
                  <w:tcW w:w="1324" w:type="dxa"/>
                  <w:noWrap w:val="0"/>
                  <w:vAlign w:val="center"/>
                </w:tcPr>
                <w:p>
                  <w:pPr>
                    <w:pStyle w:val="131"/>
                    <w:rPr>
                      <w:rFonts w:hint="default"/>
                      <w:lang w:val="en-US" w:eastAsia="zh-CN"/>
                    </w:rPr>
                  </w:pPr>
                  <w:r>
                    <w:rPr>
                      <w:rFonts w:hint="eastAsia"/>
                      <w:lang w:val="en-US" w:eastAsia="zh-CN"/>
                    </w:rPr>
                    <w:t>0.194</w:t>
                  </w:r>
                </w:p>
              </w:tc>
              <w:tc>
                <w:tcPr>
                  <w:tcW w:w="1326" w:type="dxa"/>
                  <w:noWrap w:val="0"/>
                  <w:vAlign w:val="center"/>
                </w:tcPr>
                <w:p>
                  <w:pPr>
                    <w:pStyle w:val="131"/>
                    <w:rPr>
                      <w:rFonts w:hint="default"/>
                      <w:lang w:val="en-US" w:eastAsia="zh-CN"/>
                    </w:rPr>
                  </w:pPr>
                  <w:r>
                    <w:rPr>
                      <w:rFonts w:hint="eastAsia"/>
                      <w:lang w:val="en-US" w:eastAsia="zh-CN"/>
                    </w:rPr>
                    <w:t>0.191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1276" w:type="dxa"/>
                  <w:vMerge w:val="continue"/>
                  <w:noWrap w:val="0"/>
                  <w:vAlign w:val="center"/>
                </w:tcPr>
                <w:p>
                  <w:pPr>
                    <w:pStyle w:val="131"/>
                    <w:rPr>
                      <w:rFonts w:hint="eastAsia"/>
                    </w:rPr>
                  </w:pPr>
                </w:p>
              </w:tc>
              <w:tc>
                <w:tcPr>
                  <w:tcW w:w="1370" w:type="dxa"/>
                  <w:vMerge w:val="continue"/>
                  <w:noWrap w:val="0"/>
                  <w:vAlign w:val="center"/>
                </w:tcPr>
                <w:p>
                  <w:pPr>
                    <w:pStyle w:val="131"/>
                    <w:rPr>
                      <w:rFonts w:hint="eastAsia"/>
                      <w:lang w:val="en-US" w:eastAsia="zh-CN"/>
                    </w:rPr>
                  </w:pPr>
                </w:p>
              </w:tc>
              <w:tc>
                <w:tcPr>
                  <w:tcW w:w="1036" w:type="dxa"/>
                  <w:noWrap w:val="0"/>
                  <w:vAlign w:val="center"/>
                </w:tcPr>
                <w:p>
                  <w:pPr>
                    <w:pStyle w:val="131"/>
                    <w:rPr>
                      <w:rFonts w:hint="default"/>
                      <w:lang w:val="en-US" w:eastAsia="zh-CN"/>
                    </w:rPr>
                  </w:pPr>
                  <w:r>
                    <w:rPr>
                      <w:rFonts w:hint="eastAsia"/>
                      <w:lang w:val="en-US" w:eastAsia="zh-CN"/>
                    </w:rPr>
                    <w:t>13:37</w:t>
                  </w:r>
                </w:p>
              </w:tc>
              <w:tc>
                <w:tcPr>
                  <w:tcW w:w="1323" w:type="dxa"/>
                  <w:noWrap w:val="0"/>
                  <w:vAlign w:val="center"/>
                </w:tcPr>
                <w:p>
                  <w:pPr>
                    <w:pStyle w:val="131"/>
                    <w:rPr>
                      <w:rFonts w:hint="default"/>
                      <w:lang w:val="en-US" w:eastAsia="zh-CN"/>
                    </w:rPr>
                  </w:pPr>
                  <w:r>
                    <w:rPr>
                      <w:rFonts w:hint="eastAsia"/>
                      <w:lang w:val="en-US" w:eastAsia="zh-CN"/>
                    </w:rPr>
                    <w:t>0.187</w:t>
                  </w:r>
                </w:p>
              </w:tc>
              <w:tc>
                <w:tcPr>
                  <w:tcW w:w="1324" w:type="dxa"/>
                  <w:noWrap w:val="0"/>
                  <w:vAlign w:val="center"/>
                </w:tcPr>
                <w:p>
                  <w:pPr>
                    <w:pStyle w:val="131"/>
                    <w:rPr>
                      <w:rFonts w:hint="default"/>
                      <w:lang w:val="en-US" w:eastAsia="zh-CN"/>
                    </w:rPr>
                  </w:pPr>
                  <w:r>
                    <w:rPr>
                      <w:rFonts w:hint="eastAsia"/>
                      <w:lang w:val="en-US" w:eastAsia="zh-CN"/>
                    </w:rPr>
                    <w:t>0.188</w:t>
                  </w:r>
                </w:p>
              </w:tc>
              <w:tc>
                <w:tcPr>
                  <w:tcW w:w="1324" w:type="dxa"/>
                  <w:noWrap w:val="0"/>
                  <w:vAlign w:val="center"/>
                </w:tcPr>
                <w:p>
                  <w:pPr>
                    <w:pStyle w:val="131"/>
                    <w:rPr>
                      <w:rFonts w:hint="default"/>
                      <w:lang w:val="en-US" w:eastAsia="zh-CN"/>
                    </w:rPr>
                  </w:pPr>
                  <w:r>
                    <w:rPr>
                      <w:rFonts w:hint="eastAsia"/>
                      <w:lang w:val="en-US" w:eastAsia="zh-CN"/>
                    </w:rPr>
                    <w:t>0.192</w:t>
                  </w:r>
                </w:p>
              </w:tc>
              <w:tc>
                <w:tcPr>
                  <w:tcW w:w="1326" w:type="dxa"/>
                  <w:noWrap w:val="0"/>
                  <w:vAlign w:val="center"/>
                </w:tcPr>
                <w:p>
                  <w:pPr>
                    <w:pStyle w:val="131"/>
                    <w:rPr>
                      <w:rFonts w:hint="default"/>
                      <w:lang w:val="en-US" w:eastAsia="zh-CN"/>
                    </w:rPr>
                  </w:pPr>
                  <w:r>
                    <w:rPr>
                      <w:rFonts w:hint="eastAsia"/>
                      <w:lang w:val="en-US" w:eastAsia="zh-CN"/>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1276" w:type="dxa"/>
                  <w:vMerge w:val="continue"/>
                  <w:noWrap w:val="0"/>
                  <w:vAlign w:val="center"/>
                </w:tcPr>
                <w:p>
                  <w:pPr>
                    <w:pStyle w:val="131"/>
                    <w:rPr>
                      <w:rFonts w:hint="eastAsia"/>
                    </w:rPr>
                  </w:pPr>
                </w:p>
              </w:tc>
              <w:tc>
                <w:tcPr>
                  <w:tcW w:w="1370" w:type="dxa"/>
                  <w:vMerge w:val="continue"/>
                  <w:noWrap w:val="0"/>
                  <w:vAlign w:val="center"/>
                </w:tcPr>
                <w:p>
                  <w:pPr>
                    <w:pStyle w:val="131"/>
                    <w:rPr>
                      <w:rFonts w:hint="eastAsia"/>
                      <w:lang w:val="en-US" w:eastAsia="zh-CN"/>
                    </w:rPr>
                  </w:pPr>
                </w:p>
              </w:tc>
              <w:tc>
                <w:tcPr>
                  <w:tcW w:w="1036" w:type="dxa"/>
                  <w:noWrap w:val="0"/>
                  <w:vAlign w:val="center"/>
                </w:tcPr>
                <w:p>
                  <w:pPr>
                    <w:pStyle w:val="131"/>
                    <w:rPr>
                      <w:rFonts w:hint="default"/>
                      <w:lang w:val="en-US" w:eastAsia="zh-CN"/>
                    </w:rPr>
                  </w:pPr>
                  <w:r>
                    <w:rPr>
                      <w:rFonts w:hint="eastAsia"/>
                      <w:lang w:val="en-US" w:eastAsia="zh-CN"/>
                    </w:rPr>
                    <w:t>15:28</w:t>
                  </w:r>
                </w:p>
              </w:tc>
              <w:tc>
                <w:tcPr>
                  <w:tcW w:w="1323" w:type="dxa"/>
                  <w:noWrap w:val="0"/>
                  <w:vAlign w:val="center"/>
                </w:tcPr>
                <w:p>
                  <w:pPr>
                    <w:pStyle w:val="131"/>
                    <w:rPr>
                      <w:rFonts w:hint="default"/>
                      <w:lang w:val="en-US" w:eastAsia="zh-CN"/>
                    </w:rPr>
                  </w:pPr>
                  <w:r>
                    <w:rPr>
                      <w:rFonts w:hint="eastAsia"/>
                      <w:lang w:val="en-US" w:eastAsia="zh-CN"/>
                    </w:rPr>
                    <w:t>0.189</w:t>
                  </w:r>
                </w:p>
              </w:tc>
              <w:tc>
                <w:tcPr>
                  <w:tcW w:w="1324" w:type="dxa"/>
                  <w:noWrap w:val="0"/>
                  <w:vAlign w:val="center"/>
                </w:tcPr>
                <w:p>
                  <w:pPr>
                    <w:pStyle w:val="131"/>
                    <w:rPr>
                      <w:rFonts w:hint="default"/>
                      <w:lang w:val="en-US" w:eastAsia="zh-CN"/>
                    </w:rPr>
                  </w:pPr>
                  <w:r>
                    <w:rPr>
                      <w:rFonts w:hint="eastAsia"/>
                      <w:lang w:val="en-US" w:eastAsia="zh-CN"/>
                    </w:rPr>
                    <w:t>0.191</w:t>
                  </w:r>
                </w:p>
              </w:tc>
              <w:tc>
                <w:tcPr>
                  <w:tcW w:w="1324" w:type="dxa"/>
                  <w:noWrap w:val="0"/>
                  <w:vAlign w:val="center"/>
                </w:tcPr>
                <w:p>
                  <w:pPr>
                    <w:pStyle w:val="131"/>
                    <w:rPr>
                      <w:rFonts w:hint="default"/>
                      <w:lang w:val="en-US" w:eastAsia="zh-CN"/>
                    </w:rPr>
                  </w:pPr>
                  <w:r>
                    <w:rPr>
                      <w:rFonts w:hint="eastAsia"/>
                      <w:lang w:val="en-US" w:eastAsia="zh-CN"/>
                    </w:rPr>
                    <w:t>0.192</w:t>
                  </w:r>
                </w:p>
              </w:tc>
              <w:tc>
                <w:tcPr>
                  <w:tcW w:w="1326" w:type="dxa"/>
                  <w:noWrap w:val="0"/>
                  <w:vAlign w:val="center"/>
                </w:tcPr>
                <w:p>
                  <w:pPr>
                    <w:pStyle w:val="131"/>
                    <w:rPr>
                      <w:rFonts w:hint="default"/>
                      <w:lang w:val="en-US" w:eastAsia="zh-CN"/>
                    </w:rPr>
                  </w:pPr>
                  <w:r>
                    <w:rPr>
                      <w:rFonts w:hint="eastAsia"/>
                      <w:lang w:val="en-US" w:eastAsia="zh-CN"/>
                    </w:rPr>
                    <w:t>0.193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1276" w:type="dxa"/>
                  <w:vMerge w:val="restart"/>
                  <w:noWrap w:val="0"/>
                  <w:vAlign w:val="center"/>
                </w:tcPr>
                <w:p>
                  <w:pPr>
                    <w:pStyle w:val="131"/>
                    <w:rPr>
                      <w:rFonts w:hint="default"/>
                      <w:lang w:val="en-US" w:eastAsia="zh-CN"/>
                    </w:rPr>
                  </w:pPr>
                  <w:r>
                    <w:rPr>
                      <w:rFonts w:hint="eastAsia"/>
                      <w:lang w:val="en-US" w:eastAsia="zh-CN"/>
                    </w:rPr>
                    <w:t>臭气浓度（无量纲）</w:t>
                  </w:r>
                </w:p>
              </w:tc>
              <w:tc>
                <w:tcPr>
                  <w:tcW w:w="1370" w:type="dxa"/>
                  <w:vMerge w:val="continue"/>
                  <w:noWrap w:val="0"/>
                  <w:vAlign w:val="center"/>
                </w:tcPr>
                <w:p>
                  <w:pPr>
                    <w:pStyle w:val="131"/>
                    <w:rPr>
                      <w:rFonts w:hint="eastAsia"/>
                      <w:lang w:val="en-US" w:eastAsia="zh-CN"/>
                    </w:rPr>
                  </w:pPr>
                </w:p>
              </w:tc>
              <w:tc>
                <w:tcPr>
                  <w:tcW w:w="1036" w:type="dxa"/>
                  <w:noWrap w:val="0"/>
                  <w:vAlign w:val="center"/>
                </w:tcPr>
                <w:p>
                  <w:pPr>
                    <w:pStyle w:val="131"/>
                    <w:rPr>
                      <w:rFonts w:hint="default"/>
                      <w:lang w:val="en-US" w:eastAsia="zh-CN"/>
                    </w:rPr>
                  </w:pPr>
                  <w:r>
                    <w:rPr>
                      <w:rFonts w:hint="eastAsia"/>
                      <w:lang w:val="en-US" w:eastAsia="zh-CN"/>
                    </w:rPr>
                    <w:t>11:22</w:t>
                  </w:r>
                </w:p>
              </w:tc>
              <w:tc>
                <w:tcPr>
                  <w:tcW w:w="1323" w:type="dxa"/>
                  <w:noWrap w:val="0"/>
                  <w:vAlign w:val="center"/>
                </w:tcPr>
                <w:p>
                  <w:pPr>
                    <w:pStyle w:val="131"/>
                    <w:rPr>
                      <w:rFonts w:hint="default"/>
                      <w:lang w:val="en-US" w:eastAsia="zh-CN"/>
                    </w:rPr>
                  </w:pPr>
                  <w:r>
                    <w:rPr>
                      <w:rFonts w:hint="eastAsia"/>
                      <w:lang w:val="en-US" w:eastAsia="zh-CN"/>
                    </w:rPr>
                    <w:t>11</w:t>
                  </w:r>
                </w:p>
              </w:tc>
              <w:tc>
                <w:tcPr>
                  <w:tcW w:w="1324" w:type="dxa"/>
                  <w:noWrap w:val="0"/>
                  <w:vAlign w:val="center"/>
                </w:tcPr>
                <w:p>
                  <w:pPr>
                    <w:jc w:val="center"/>
                    <w:rPr>
                      <w:rFonts w:hint="default"/>
                      <w:lang w:val="en-US" w:eastAsia="zh-CN"/>
                    </w:rPr>
                  </w:pPr>
                  <w:r>
                    <w:rPr>
                      <w:rFonts w:hint="eastAsia"/>
                      <w:lang w:val="en-US" w:eastAsia="zh-CN"/>
                    </w:rPr>
                    <w:t>13</w:t>
                  </w:r>
                </w:p>
              </w:tc>
              <w:tc>
                <w:tcPr>
                  <w:tcW w:w="1324" w:type="dxa"/>
                  <w:noWrap w:val="0"/>
                  <w:vAlign w:val="center"/>
                </w:tcPr>
                <w:p>
                  <w:pPr>
                    <w:jc w:val="center"/>
                    <w:rPr>
                      <w:rFonts w:hint="default"/>
                      <w:lang w:val="en-US" w:eastAsia="zh-CN"/>
                    </w:rPr>
                  </w:pPr>
                  <w:r>
                    <w:rPr>
                      <w:rFonts w:hint="eastAsia"/>
                      <w:lang w:val="en-US" w:eastAsia="zh-CN"/>
                    </w:rPr>
                    <w:t>14</w:t>
                  </w:r>
                </w:p>
              </w:tc>
              <w:tc>
                <w:tcPr>
                  <w:tcW w:w="1326" w:type="dxa"/>
                  <w:noWrap w:val="0"/>
                  <w:vAlign w:val="center"/>
                </w:tcPr>
                <w:p>
                  <w:pPr>
                    <w:jc w:val="center"/>
                    <w:rPr>
                      <w:rFonts w:hint="default"/>
                      <w:lang w:val="en-US" w:eastAsia="zh-CN"/>
                    </w:rPr>
                  </w:pPr>
                  <w:r>
                    <w:rPr>
                      <w:rFonts w:hint="eastAsia"/>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1276" w:type="dxa"/>
                  <w:vMerge w:val="continue"/>
                  <w:noWrap w:val="0"/>
                  <w:vAlign w:val="center"/>
                </w:tcPr>
                <w:p>
                  <w:pPr>
                    <w:pStyle w:val="131"/>
                    <w:rPr>
                      <w:rFonts w:hint="eastAsia"/>
                    </w:rPr>
                  </w:pPr>
                </w:p>
              </w:tc>
              <w:tc>
                <w:tcPr>
                  <w:tcW w:w="1370" w:type="dxa"/>
                  <w:vMerge w:val="continue"/>
                  <w:noWrap w:val="0"/>
                  <w:vAlign w:val="center"/>
                </w:tcPr>
                <w:p>
                  <w:pPr>
                    <w:pStyle w:val="131"/>
                    <w:rPr>
                      <w:rFonts w:hint="eastAsia"/>
                    </w:rPr>
                  </w:pPr>
                </w:p>
              </w:tc>
              <w:tc>
                <w:tcPr>
                  <w:tcW w:w="1036" w:type="dxa"/>
                  <w:noWrap w:val="0"/>
                  <w:vAlign w:val="center"/>
                </w:tcPr>
                <w:p>
                  <w:pPr>
                    <w:pStyle w:val="131"/>
                    <w:rPr>
                      <w:rFonts w:hint="default"/>
                      <w:lang w:val="en-US" w:eastAsia="zh-CN"/>
                    </w:rPr>
                  </w:pPr>
                  <w:r>
                    <w:rPr>
                      <w:rFonts w:hint="eastAsia"/>
                      <w:lang w:val="en-US" w:eastAsia="zh-CN"/>
                    </w:rPr>
                    <w:t>13:37</w:t>
                  </w:r>
                </w:p>
              </w:tc>
              <w:tc>
                <w:tcPr>
                  <w:tcW w:w="1323" w:type="dxa"/>
                  <w:noWrap w:val="0"/>
                  <w:vAlign w:val="center"/>
                </w:tcPr>
                <w:p>
                  <w:pPr>
                    <w:pStyle w:val="131"/>
                    <w:rPr>
                      <w:rFonts w:hint="default"/>
                      <w:lang w:val="en-US" w:eastAsia="zh-CN"/>
                    </w:rPr>
                  </w:pPr>
                  <w:r>
                    <w:rPr>
                      <w:rFonts w:hint="eastAsia"/>
                      <w:lang w:val="en-US" w:eastAsia="zh-CN"/>
                    </w:rPr>
                    <w:t>12</w:t>
                  </w:r>
                </w:p>
              </w:tc>
              <w:tc>
                <w:tcPr>
                  <w:tcW w:w="1324" w:type="dxa"/>
                  <w:noWrap w:val="0"/>
                  <w:vAlign w:val="center"/>
                </w:tcPr>
                <w:p>
                  <w:pPr>
                    <w:jc w:val="center"/>
                    <w:rPr>
                      <w:rFonts w:hint="default"/>
                      <w:lang w:val="en-US" w:eastAsia="zh-CN"/>
                    </w:rPr>
                  </w:pPr>
                  <w:r>
                    <w:rPr>
                      <w:rFonts w:hint="eastAsia"/>
                      <w:lang w:val="en-US" w:eastAsia="zh-CN"/>
                    </w:rPr>
                    <w:t>13</w:t>
                  </w:r>
                </w:p>
              </w:tc>
              <w:tc>
                <w:tcPr>
                  <w:tcW w:w="1324" w:type="dxa"/>
                  <w:noWrap w:val="0"/>
                  <w:vAlign w:val="center"/>
                </w:tcPr>
                <w:p>
                  <w:pPr>
                    <w:jc w:val="center"/>
                    <w:rPr>
                      <w:rFonts w:hint="default"/>
                      <w:lang w:val="en-US" w:eastAsia="zh-CN"/>
                    </w:rPr>
                  </w:pPr>
                  <w:r>
                    <w:rPr>
                      <w:rFonts w:hint="eastAsia"/>
                      <w:lang w:val="en-US" w:eastAsia="zh-CN"/>
                    </w:rPr>
                    <w:t>15</w:t>
                  </w:r>
                </w:p>
              </w:tc>
              <w:tc>
                <w:tcPr>
                  <w:tcW w:w="1326" w:type="dxa"/>
                  <w:noWrap w:val="0"/>
                  <w:vAlign w:val="center"/>
                </w:tcPr>
                <w:p>
                  <w:pPr>
                    <w:jc w:val="center"/>
                    <w:rPr>
                      <w:rFonts w:hint="default"/>
                      <w:lang w:val="en-US" w:eastAsia="zh-CN"/>
                    </w:rPr>
                  </w:pPr>
                  <w:r>
                    <w:rPr>
                      <w:rFonts w:hint="eastAsia"/>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1276" w:type="dxa"/>
                  <w:vMerge w:val="continue"/>
                  <w:noWrap w:val="0"/>
                  <w:vAlign w:val="center"/>
                </w:tcPr>
                <w:p>
                  <w:pPr>
                    <w:pStyle w:val="131"/>
                    <w:rPr>
                      <w:rFonts w:hint="eastAsia"/>
                    </w:rPr>
                  </w:pPr>
                </w:p>
              </w:tc>
              <w:tc>
                <w:tcPr>
                  <w:tcW w:w="1370" w:type="dxa"/>
                  <w:vMerge w:val="continue"/>
                  <w:noWrap w:val="0"/>
                  <w:vAlign w:val="center"/>
                </w:tcPr>
                <w:p>
                  <w:pPr>
                    <w:pStyle w:val="131"/>
                    <w:rPr>
                      <w:rFonts w:hint="eastAsia"/>
                    </w:rPr>
                  </w:pPr>
                </w:p>
              </w:tc>
              <w:tc>
                <w:tcPr>
                  <w:tcW w:w="1036" w:type="dxa"/>
                  <w:noWrap w:val="0"/>
                  <w:vAlign w:val="center"/>
                </w:tcPr>
                <w:p>
                  <w:pPr>
                    <w:pStyle w:val="131"/>
                    <w:rPr>
                      <w:rFonts w:hint="default"/>
                      <w:lang w:val="en-US" w:eastAsia="zh-CN"/>
                    </w:rPr>
                  </w:pPr>
                  <w:r>
                    <w:rPr>
                      <w:rFonts w:hint="eastAsia"/>
                      <w:lang w:val="en-US" w:eastAsia="zh-CN"/>
                    </w:rPr>
                    <w:t>15:28</w:t>
                  </w:r>
                </w:p>
              </w:tc>
              <w:tc>
                <w:tcPr>
                  <w:tcW w:w="1323" w:type="dxa"/>
                  <w:noWrap w:val="0"/>
                  <w:vAlign w:val="center"/>
                </w:tcPr>
                <w:p>
                  <w:pPr>
                    <w:pStyle w:val="131"/>
                    <w:rPr>
                      <w:rFonts w:hint="default"/>
                      <w:lang w:val="en-US" w:eastAsia="zh-CN"/>
                    </w:rPr>
                  </w:pPr>
                  <w:r>
                    <w:rPr>
                      <w:rFonts w:hint="eastAsia"/>
                      <w:lang w:val="en-US" w:eastAsia="zh-CN"/>
                    </w:rPr>
                    <w:t>12</w:t>
                  </w:r>
                </w:p>
              </w:tc>
              <w:tc>
                <w:tcPr>
                  <w:tcW w:w="1324" w:type="dxa"/>
                  <w:noWrap w:val="0"/>
                  <w:vAlign w:val="center"/>
                </w:tcPr>
                <w:p>
                  <w:pPr>
                    <w:jc w:val="center"/>
                    <w:rPr>
                      <w:rFonts w:hint="default"/>
                      <w:lang w:val="en-US" w:eastAsia="zh-CN"/>
                    </w:rPr>
                  </w:pPr>
                  <w:r>
                    <w:rPr>
                      <w:rFonts w:hint="eastAsia"/>
                      <w:lang w:val="en-US" w:eastAsia="zh-CN"/>
                    </w:rPr>
                    <w:t>14</w:t>
                  </w:r>
                </w:p>
              </w:tc>
              <w:tc>
                <w:tcPr>
                  <w:tcW w:w="1324" w:type="dxa"/>
                  <w:noWrap w:val="0"/>
                  <w:vAlign w:val="center"/>
                </w:tcPr>
                <w:p>
                  <w:pPr>
                    <w:jc w:val="center"/>
                    <w:rPr>
                      <w:rFonts w:hint="default"/>
                      <w:lang w:val="en-US" w:eastAsia="zh-CN"/>
                    </w:rPr>
                  </w:pPr>
                  <w:r>
                    <w:rPr>
                      <w:rFonts w:hint="eastAsia"/>
                      <w:lang w:val="en-US" w:eastAsia="zh-CN"/>
                    </w:rPr>
                    <w:t>15</w:t>
                  </w:r>
                </w:p>
              </w:tc>
              <w:tc>
                <w:tcPr>
                  <w:tcW w:w="1326" w:type="dxa"/>
                  <w:noWrap w:val="0"/>
                  <w:vAlign w:val="center"/>
                </w:tcPr>
                <w:p>
                  <w:pPr>
                    <w:jc w:val="center"/>
                    <w:rPr>
                      <w:rFonts w:hint="default"/>
                      <w:lang w:val="en-US" w:eastAsia="zh-CN"/>
                    </w:rPr>
                  </w:pPr>
                  <w:r>
                    <w:rPr>
                      <w:rFonts w:hint="eastAsia"/>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1276" w:type="dxa"/>
                  <w:vMerge w:val="restart"/>
                  <w:noWrap w:val="0"/>
                  <w:vAlign w:val="center"/>
                </w:tcPr>
                <w:p>
                  <w:pPr>
                    <w:pStyle w:val="131"/>
                    <w:rPr>
                      <w:rFonts w:hint="eastAsia"/>
                      <w:lang w:eastAsia="zh-CN"/>
                    </w:rPr>
                  </w:pPr>
                  <w:r>
                    <w:rPr>
                      <w:rFonts w:hint="eastAsia"/>
                      <w:lang w:eastAsia="zh-CN"/>
                    </w:rPr>
                    <w:t>硫化氢</w:t>
                  </w:r>
                  <w:r>
                    <w:rPr>
                      <w:rFonts w:hint="eastAsia"/>
                      <w:lang w:val="en-US" w:eastAsia="zh-CN"/>
                    </w:rPr>
                    <w:t>（</w:t>
                  </w:r>
                  <w:r>
                    <w:rPr>
                      <w:rFonts w:hint="eastAsia"/>
                      <w:lang w:eastAsia="zh-CN"/>
                    </w:rPr>
                    <w:t>mg/m3</w:t>
                  </w:r>
                  <w:r>
                    <w:rPr>
                      <w:rFonts w:hint="eastAsia"/>
                      <w:lang w:val="en-US" w:eastAsia="zh-CN"/>
                    </w:rPr>
                    <w:t>）</w:t>
                  </w:r>
                </w:p>
              </w:tc>
              <w:tc>
                <w:tcPr>
                  <w:tcW w:w="1370" w:type="dxa"/>
                  <w:vMerge w:val="continue"/>
                  <w:noWrap w:val="0"/>
                  <w:vAlign w:val="center"/>
                </w:tcPr>
                <w:p>
                  <w:pPr>
                    <w:pStyle w:val="131"/>
                    <w:rPr>
                      <w:rFonts w:hint="eastAsia"/>
                    </w:rPr>
                  </w:pPr>
                </w:p>
              </w:tc>
              <w:tc>
                <w:tcPr>
                  <w:tcW w:w="1036" w:type="dxa"/>
                  <w:noWrap w:val="0"/>
                  <w:vAlign w:val="center"/>
                </w:tcPr>
                <w:p>
                  <w:pPr>
                    <w:pStyle w:val="131"/>
                    <w:rPr>
                      <w:rFonts w:hint="eastAsia"/>
                      <w:lang w:val="en-US" w:eastAsia="zh-CN"/>
                    </w:rPr>
                  </w:pPr>
                  <w:r>
                    <w:rPr>
                      <w:rFonts w:hint="eastAsia"/>
                      <w:lang w:val="en-US" w:eastAsia="zh-CN"/>
                    </w:rPr>
                    <w:t>11:22</w:t>
                  </w:r>
                </w:p>
              </w:tc>
              <w:tc>
                <w:tcPr>
                  <w:tcW w:w="1323" w:type="dxa"/>
                  <w:noWrap w:val="0"/>
                  <w:vAlign w:val="center"/>
                </w:tcPr>
                <w:p>
                  <w:pPr>
                    <w:pStyle w:val="131"/>
                    <w:rPr>
                      <w:rFonts w:hint="default"/>
                      <w:lang w:val="en-US" w:eastAsia="zh-CN"/>
                    </w:rPr>
                  </w:pPr>
                  <w:r>
                    <w:rPr>
                      <w:rFonts w:hint="eastAsia"/>
                      <w:lang w:val="en-US" w:eastAsia="zh-CN"/>
                    </w:rPr>
                    <w:t>0.013</w:t>
                  </w:r>
                </w:p>
              </w:tc>
              <w:tc>
                <w:tcPr>
                  <w:tcW w:w="1324" w:type="dxa"/>
                  <w:noWrap w:val="0"/>
                  <w:vAlign w:val="center"/>
                </w:tcPr>
                <w:p>
                  <w:pPr>
                    <w:jc w:val="center"/>
                    <w:rPr>
                      <w:rFonts w:hint="default"/>
                      <w:lang w:val="en-US" w:eastAsia="zh-CN"/>
                    </w:rPr>
                  </w:pPr>
                  <w:r>
                    <w:rPr>
                      <w:rFonts w:hint="eastAsia"/>
                      <w:lang w:val="en-US" w:eastAsia="zh-CN"/>
                    </w:rPr>
                    <w:t>0.021</w:t>
                  </w:r>
                </w:p>
              </w:tc>
              <w:tc>
                <w:tcPr>
                  <w:tcW w:w="1324" w:type="dxa"/>
                  <w:noWrap w:val="0"/>
                  <w:vAlign w:val="center"/>
                </w:tcPr>
                <w:p>
                  <w:pPr>
                    <w:jc w:val="center"/>
                    <w:rPr>
                      <w:rFonts w:hint="default"/>
                      <w:lang w:val="en-US" w:eastAsia="zh-CN"/>
                    </w:rPr>
                  </w:pPr>
                  <w:r>
                    <w:rPr>
                      <w:rFonts w:hint="eastAsia"/>
                      <w:lang w:val="en-US" w:eastAsia="zh-CN"/>
                    </w:rPr>
                    <w:t>0.024</w:t>
                  </w:r>
                </w:p>
              </w:tc>
              <w:tc>
                <w:tcPr>
                  <w:tcW w:w="1326" w:type="dxa"/>
                  <w:noWrap w:val="0"/>
                  <w:vAlign w:val="center"/>
                </w:tcPr>
                <w:p>
                  <w:pPr>
                    <w:jc w:val="center"/>
                    <w:rPr>
                      <w:rFonts w:hint="default"/>
                      <w:lang w:val="en-US" w:eastAsia="zh-CN"/>
                    </w:rPr>
                  </w:pPr>
                  <w:r>
                    <w:rPr>
                      <w:rFonts w:hint="eastAsia"/>
                      <w:lang w:val="en-US" w:eastAsia="zh-CN"/>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1276" w:type="dxa"/>
                  <w:vMerge w:val="continue"/>
                  <w:noWrap w:val="0"/>
                  <w:vAlign w:val="center"/>
                </w:tcPr>
                <w:p>
                  <w:pPr>
                    <w:pStyle w:val="131"/>
                    <w:rPr>
                      <w:rFonts w:hint="eastAsia"/>
                    </w:rPr>
                  </w:pPr>
                </w:p>
              </w:tc>
              <w:tc>
                <w:tcPr>
                  <w:tcW w:w="1370" w:type="dxa"/>
                  <w:vMerge w:val="continue"/>
                  <w:noWrap w:val="0"/>
                  <w:vAlign w:val="center"/>
                </w:tcPr>
                <w:p>
                  <w:pPr>
                    <w:pStyle w:val="131"/>
                    <w:rPr>
                      <w:rFonts w:hint="eastAsia"/>
                    </w:rPr>
                  </w:pPr>
                </w:p>
              </w:tc>
              <w:tc>
                <w:tcPr>
                  <w:tcW w:w="1036" w:type="dxa"/>
                  <w:noWrap w:val="0"/>
                  <w:vAlign w:val="center"/>
                </w:tcPr>
                <w:p>
                  <w:pPr>
                    <w:pStyle w:val="131"/>
                    <w:rPr>
                      <w:rFonts w:hint="eastAsia"/>
                      <w:lang w:val="en-US" w:eastAsia="zh-CN"/>
                    </w:rPr>
                  </w:pPr>
                  <w:r>
                    <w:rPr>
                      <w:rFonts w:hint="eastAsia"/>
                      <w:lang w:val="en-US" w:eastAsia="zh-CN"/>
                    </w:rPr>
                    <w:t>13:37</w:t>
                  </w:r>
                </w:p>
              </w:tc>
              <w:tc>
                <w:tcPr>
                  <w:tcW w:w="1323" w:type="dxa"/>
                  <w:noWrap w:val="0"/>
                  <w:vAlign w:val="center"/>
                </w:tcPr>
                <w:p>
                  <w:pPr>
                    <w:pStyle w:val="131"/>
                    <w:rPr>
                      <w:rFonts w:hint="default"/>
                      <w:lang w:val="en-US" w:eastAsia="zh-CN"/>
                    </w:rPr>
                  </w:pPr>
                  <w:r>
                    <w:rPr>
                      <w:rFonts w:hint="eastAsia"/>
                      <w:lang w:val="en-US" w:eastAsia="zh-CN"/>
                    </w:rPr>
                    <w:t>0.012</w:t>
                  </w:r>
                </w:p>
              </w:tc>
              <w:tc>
                <w:tcPr>
                  <w:tcW w:w="1324" w:type="dxa"/>
                  <w:noWrap w:val="0"/>
                  <w:vAlign w:val="center"/>
                </w:tcPr>
                <w:p>
                  <w:pPr>
                    <w:jc w:val="center"/>
                    <w:rPr>
                      <w:rFonts w:hint="default"/>
                      <w:lang w:val="en-US" w:eastAsia="zh-CN"/>
                    </w:rPr>
                  </w:pPr>
                  <w:r>
                    <w:rPr>
                      <w:rFonts w:hint="eastAsia"/>
                      <w:lang w:val="en-US" w:eastAsia="zh-CN"/>
                    </w:rPr>
                    <w:t>0.019</w:t>
                  </w:r>
                </w:p>
              </w:tc>
              <w:tc>
                <w:tcPr>
                  <w:tcW w:w="1324" w:type="dxa"/>
                  <w:noWrap w:val="0"/>
                  <w:vAlign w:val="center"/>
                </w:tcPr>
                <w:p>
                  <w:pPr>
                    <w:jc w:val="center"/>
                    <w:rPr>
                      <w:rFonts w:hint="default"/>
                      <w:lang w:val="en-US" w:eastAsia="zh-CN"/>
                    </w:rPr>
                  </w:pPr>
                  <w:r>
                    <w:rPr>
                      <w:rFonts w:hint="eastAsia"/>
                      <w:lang w:val="en-US" w:eastAsia="zh-CN"/>
                    </w:rPr>
                    <w:t>0.020</w:t>
                  </w:r>
                </w:p>
              </w:tc>
              <w:tc>
                <w:tcPr>
                  <w:tcW w:w="1326" w:type="dxa"/>
                  <w:noWrap w:val="0"/>
                  <w:vAlign w:val="center"/>
                </w:tcPr>
                <w:p>
                  <w:pPr>
                    <w:jc w:val="center"/>
                    <w:rPr>
                      <w:rFonts w:hint="default"/>
                      <w:lang w:val="en-US" w:eastAsia="zh-CN"/>
                    </w:rPr>
                  </w:pPr>
                  <w:r>
                    <w:rPr>
                      <w:rFonts w:hint="eastAsia"/>
                      <w:lang w:val="en-US" w:eastAsia="zh-CN"/>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1276" w:type="dxa"/>
                  <w:vMerge w:val="continue"/>
                  <w:noWrap w:val="0"/>
                  <w:vAlign w:val="center"/>
                </w:tcPr>
                <w:p>
                  <w:pPr>
                    <w:pStyle w:val="131"/>
                    <w:rPr>
                      <w:rFonts w:hint="eastAsia"/>
                    </w:rPr>
                  </w:pPr>
                </w:p>
              </w:tc>
              <w:tc>
                <w:tcPr>
                  <w:tcW w:w="1370" w:type="dxa"/>
                  <w:vMerge w:val="continue"/>
                  <w:noWrap w:val="0"/>
                  <w:vAlign w:val="center"/>
                </w:tcPr>
                <w:p>
                  <w:pPr>
                    <w:pStyle w:val="131"/>
                    <w:rPr>
                      <w:rFonts w:hint="eastAsia"/>
                    </w:rPr>
                  </w:pPr>
                </w:p>
              </w:tc>
              <w:tc>
                <w:tcPr>
                  <w:tcW w:w="1036" w:type="dxa"/>
                  <w:noWrap w:val="0"/>
                  <w:vAlign w:val="center"/>
                </w:tcPr>
                <w:p>
                  <w:pPr>
                    <w:pStyle w:val="131"/>
                    <w:rPr>
                      <w:rFonts w:hint="eastAsia"/>
                      <w:lang w:val="en-US" w:eastAsia="zh-CN"/>
                    </w:rPr>
                  </w:pPr>
                  <w:r>
                    <w:rPr>
                      <w:rFonts w:hint="eastAsia"/>
                      <w:lang w:val="en-US" w:eastAsia="zh-CN"/>
                    </w:rPr>
                    <w:t>15:28</w:t>
                  </w:r>
                </w:p>
              </w:tc>
              <w:tc>
                <w:tcPr>
                  <w:tcW w:w="1323" w:type="dxa"/>
                  <w:noWrap w:val="0"/>
                  <w:vAlign w:val="center"/>
                </w:tcPr>
                <w:p>
                  <w:pPr>
                    <w:pStyle w:val="131"/>
                    <w:rPr>
                      <w:rFonts w:hint="default"/>
                      <w:lang w:val="en-US" w:eastAsia="zh-CN"/>
                    </w:rPr>
                  </w:pPr>
                  <w:r>
                    <w:rPr>
                      <w:rFonts w:hint="eastAsia"/>
                      <w:lang w:val="en-US" w:eastAsia="zh-CN"/>
                    </w:rPr>
                    <w:t>0.014</w:t>
                  </w:r>
                </w:p>
              </w:tc>
              <w:tc>
                <w:tcPr>
                  <w:tcW w:w="1324" w:type="dxa"/>
                  <w:noWrap w:val="0"/>
                  <w:vAlign w:val="center"/>
                </w:tcPr>
                <w:p>
                  <w:pPr>
                    <w:jc w:val="center"/>
                    <w:rPr>
                      <w:rFonts w:hint="default"/>
                      <w:lang w:val="en-US" w:eastAsia="zh-CN"/>
                    </w:rPr>
                  </w:pPr>
                  <w:r>
                    <w:rPr>
                      <w:rFonts w:hint="eastAsia"/>
                      <w:lang w:val="en-US" w:eastAsia="zh-CN"/>
                    </w:rPr>
                    <w:t>0.022</w:t>
                  </w:r>
                </w:p>
              </w:tc>
              <w:tc>
                <w:tcPr>
                  <w:tcW w:w="1324" w:type="dxa"/>
                  <w:noWrap w:val="0"/>
                  <w:vAlign w:val="center"/>
                </w:tcPr>
                <w:p>
                  <w:pPr>
                    <w:jc w:val="center"/>
                    <w:rPr>
                      <w:rFonts w:hint="default"/>
                      <w:lang w:val="en-US" w:eastAsia="zh-CN"/>
                    </w:rPr>
                  </w:pPr>
                  <w:r>
                    <w:rPr>
                      <w:rFonts w:hint="eastAsia"/>
                      <w:lang w:val="en-US" w:eastAsia="zh-CN"/>
                    </w:rPr>
                    <w:t>0.025</w:t>
                  </w:r>
                </w:p>
              </w:tc>
              <w:tc>
                <w:tcPr>
                  <w:tcW w:w="1326" w:type="dxa"/>
                  <w:noWrap w:val="0"/>
                  <w:vAlign w:val="center"/>
                </w:tcPr>
                <w:p>
                  <w:pPr>
                    <w:jc w:val="center"/>
                    <w:rPr>
                      <w:rFonts w:hint="default"/>
                      <w:lang w:val="en-US" w:eastAsia="zh-CN"/>
                    </w:rPr>
                  </w:pPr>
                  <w:r>
                    <w:rPr>
                      <w:rFonts w:hint="eastAsia"/>
                      <w:lang w:val="en-US" w:eastAsia="zh-CN"/>
                    </w:rPr>
                    <w:t>0.018</w:t>
                  </w:r>
                </w:p>
              </w:tc>
            </w:tr>
          </w:tbl>
          <w:p>
            <w:pPr>
              <w:spacing w:after="0" w:line="220" w:lineRule="atLeast"/>
              <w:jc w:val="center"/>
            </w:pPr>
          </w:p>
          <w:p>
            <w:pPr>
              <w:spacing w:after="0" w:line="220" w:lineRule="atLeast"/>
              <w:jc w:val="center"/>
            </w:pPr>
            <w:r>
              <w:t>表</w:t>
            </w:r>
            <w:r>
              <w:rPr>
                <w:rFonts w:hint="default"/>
              </w:rPr>
              <w:t>7-</w:t>
            </w:r>
            <w:r>
              <w:rPr>
                <w:rFonts w:hint="eastAsia"/>
                <w:lang w:val="en-US" w:eastAsia="zh-CN"/>
              </w:rPr>
              <w:t>4-2无组织</w:t>
            </w:r>
            <w:r>
              <w:rPr>
                <w:rFonts w:hint="eastAsia"/>
                <w:lang w:eastAsia="zh-CN"/>
              </w:rPr>
              <w:t>氨</w:t>
            </w:r>
            <w:r>
              <w:t>检测结果</w:t>
            </w:r>
          </w:p>
          <w:tbl>
            <w:tblPr>
              <w:tblStyle w:val="38"/>
              <w:tblpPr w:leftFromText="180" w:rightFromText="180" w:vertAnchor="text" w:horzAnchor="page" w:tblpXSpec="center" w:tblpY="50"/>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5"/>
              <w:gridCol w:w="1319"/>
              <w:gridCol w:w="952"/>
              <w:gridCol w:w="1167"/>
              <w:gridCol w:w="1186"/>
              <w:gridCol w:w="1186"/>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1276" w:type="dxa"/>
                  <w:vMerge w:val="restart"/>
                  <w:noWrap w:val="0"/>
                  <w:vAlign w:val="center"/>
                </w:tcPr>
                <w:p>
                  <w:pPr>
                    <w:pStyle w:val="131"/>
                    <w:rPr>
                      <w:rFonts w:hint="eastAsia"/>
                    </w:rPr>
                  </w:pPr>
                  <w:r>
                    <w:rPr>
                      <w:rFonts w:hint="eastAsia"/>
                    </w:rPr>
                    <w:t>监测项目</w:t>
                  </w:r>
                </w:p>
              </w:tc>
              <w:tc>
                <w:tcPr>
                  <w:tcW w:w="2406" w:type="dxa"/>
                  <w:gridSpan w:val="2"/>
                  <w:vMerge w:val="restart"/>
                  <w:noWrap w:val="0"/>
                  <w:vAlign w:val="center"/>
                </w:tcPr>
                <w:p>
                  <w:pPr>
                    <w:pStyle w:val="131"/>
                    <w:rPr>
                      <w:rFonts w:hint="eastAsia"/>
                    </w:rPr>
                  </w:pPr>
                  <w:r>
                    <w:rPr>
                      <w:rFonts w:hint="eastAsia"/>
                    </w:rPr>
                    <w:t>采样日期</w:t>
                  </w:r>
                </w:p>
              </w:tc>
              <w:tc>
                <w:tcPr>
                  <w:tcW w:w="5297" w:type="dxa"/>
                  <w:gridSpan w:val="4"/>
                  <w:noWrap w:val="0"/>
                  <w:vAlign w:val="center"/>
                </w:tcPr>
                <w:p>
                  <w:pPr>
                    <w:pStyle w:val="131"/>
                    <w:rPr>
                      <w:rFonts w:hint="eastAsia"/>
                    </w:rPr>
                  </w:pPr>
                  <w:r>
                    <w:rPr>
                      <w:rFonts w:hint="eastAsia"/>
                    </w:rPr>
                    <w:t>采样点位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1276" w:type="dxa"/>
                  <w:vMerge w:val="continue"/>
                  <w:noWrap w:val="0"/>
                  <w:vAlign w:val="center"/>
                </w:tcPr>
                <w:p>
                  <w:pPr>
                    <w:pStyle w:val="131"/>
                    <w:rPr>
                      <w:rFonts w:hint="eastAsia"/>
                    </w:rPr>
                  </w:pPr>
                </w:p>
              </w:tc>
              <w:tc>
                <w:tcPr>
                  <w:tcW w:w="2406" w:type="dxa"/>
                  <w:gridSpan w:val="2"/>
                  <w:vMerge w:val="continue"/>
                  <w:noWrap w:val="0"/>
                  <w:vAlign w:val="center"/>
                </w:tcPr>
                <w:p>
                  <w:pPr>
                    <w:pStyle w:val="131"/>
                    <w:rPr>
                      <w:rFonts w:hint="eastAsia"/>
                    </w:rPr>
                  </w:pPr>
                </w:p>
              </w:tc>
              <w:tc>
                <w:tcPr>
                  <w:tcW w:w="1323" w:type="dxa"/>
                  <w:noWrap w:val="0"/>
                  <w:vAlign w:val="center"/>
                </w:tcPr>
                <w:p>
                  <w:pPr>
                    <w:pStyle w:val="131"/>
                    <w:rPr>
                      <w:rFonts w:hint="eastAsia"/>
                    </w:rPr>
                  </w:pPr>
                  <w:r>
                    <w:rPr>
                      <w:rFonts w:hint="eastAsia"/>
                    </w:rPr>
                    <w:t>上风向1#</w:t>
                  </w:r>
                </w:p>
              </w:tc>
              <w:tc>
                <w:tcPr>
                  <w:tcW w:w="1324" w:type="dxa"/>
                  <w:noWrap w:val="0"/>
                  <w:vAlign w:val="center"/>
                </w:tcPr>
                <w:p>
                  <w:pPr>
                    <w:pStyle w:val="131"/>
                    <w:rPr>
                      <w:rFonts w:hint="eastAsia"/>
                    </w:rPr>
                  </w:pPr>
                  <w:r>
                    <w:rPr>
                      <w:rFonts w:hint="eastAsia"/>
                    </w:rPr>
                    <w:t>下风向2#</w:t>
                  </w:r>
                </w:p>
              </w:tc>
              <w:tc>
                <w:tcPr>
                  <w:tcW w:w="1324" w:type="dxa"/>
                  <w:noWrap w:val="0"/>
                  <w:vAlign w:val="center"/>
                </w:tcPr>
                <w:p>
                  <w:pPr>
                    <w:pStyle w:val="131"/>
                    <w:rPr>
                      <w:rFonts w:hint="eastAsia"/>
                    </w:rPr>
                  </w:pPr>
                  <w:r>
                    <w:rPr>
                      <w:rFonts w:hint="eastAsia"/>
                    </w:rPr>
                    <w:t>下风向3#</w:t>
                  </w:r>
                </w:p>
              </w:tc>
              <w:tc>
                <w:tcPr>
                  <w:tcW w:w="1326" w:type="dxa"/>
                  <w:noWrap w:val="0"/>
                  <w:vAlign w:val="center"/>
                </w:tcPr>
                <w:p>
                  <w:pPr>
                    <w:pStyle w:val="131"/>
                    <w:rPr>
                      <w:rFonts w:hint="eastAsia"/>
                    </w:rPr>
                  </w:pPr>
                  <w:r>
                    <w:rPr>
                      <w:rFonts w:hint="eastAsia"/>
                    </w:rPr>
                    <w:t>下风向4#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1276" w:type="dxa"/>
                  <w:vMerge w:val="restart"/>
                  <w:noWrap w:val="0"/>
                  <w:vAlign w:val="center"/>
                </w:tcPr>
                <w:p>
                  <w:pPr>
                    <w:pStyle w:val="131"/>
                    <w:rPr>
                      <w:rFonts w:hint="eastAsia"/>
                      <w:lang w:val="en-US" w:eastAsia="zh-CN"/>
                    </w:rPr>
                  </w:pPr>
                  <w:r>
                    <w:rPr>
                      <w:rFonts w:hint="eastAsia"/>
                      <w:lang w:val="en-US" w:eastAsia="zh-CN"/>
                    </w:rPr>
                    <w:t>氨</w:t>
                  </w:r>
                </w:p>
                <w:p>
                  <w:pPr>
                    <w:pStyle w:val="131"/>
                    <w:rPr>
                      <w:rFonts w:hint="eastAsia"/>
                      <w:lang w:val="en-US" w:eastAsia="zh-CN"/>
                    </w:rPr>
                  </w:pPr>
                  <w:r>
                    <w:rPr>
                      <w:rFonts w:hint="eastAsia"/>
                      <w:lang w:val="en-US" w:eastAsia="zh-CN"/>
                    </w:rPr>
                    <w:t>（</w:t>
                  </w:r>
                  <w:r>
                    <w:rPr>
                      <w:rFonts w:hint="eastAsia"/>
                      <w:lang w:eastAsia="zh-CN"/>
                    </w:rPr>
                    <w:t>mg/m3</w:t>
                  </w:r>
                  <w:r>
                    <w:rPr>
                      <w:rFonts w:hint="eastAsia"/>
                      <w:lang w:val="en-US" w:eastAsia="zh-CN"/>
                    </w:rPr>
                    <w:t>）</w:t>
                  </w:r>
                </w:p>
              </w:tc>
              <w:tc>
                <w:tcPr>
                  <w:tcW w:w="1370" w:type="dxa"/>
                  <w:vMerge w:val="restart"/>
                  <w:noWrap w:val="0"/>
                  <w:vAlign w:val="center"/>
                </w:tcPr>
                <w:p>
                  <w:pPr>
                    <w:pStyle w:val="131"/>
                    <w:rPr>
                      <w:rFonts w:hint="eastAsia"/>
                      <w:lang w:val="en-US" w:eastAsia="zh-CN"/>
                    </w:rPr>
                  </w:pPr>
                </w:p>
                <w:p>
                  <w:pPr>
                    <w:pStyle w:val="131"/>
                    <w:rPr>
                      <w:rFonts w:hint="default"/>
                      <w:lang w:val="en-US" w:eastAsia="zh-CN"/>
                    </w:rPr>
                  </w:pPr>
                  <w:r>
                    <w:rPr>
                      <w:rFonts w:hint="eastAsia"/>
                      <w:lang w:val="en-US" w:eastAsia="zh-CN"/>
                    </w:rPr>
                    <w:t>2021.07.13</w:t>
                  </w:r>
                </w:p>
              </w:tc>
              <w:tc>
                <w:tcPr>
                  <w:tcW w:w="1036" w:type="dxa"/>
                  <w:noWrap w:val="0"/>
                  <w:vAlign w:val="center"/>
                </w:tcPr>
                <w:p>
                  <w:pPr>
                    <w:pStyle w:val="131"/>
                    <w:rPr>
                      <w:rFonts w:hint="default"/>
                      <w:lang w:val="en-US" w:eastAsia="zh-CN"/>
                    </w:rPr>
                  </w:pPr>
                  <w:r>
                    <w:rPr>
                      <w:rFonts w:hint="eastAsia"/>
                      <w:lang w:val="en-US" w:eastAsia="zh-CN"/>
                    </w:rPr>
                    <w:t>11:22</w:t>
                  </w:r>
                </w:p>
              </w:tc>
              <w:tc>
                <w:tcPr>
                  <w:tcW w:w="1323" w:type="dxa"/>
                  <w:noWrap w:val="0"/>
                  <w:vAlign w:val="center"/>
                </w:tcPr>
                <w:p>
                  <w:pPr>
                    <w:pStyle w:val="131"/>
                    <w:rPr>
                      <w:rFonts w:hint="default"/>
                      <w:lang w:val="en-US" w:eastAsia="zh-CN"/>
                    </w:rPr>
                  </w:pPr>
                  <w:r>
                    <w:rPr>
                      <w:rFonts w:hint="eastAsia"/>
                      <w:lang w:val="en-US" w:eastAsia="zh-CN"/>
                    </w:rPr>
                    <w:t>0.12</w:t>
                  </w:r>
                </w:p>
              </w:tc>
              <w:tc>
                <w:tcPr>
                  <w:tcW w:w="1324" w:type="dxa"/>
                  <w:noWrap w:val="0"/>
                  <w:vAlign w:val="center"/>
                </w:tcPr>
                <w:p>
                  <w:pPr>
                    <w:pStyle w:val="131"/>
                    <w:rPr>
                      <w:rFonts w:hint="default"/>
                      <w:lang w:val="en-US" w:eastAsia="zh-CN"/>
                    </w:rPr>
                  </w:pPr>
                  <w:r>
                    <w:rPr>
                      <w:rFonts w:hint="eastAsia"/>
                      <w:lang w:val="en-US" w:eastAsia="zh-CN"/>
                    </w:rPr>
                    <w:t>0.15</w:t>
                  </w:r>
                </w:p>
              </w:tc>
              <w:tc>
                <w:tcPr>
                  <w:tcW w:w="1324" w:type="dxa"/>
                  <w:noWrap w:val="0"/>
                  <w:vAlign w:val="center"/>
                </w:tcPr>
                <w:p>
                  <w:pPr>
                    <w:pStyle w:val="131"/>
                    <w:rPr>
                      <w:rFonts w:hint="default"/>
                      <w:lang w:val="en-US" w:eastAsia="zh-CN"/>
                    </w:rPr>
                  </w:pPr>
                  <w:r>
                    <w:rPr>
                      <w:rFonts w:hint="eastAsia"/>
                      <w:lang w:val="en-US" w:eastAsia="zh-CN"/>
                    </w:rPr>
                    <w:t>0.18</w:t>
                  </w:r>
                </w:p>
              </w:tc>
              <w:tc>
                <w:tcPr>
                  <w:tcW w:w="1326" w:type="dxa"/>
                  <w:noWrap w:val="0"/>
                  <w:vAlign w:val="center"/>
                </w:tcPr>
                <w:p>
                  <w:pPr>
                    <w:pStyle w:val="131"/>
                    <w:rPr>
                      <w:rFonts w:hint="default"/>
                      <w:lang w:val="en-US" w:eastAsia="zh-CN"/>
                    </w:rPr>
                  </w:pPr>
                  <w:r>
                    <w:rPr>
                      <w:rFonts w:hint="eastAsia"/>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1276" w:type="dxa"/>
                  <w:vMerge w:val="continue"/>
                  <w:noWrap w:val="0"/>
                  <w:vAlign w:val="center"/>
                </w:tcPr>
                <w:p>
                  <w:pPr>
                    <w:pStyle w:val="131"/>
                    <w:rPr>
                      <w:rFonts w:hint="eastAsia"/>
                    </w:rPr>
                  </w:pPr>
                </w:p>
              </w:tc>
              <w:tc>
                <w:tcPr>
                  <w:tcW w:w="1370" w:type="dxa"/>
                  <w:vMerge w:val="continue"/>
                  <w:noWrap w:val="0"/>
                  <w:vAlign w:val="center"/>
                </w:tcPr>
                <w:p>
                  <w:pPr>
                    <w:pStyle w:val="131"/>
                    <w:rPr>
                      <w:rFonts w:hint="eastAsia"/>
                      <w:lang w:val="en-US" w:eastAsia="zh-CN"/>
                    </w:rPr>
                  </w:pPr>
                </w:p>
              </w:tc>
              <w:tc>
                <w:tcPr>
                  <w:tcW w:w="1036" w:type="dxa"/>
                  <w:noWrap w:val="0"/>
                  <w:vAlign w:val="center"/>
                </w:tcPr>
                <w:p>
                  <w:pPr>
                    <w:pStyle w:val="131"/>
                    <w:rPr>
                      <w:rFonts w:hint="default"/>
                      <w:lang w:val="en-US" w:eastAsia="zh-CN"/>
                    </w:rPr>
                  </w:pPr>
                  <w:r>
                    <w:rPr>
                      <w:rFonts w:hint="eastAsia"/>
                      <w:lang w:val="en-US" w:eastAsia="zh-CN"/>
                    </w:rPr>
                    <w:t>13:37</w:t>
                  </w:r>
                </w:p>
              </w:tc>
              <w:tc>
                <w:tcPr>
                  <w:tcW w:w="1323" w:type="dxa"/>
                  <w:noWrap w:val="0"/>
                  <w:vAlign w:val="center"/>
                </w:tcPr>
                <w:p>
                  <w:pPr>
                    <w:pStyle w:val="131"/>
                    <w:rPr>
                      <w:rFonts w:hint="default"/>
                      <w:lang w:val="en-US" w:eastAsia="zh-CN"/>
                    </w:rPr>
                  </w:pPr>
                  <w:r>
                    <w:rPr>
                      <w:rFonts w:hint="eastAsia"/>
                      <w:lang w:val="en-US" w:eastAsia="zh-CN"/>
                    </w:rPr>
                    <w:t>0.13</w:t>
                  </w:r>
                </w:p>
              </w:tc>
              <w:tc>
                <w:tcPr>
                  <w:tcW w:w="1324" w:type="dxa"/>
                  <w:noWrap w:val="0"/>
                  <w:vAlign w:val="center"/>
                </w:tcPr>
                <w:p>
                  <w:pPr>
                    <w:pStyle w:val="131"/>
                    <w:rPr>
                      <w:rFonts w:hint="default"/>
                      <w:lang w:val="en-US" w:eastAsia="zh-CN"/>
                    </w:rPr>
                  </w:pPr>
                  <w:r>
                    <w:rPr>
                      <w:rFonts w:hint="eastAsia"/>
                      <w:lang w:val="en-US" w:eastAsia="zh-CN"/>
                    </w:rPr>
                    <w:t>0.16</w:t>
                  </w:r>
                </w:p>
              </w:tc>
              <w:tc>
                <w:tcPr>
                  <w:tcW w:w="1324" w:type="dxa"/>
                  <w:noWrap w:val="0"/>
                  <w:vAlign w:val="center"/>
                </w:tcPr>
                <w:p>
                  <w:pPr>
                    <w:pStyle w:val="131"/>
                    <w:rPr>
                      <w:rFonts w:hint="default"/>
                      <w:lang w:val="en-US" w:eastAsia="zh-CN"/>
                    </w:rPr>
                  </w:pPr>
                  <w:r>
                    <w:rPr>
                      <w:rFonts w:hint="eastAsia"/>
                      <w:lang w:val="en-US" w:eastAsia="zh-CN"/>
                    </w:rPr>
                    <w:t>0.17</w:t>
                  </w:r>
                </w:p>
              </w:tc>
              <w:tc>
                <w:tcPr>
                  <w:tcW w:w="1326" w:type="dxa"/>
                  <w:noWrap w:val="0"/>
                  <w:vAlign w:val="center"/>
                </w:tcPr>
                <w:p>
                  <w:pPr>
                    <w:pStyle w:val="131"/>
                    <w:rPr>
                      <w:rFonts w:hint="default"/>
                      <w:lang w:val="en-US" w:eastAsia="zh-CN"/>
                    </w:rPr>
                  </w:pPr>
                  <w:r>
                    <w:rPr>
                      <w:rFonts w:hint="eastAsia"/>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1276" w:type="dxa"/>
                  <w:vMerge w:val="continue"/>
                  <w:noWrap w:val="0"/>
                  <w:vAlign w:val="center"/>
                </w:tcPr>
                <w:p>
                  <w:pPr>
                    <w:pStyle w:val="131"/>
                    <w:rPr>
                      <w:rFonts w:hint="eastAsia"/>
                    </w:rPr>
                  </w:pPr>
                </w:p>
              </w:tc>
              <w:tc>
                <w:tcPr>
                  <w:tcW w:w="1370" w:type="dxa"/>
                  <w:vMerge w:val="continue"/>
                  <w:noWrap w:val="0"/>
                  <w:vAlign w:val="center"/>
                </w:tcPr>
                <w:p>
                  <w:pPr>
                    <w:pStyle w:val="131"/>
                    <w:rPr>
                      <w:rFonts w:hint="eastAsia"/>
                      <w:lang w:val="en-US" w:eastAsia="zh-CN"/>
                    </w:rPr>
                  </w:pPr>
                </w:p>
              </w:tc>
              <w:tc>
                <w:tcPr>
                  <w:tcW w:w="1036" w:type="dxa"/>
                  <w:noWrap w:val="0"/>
                  <w:vAlign w:val="center"/>
                </w:tcPr>
                <w:p>
                  <w:pPr>
                    <w:pStyle w:val="131"/>
                    <w:rPr>
                      <w:rFonts w:hint="default"/>
                      <w:lang w:val="en-US" w:eastAsia="zh-CN"/>
                    </w:rPr>
                  </w:pPr>
                  <w:r>
                    <w:rPr>
                      <w:rFonts w:hint="eastAsia"/>
                      <w:lang w:val="en-US" w:eastAsia="zh-CN"/>
                    </w:rPr>
                    <w:t>15:28</w:t>
                  </w:r>
                </w:p>
              </w:tc>
              <w:tc>
                <w:tcPr>
                  <w:tcW w:w="1323" w:type="dxa"/>
                  <w:noWrap w:val="0"/>
                  <w:vAlign w:val="center"/>
                </w:tcPr>
                <w:p>
                  <w:pPr>
                    <w:pStyle w:val="131"/>
                    <w:rPr>
                      <w:rFonts w:hint="default"/>
                      <w:lang w:val="en-US" w:eastAsia="zh-CN"/>
                    </w:rPr>
                  </w:pPr>
                  <w:r>
                    <w:rPr>
                      <w:rFonts w:hint="eastAsia"/>
                      <w:lang w:val="en-US" w:eastAsia="zh-CN"/>
                    </w:rPr>
                    <w:t>0.13</w:t>
                  </w:r>
                </w:p>
              </w:tc>
              <w:tc>
                <w:tcPr>
                  <w:tcW w:w="1324" w:type="dxa"/>
                  <w:noWrap w:val="0"/>
                  <w:vAlign w:val="center"/>
                </w:tcPr>
                <w:p>
                  <w:pPr>
                    <w:pStyle w:val="131"/>
                    <w:rPr>
                      <w:rFonts w:hint="default"/>
                      <w:lang w:val="en-US" w:eastAsia="zh-CN"/>
                    </w:rPr>
                  </w:pPr>
                  <w:r>
                    <w:rPr>
                      <w:rFonts w:hint="eastAsia"/>
                      <w:lang w:val="en-US" w:eastAsia="zh-CN"/>
                    </w:rPr>
                    <w:t>0.17</w:t>
                  </w:r>
                </w:p>
              </w:tc>
              <w:tc>
                <w:tcPr>
                  <w:tcW w:w="1324" w:type="dxa"/>
                  <w:noWrap w:val="0"/>
                  <w:vAlign w:val="center"/>
                </w:tcPr>
                <w:p>
                  <w:pPr>
                    <w:pStyle w:val="131"/>
                    <w:rPr>
                      <w:rFonts w:hint="default"/>
                      <w:lang w:val="en-US" w:eastAsia="zh-CN"/>
                    </w:rPr>
                  </w:pPr>
                  <w:r>
                    <w:rPr>
                      <w:rFonts w:hint="eastAsia"/>
                      <w:lang w:val="en-US" w:eastAsia="zh-CN"/>
                    </w:rPr>
                    <w:t>0.19</w:t>
                  </w:r>
                </w:p>
              </w:tc>
              <w:tc>
                <w:tcPr>
                  <w:tcW w:w="1326" w:type="dxa"/>
                  <w:noWrap w:val="0"/>
                  <w:vAlign w:val="center"/>
                </w:tcPr>
                <w:p>
                  <w:pPr>
                    <w:pStyle w:val="131"/>
                    <w:rPr>
                      <w:rFonts w:hint="default"/>
                      <w:lang w:val="en-US" w:eastAsia="zh-CN"/>
                    </w:rPr>
                  </w:pPr>
                  <w:r>
                    <w:rPr>
                      <w:rFonts w:hint="eastAsia"/>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1276" w:type="dxa"/>
                  <w:vMerge w:val="restart"/>
                  <w:noWrap w:val="0"/>
                  <w:vAlign w:val="center"/>
                </w:tcPr>
                <w:p>
                  <w:pPr>
                    <w:pStyle w:val="131"/>
                    <w:rPr>
                      <w:rFonts w:hint="default"/>
                      <w:lang w:val="en-US" w:eastAsia="zh-CN"/>
                    </w:rPr>
                  </w:pPr>
                  <w:r>
                    <w:rPr>
                      <w:rFonts w:hint="eastAsia"/>
                      <w:lang w:val="en-US" w:eastAsia="zh-CN"/>
                    </w:rPr>
                    <w:t>臭气浓度（无量纲）</w:t>
                  </w:r>
                </w:p>
              </w:tc>
              <w:tc>
                <w:tcPr>
                  <w:tcW w:w="1370" w:type="dxa"/>
                  <w:vMerge w:val="restart"/>
                  <w:noWrap w:val="0"/>
                  <w:vAlign w:val="center"/>
                </w:tcPr>
                <w:p>
                  <w:pPr>
                    <w:pStyle w:val="131"/>
                    <w:rPr>
                      <w:rFonts w:hint="default"/>
                      <w:lang w:val="en-US" w:eastAsia="zh-CN"/>
                    </w:rPr>
                  </w:pPr>
                  <w:r>
                    <w:rPr>
                      <w:rFonts w:hint="eastAsia"/>
                      <w:lang w:val="en-US" w:eastAsia="zh-CN"/>
                    </w:rPr>
                    <w:t>2021.07.14</w:t>
                  </w:r>
                </w:p>
              </w:tc>
              <w:tc>
                <w:tcPr>
                  <w:tcW w:w="1036" w:type="dxa"/>
                  <w:noWrap w:val="0"/>
                  <w:vAlign w:val="center"/>
                </w:tcPr>
                <w:p>
                  <w:pPr>
                    <w:pStyle w:val="131"/>
                    <w:rPr>
                      <w:rFonts w:hint="default"/>
                      <w:lang w:val="en-US" w:eastAsia="zh-CN"/>
                    </w:rPr>
                  </w:pPr>
                  <w:r>
                    <w:rPr>
                      <w:rFonts w:hint="eastAsia"/>
                      <w:lang w:val="en-US" w:eastAsia="zh-CN"/>
                    </w:rPr>
                    <w:t>9:36</w:t>
                  </w:r>
                </w:p>
              </w:tc>
              <w:tc>
                <w:tcPr>
                  <w:tcW w:w="1323" w:type="dxa"/>
                  <w:noWrap w:val="0"/>
                  <w:vAlign w:val="center"/>
                </w:tcPr>
                <w:p>
                  <w:pPr>
                    <w:pStyle w:val="131"/>
                    <w:rPr>
                      <w:rFonts w:hint="default"/>
                      <w:lang w:val="en-US" w:eastAsia="zh-CN"/>
                    </w:rPr>
                  </w:pPr>
                  <w:r>
                    <w:rPr>
                      <w:rFonts w:hint="eastAsia"/>
                      <w:lang w:val="en-US" w:eastAsia="zh-CN"/>
                    </w:rPr>
                    <w:t>11</w:t>
                  </w:r>
                </w:p>
              </w:tc>
              <w:tc>
                <w:tcPr>
                  <w:tcW w:w="1324" w:type="dxa"/>
                  <w:noWrap w:val="0"/>
                  <w:vAlign w:val="center"/>
                </w:tcPr>
                <w:p>
                  <w:pPr>
                    <w:jc w:val="center"/>
                    <w:rPr>
                      <w:rFonts w:hint="default"/>
                      <w:lang w:val="en-US" w:eastAsia="zh-CN"/>
                    </w:rPr>
                  </w:pPr>
                  <w:r>
                    <w:rPr>
                      <w:rFonts w:hint="eastAsia"/>
                      <w:lang w:val="en-US" w:eastAsia="zh-CN"/>
                    </w:rPr>
                    <w:t>12</w:t>
                  </w:r>
                </w:p>
              </w:tc>
              <w:tc>
                <w:tcPr>
                  <w:tcW w:w="1324" w:type="dxa"/>
                  <w:noWrap w:val="0"/>
                  <w:vAlign w:val="center"/>
                </w:tcPr>
                <w:p>
                  <w:pPr>
                    <w:jc w:val="center"/>
                    <w:rPr>
                      <w:rFonts w:hint="default"/>
                      <w:lang w:val="en-US" w:eastAsia="zh-CN"/>
                    </w:rPr>
                  </w:pPr>
                  <w:r>
                    <w:rPr>
                      <w:rFonts w:hint="eastAsia"/>
                      <w:lang w:val="en-US" w:eastAsia="zh-CN"/>
                    </w:rPr>
                    <w:t>16</w:t>
                  </w:r>
                </w:p>
              </w:tc>
              <w:tc>
                <w:tcPr>
                  <w:tcW w:w="1326" w:type="dxa"/>
                  <w:noWrap w:val="0"/>
                  <w:vAlign w:val="center"/>
                </w:tcPr>
                <w:p>
                  <w:pPr>
                    <w:jc w:val="center"/>
                    <w:rPr>
                      <w:rFonts w:hint="default"/>
                      <w:lang w:val="en-US" w:eastAsia="zh-CN"/>
                    </w:rPr>
                  </w:pPr>
                  <w:r>
                    <w:rPr>
                      <w:rFonts w:hint="eastAsia"/>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1276" w:type="dxa"/>
                  <w:vMerge w:val="continue"/>
                  <w:noWrap w:val="0"/>
                  <w:vAlign w:val="center"/>
                </w:tcPr>
                <w:p>
                  <w:pPr>
                    <w:pStyle w:val="131"/>
                    <w:rPr>
                      <w:rFonts w:hint="eastAsia"/>
                    </w:rPr>
                  </w:pPr>
                </w:p>
              </w:tc>
              <w:tc>
                <w:tcPr>
                  <w:tcW w:w="1370" w:type="dxa"/>
                  <w:vMerge w:val="continue"/>
                  <w:noWrap w:val="0"/>
                  <w:vAlign w:val="center"/>
                </w:tcPr>
                <w:p>
                  <w:pPr>
                    <w:pStyle w:val="131"/>
                    <w:rPr>
                      <w:rFonts w:hint="eastAsia"/>
                    </w:rPr>
                  </w:pPr>
                </w:p>
              </w:tc>
              <w:tc>
                <w:tcPr>
                  <w:tcW w:w="1036" w:type="dxa"/>
                  <w:noWrap w:val="0"/>
                  <w:vAlign w:val="center"/>
                </w:tcPr>
                <w:p>
                  <w:pPr>
                    <w:pStyle w:val="131"/>
                    <w:rPr>
                      <w:rFonts w:hint="default"/>
                      <w:lang w:val="en-US" w:eastAsia="zh-CN"/>
                    </w:rPr>
                  </w:pPr>
                  <w:r>
                    <w:rPr>
                      <w:rFonts w:hint="eastAsia"/>
                      <w:lang w:val="en-US" w:eastAsia="zh-CN"/>
                    </w:rPr>
                    <w:t>11:34</w:t>
                  </w:r>
                </w:p>
              </w:tc>
              <w:tc>
                <w:tcPr>
                  <w:tcW w:w="1323" w:type="dxa"/>
                  <w:noWrap w:val="0"/>
                  <w:vAlign w:val="center"/>
                </w:tcPr>
                <w:p>
                  <w:pPr>
                    <w:pStyle w:val="131"/>
                    <w:rPr>
                      <w:rFonts w:hint="default"/>
                      <w:lang w:val="en-US" w:eastAsia="zh-CN"/>
                    </w:rPr>
                  </w:pPr>
                  <w:r>
                    <w:rPr>
                      <w:rFonts w:hint="eastAsia"/>
                      <w:lang w:val="en-US" w:eastAsia="zh-CN"/>
                    </w:rPr>
                    <w:t>12</w:t>
                  </w:r>
                </w:p>
              </w:tc>
              <w:tc>
                <w:tcPr>
                  <w:tcW w:w="1324" w:type="dxa"/>
                  <w:noWrap w:val="0"/>
                  <w:vAlign w:val="center"/>
                </w:tcPr>
                <w:p>
                  <w:pPr>
                    <w:jc w:val="center"/>
                    <w:rPr>
                      <w:rFonts w:hint="default"/>
                      <w:lang w:val="en-US" w:eastAsia="zh-CN"/>
                    </w:rPr>
                  </w:pPr>
                  <w:r>
                    <w:rPr>
                      <w:rFonts w:hint="eastAsia"/>
                      <w:lang w:val="en-US" w:eastAsia="zh-CN"/>
                    </w:rPr>
                    <w:t>13</w:t>
                  </w:r>
                </w:p>
              </w:tc>
              <w:tc>
                <w:tcPr>
                  <w:tcW w:w="1324" w:type="dxa"/>
                  <w:noWrap w:val="0"/>
                  <w:vAlign w:val="center"/>
                </w:tcPr>
                <w:p>
                  <w:pPr>
                    <w:jc w:val="center"/>
                    <w:rPr>
                      <w:rFonts w:hint="default"/>
                      <w:lang w:val="en-US" w:eastAsia="zh-CN"/>
                    </w:rPr>
                  </w:pPr>
                  <w:r>
                    <w:rPr>
                      <w:rFonts w:hint="eastAsia"/>
                      <w:lang w:val="en-US" w:eastAsia="zh-CN"/>
                    </w:rPr>
                    <w:t>14</w:t>
                  </w:r>
                </w:p>
              </w:tc>
              <w:tc>
                <w:tcPr>
                  <w:tcW w:w="1326" w:type="dxa"/>
                  <w:noWrap w:val="0"/>
                  <w:vAlign w:val="center"/>
                </w:tcPr>
                <w:p>
                  <w:pPr>
                    <w:jc w:val="center"/>
                    <w:rPr>
                      <w:rFonts w:hint="default"/>
                      <w:lang w:val="en-US" w:eastAsia="zh-CN"/>
                    </w:rPr>
                  </w:pPr>
                  <w:r>
                    <w:rPr>
                      <w:rFonts w:hint="eastAsia"/>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1276" w:type="dxa"/>
                  <w:vMerge w:val="continue"/>
                  <w:noWrap w:val="0"/>
                  <w:vAlign w:val="center"/>
                </w:tcPr>
                <w:p>
                  <w:pPr>
                    <w:pStyle w:val="131"/>
                    <w:rPr>
                      <w:rFonts w:hint="eastAsia"/>
                    </w:rPr>
                  </w:pPr>
                </w:p>
              </w:tc>
              <w:tc>
                <w:tcPr>
                  <w:tcW w:w="1370" w:type="dxa"/>
                  <w:vMerge w:val="continue"/>
                  <w:noWrap w:val="0"/>
                  <w:vAlign w:val="center"/>
                </w:tcPr>
                <w:p>
                  <w:pPr>
                    <w:pStyle w:val="131"/>
                    <w:rPr>
                      <w:rFonts w:hint="eastAsia"/>
                    </w:rPr>
                  </w:pPr>
                </w:p>
              </w:tc>
              <w:tc>
                <w:tcPr>
                  <w:tcW w:w="1036" w:type="dxa"/>
                  <w:noWrap w:val="0"/>
                  <w:vAlign w:val="center"/>
                </w:tcPr>
                <w:p>
                  <w:pPr>
                    <w:pStyle w:val="131"/>
                    <w:rPr>
                      <w:rFonts w:hint="default"/>
                      <w:lang w:val="en-US" w:eastAsia="zh-CN"/>
                    </w:rPr>
                  </w:pPr>
                  <w:r>
                    <w:rPr>
                      <w:rFonts w:hint="eastAsia"/>
                      <w:lang w:val="en-US" w:eastAsia="zh-CN"/>
                    </w:rPr>
                    <w:t>13:21</w:t>
                  </w:r>
                </w:p>
              </w:tc>
              <w:tc>
                <w:tcPr>
                  <w:tcW w:w="1323" w:type="dxa"/>
                  <w:noWrap w:val="0"/>
                  <w:vAlign w:val="center"/>
                </w:tcPr>
                <w:p>
                  <w:pPr>
                    <w:pStyle w:val="131"/>
                    <w:rPr>
                      <w:rFonts w:hint="default"/>
                      <w:lang w:val="en-US" w:eastAsia="zh-CN"/>
                    </w:rPr>
                  </w:pPr>
                  <w:r>
                    <w:rPr>
                      <w:rFonts w:hint="eastAsia"/>
                      <w:lang w:val="en-US" w:eastAsia="zh-CN"/>
                    </w:rPr>
                    <w:t>13</w:t>
                  </w:r>
                </w:p>
              </w:tc>
              <w:tc>
                <w:tcPr>
                  <w:tcW w:w="1324" w:type="dxa"/>
                  <w:noWrap w:val="0"/>
                  <w:vAlign w:val="center"/>
                </w:tcPr>
                <w:p>
                  <w:pPr>
                    <w:jc w:val="center"/>
                    <w:rPr>
                      <w:rFonts w:hint="default"/>
                      <w:lang w:val="en-US" w:eastAsia="zh-CN"/>
                    </w:rPr>
                  </w:pPr>
                  <w:r>
                    <w:rPr>
                      <w:rFonts w:hint="eastAsia"/>
                      <w:lang w:val="en-US" w:eastAsia="zh-CN"/>
                    </w:rPr>
                    <w:t>15</w:t>
                  </w:r>
                </w:p>
              </w:tc>
              <w:tc>
                <w:tcPr>
                  <w:tcW w:w="1324" w:type="dxa"/>
                  <w:noWrap w:val="0"/>
                  <w:vAlign w:val="center"/>
                </w:tcPr>
                <w:p>
                  <w:pPr>
                    <w:jc w:val="center"/>
                    <w:rPr>
                      <w:rFonts w:hint="default"/>
                      <w:lang w:val="en-US" w:eastAsia="zh-CN"/>
                    </w:rPr>
                  </w:pPr>
                  <w:r>
                    <w:rPr>
                      <w:rFonts w:hint="eastAsia"/>
                      <w:lang w:val="en-US" w:eastAsia="zh-CN"/>
                    </w:rPr>
                    <w:t>16</w:t>
                  </w:r>
                </w:p>
              </w:tc>
              <w:tc>
                <w:tcPr>
                  <w:tcW w:w="1326" w:type="dxa"/>
                  <w:noWrap w:val="0"/>
                  <w:vAlign w:val="center"/>
                </w:tcPr>
                <w:p>
                  <w:pPr>
                    <w:jc w:val="center"/>
                    <w:rPr>
                      <w:rFonts w:hint="default"/>
                      <w:lang w:val="en-US" w:eastAsia="zh-CN"/>
                    </w:rPr>
                  </w:pPr>
                  <w:r>
                    <w:rPr>
                      <w:rFonts w:hint="eastAsia"/>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1276" w:type="dxa"/>
                  <w:vMerge w:val="restart"/>
                  <w:noWrap w:val="0"/>
                  <w:vAlign w:val="center"/>
                </w:tcPr>
                <w:p>
                  <w:pPr>
                    <w:pStyle w:val="131"/>
                    <w:rPr>
                      <w:rFonts w:hint="eastAsia"/>
                      <w:lang w:eastAsia="zh-CN"/>
                    </w:rPr>
                  </w:pPr>
                  <w:r>
                    <w:rPr>
                      <w:rFonts w:hint="eastAsia"/>
                      <w:lang w:eastAsia="zh-CN"/>
                    </w:rPr>
                    <w:t>硫化氢</w:t>
                  </w:r>
                  <w:r>
                    <w:rPr>
                      <w:rFonts w:hint="eastAsia"/>
                      <w:lang w:val="en-US" w:eastAsia="zh-CN"/>
                    </w:rPr>
                    <w:t>（</w:t>
                  </w:r>
                  <w:r>
                    <w:rPr>
                      <w:rFonts w:hint="eastAsia"/>
                      <w:lang w:eastAsia="zh-CN"/>
                    </w:rPr>
                    <w:t>mg/m3</w:t>
                  </w:r>
                  <w:r>
                    <w:rPr>
                      <w:rFonts w:hint="eastAsia"/>
                      <w:lang w:val="en-US" w:eastAsia="zh-CN"/>
                    </w:rPr>
                    <w:t>）</w:t>
                  </w:r>
                </w:p>
              </w:tc>
              <w:tc>
                <w:tcPr>
                  <w:tcW w:w="1370" w:type="dxa"/>
                  <w:vMerge w:val="continue"/>
                  <w:noWrap w:val="0"/>
                  <w:vAlign w:val="center"/>
                </w:tcPr>
                <w:p>
                  <w:pPr>
                    <w:pStyle w:val="131"/>
                    <w:rPr>
                      <w:rFonts w:hint="eastAsia"/>
                    </w:rPr>
                  </w:pPr>
                </w:p>
              </w:tc>
              <w:tc>
                <w:tcPr>
                  <w:tcW w:w="1036" w:type="dxa"/>
                  <w:noWrap w:val="0"/>
                  <w:vAlign w:val="center"/>
                </w:tcPr>
                <w:p>
                  <w:pPr>
                    <w:pStyle w:val="131"/>
                    <w:rPr>
                      <w:rFonts w:hint="eastAsia"/>
                      <w:lang w:val="en-US" w:eastAsia="zh-CN"/>
                    </w:rPr>
                  </w:pPr>
                  <w:r>
                    <w:rPr>
                      <w:rFonts w:hint="eastAsia"/>
                      <w:lang w:val="en-US" w:eastAsia="zh-CN"/>
                    </w:rPr>
                    <w:t>9:36</w:t>
                  </w:r>
                </w:p>
              </w:tc>
              <w:tc>
                <w:tcPr>
                  <w:tcW w:w="1323" w:type="dxa"/>
                  <w:noWrap w:val="0"/>
                  <w:vAlign w:val="center"/>
                </w:tcPr>
                <w:p>
                  <w:pPr>
                    <w:pStyle w:val="131"/>
                    <w:rPr>
                      <w:rFonts w:hint="default"/>
                      <w:lang w:val="en-US" w:eastAsia="zh-CN"/>
                    </w:rPr>
                  </w:pPr>
                  <w:r>
                    <w:rPr>
                      <w:rFonts w:hint="eastAsia"/>
                      <w:lang w:val="en-US" w:eastAsia="zh-CN"/>
                    </w:rPr>
                    <w:t>0.010</w:t>
                  </w:r>
                </w:p>
              </w:tc>
              <w:tc>
                <w:tcPr>
                  <w:tcW w:w="1324" w:type="dxa"/>
                  <w:noWrap w:val="0"/>
                  <w:vAlign w:val="center"/>
                </w:tcPr>
                <w:p>
                  <w:pPr>
                    <w:jc w:val="center"/>
                    <w:rPr>
                      <w:rFonts w:hint="default"/>
                      <w:lang w:val="en-US" w:eastAsia="zh-CN"/>
                    </w:rPr>
                  </w:pPr>
                  <w:r>
                    <w:rPr>
                      <w:rFonts w:hint="eastAsia"/>
                      <w:lang w:val="en-US" w:eastAsia="zh-CN"/>
                    </w:rPr>
                    <w:t>0.019</w:t>
                  </w:r>
                </w:p>
              </w:tc>
              <w:tc>
                <w:tcPr>
                  <w:tcW w:w="1324" w:type="dxa"/>
                  <w:noWrap w:val="0"/>
                  <w:vAlign w:val="center"/>
                </w:tcPr>
                <w:p>
                  <w:pPr>
                    <w:jc w:val="center"/>
                    <w:rPr>
                      <w:rFonts w:hint="default"/>
                      <w:lang w:val="en-US" w:eastAsia="zh-CN"/>
                    </w:rPr>
                  </w:pPr>
                  <w:r>
                    <w:rPr>
                      <w:rFonts w:hint="eastAsia"/>
                      <w:lang w:val="en-US" w:eastAsia="zh-CN"/>
                    </w:rPr>
                    <w:t>0.021</w:t>
                  </w:r>
                </w:p>
              </w:tc>
              <w:tc>
                <w:tcPr>
                  <w:tcW w:w="1326" w:type="dxa"/>
                  <w:noWrap w:val="0"/>
                  <w:vAlign w:val="center"/>
                </w:tcPr>
                <w:p>
                  <w:pPr>
                    <w:jc w:val="center"/>
                    <w:rPr>
                      <w:rFonts w:hint="default"/>
                      <w:lang w:val="en-US" w:eastAsia="zh-CN"/>
                    </w:rPr>
                  </w:pPr>
                  <w:r>
                    <w:rPr>
                      <w:rFonts w:hint="eastAsia"/>
                      <w:lang w:val="en-US" w:eastAsia="zh-CN"/>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1276" w:type="dxa"/>
                  <w:vMerge w:val="continue"/>
                  <w:noWrap w:val="0"/>
                  <w:vAlign w:val="center"/>
                </w:tcPr>
                <w:p>
                  <w:pPr>
                    <w:pStyle w:val="131"/>
                    <w:rPr>
                      <w:rFonts w:hint="eastAsia"/>
                    </w:rPr>
                  </w:pPr>
                </w:p>
              </w:tc>
              <w:tc>
                <w:tcPr>
                  <w:tcW w:w="1370" w:type="dxa"/>
                  <w:vMerge w:val="continue"/>
                  <w:noWrap w:val="0"/>
                  <w:vAlign w:val="center"/>
                </w:tcPr>
                <w:p>
                  <w:pPr>
                    <w:pStyle w:val="131"/>
                    <w:rPr>
                      <w:rFonts w:hint="eastAsia"/>
                    </w:rPr>
                  </w:pPr>
                </w:p>
              </w:tc>
              <w:tc>
                <w:tcPr>
                  <w:tcW w:w="1036" w:type="dxa"/>
                  <w:noWrap w:val="0"/>
                  <w:vAlign w:val="center"/>
                </w:tcPr>
                <w:p>
                  <w:pPr>
                    <w:pStyle w:val="131"/>
                    <w:rPr>
                      <w:rFonts w:hint="eastAsia"/>
                      <w:lang w:val="en-US" w:eastAsia="zh-CN"/>
                    </w:rPr>
                  </w:pPr>
                  <w:r>
                    <w:rPr>
                      <w:rFonts w:hint="eastAsia"/>
                      <w:lang w:val="en-US" w:eastAsia="zh-CN"/>
                    </w:rPr>
                    <w:t>11:34</w:t>
                  </w:r>
                </w:p>
              </w:tc>
              <w:tc>
                <w:tcPr>
                  <w:tcW w:w="1323" w:type="dxa"/>
                  <w:noWrap w:val="0"/>
                  <w:vAlign w:val="center"/>
                </w:tcPr>
                <w:p>
                  <w:pPr>
                    <w:pStyle w:val="131"/>
                    <w:rPr>
                      <w:rFonts w:hint="default"/>
                      <w:lang w:val="en-US" w:eastAsia="zh-CN"/>
                    </w:rPr>
                  </w:pPr>
                  <w:r>
                    <w:rPr>
                      <w:rFonts w:hint="eastAsia"/>
                      <w:lang w:val="en-US" w:eastAsia="zh-CN"/>
                    </w:rPr>
                    <w:t>0.013</w:t>
                  </w:r>
                </w:p>
              </w:tc>
              <w:tc>
                <w:tcPr>
                  <w:tcW w:w="1324" w:type="dxa"/>
                  <w:noWrap w:val="0"/>
                  <w:vAlign w:val="center"/>
                </w:tcPr>
                <w:p>
                  <w:pPr>
                    <w:jc w:val="center"/>
                    <w:rPr>
                      <w:rFonts w:hint="default"/>
                      <w:lang w:val="en-US" w:eastAsia="zh-CN"/>
                    </w:rPr>
                  </w:pPr>
                  <w:r>
                    <w:rPr>
                      <w:rFonts w:hint="eastAsia"/>
                      <w:lang w:val="en-US" w:eastAsia="zh-CN"/>
                    </w:rPr>
                    <w:t>0.018</w:t>
                  </w:r>
                </w:p>
              </w:tc>
              <w:tc>
                <w:tcPr>
                  <w:tcW w:w="1324" w:type="dxa"/>
                  <w:noWrap w:val="0"/>
                  <w:vAlign w:val="center"/>
                </w:tcPr>
                <w:p>
                  <w:pPr>
                    <w:jc w:val="center"/>
                    <w:rPr>
                      <w:rFonts w:hint="default"/>
                      <w:lang w:val="en-US" w:eastAsia="zh-CN"/>
                    </w:rPr>
                  </w:pPr>
                  <w:r>
                    <w:rPr>
                      <w:rFonts w:hint="eastAsia"/>
                      <w:lang w:val="en-US" w:eastAsia="zh-CN"/>
                    </w:rPr>
                    <w:t>0.016</w:t>
                  </w:r>
                </w:p>
              </w:tc>
              <w:tc>
                <w:tcPr>
                  <w:tcW w:w="1326" w:type="dxa"/>
                  <w:noWrap w:val="0"/>
                  <w:vAlign w:val="center"/>
                </w:tcPr>
                <w:p>
                  <w:pPr>
                    <w:jc w:val="center"/>
                    <w:rPr>
                      <w:rFonts w:hint="default"/>
                      <w:lang w:val="en-US" w:eastAsia="zh-CN"/>
                    </w:rPr>
                  </w:pPr>
                  <w:r>
                    <w:rPr>
                      <w:rFonts w:hint="eastAsia"/>
                      <w:lang w:val="en-US" w:eastAsia="zh-CN"/>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1276" w:type="dxa"/>
                  <w:vMerge w:val="continue"/>
                  <w:noWrap w:val="0"/>
                  <w:vAlign w:val="center"/>
                </w:tcPr>
                <w:p>
                  <w:pPr>
                    <w:pStyle w:val="131"/>
                    <w:rPr>
                      <w:rFonts w:hint="eastAsia"/>
                    </w:rPr>
                  </w:pPr>
                </w:p>
              </w:tc>
              <w:tc>
                <w:tcPr>
                  <w:tcW w:w="1370" w:type="dxa"/>
                  <w:vMerge w:val="continue"/>
                  <w:noWrap w:val="0"/>
                  <w:vAlign w:val="center"/>
                </w:tcPr>
                <w:p>
                  <w:pPr>
                    <w:pStyle w:val="131"/>
                    <w:rPr>
                      <w:rFonts w:hint="eastAsia"/>
                    </w:rPr>
                  </w:pPr>
                </w:p>
              </w:tc>
              <w:tc>
                <w:tcPr>
                  <w:tcW w:w="1036" w:type="dxa"/>
                  <w:noWrap w:val="0"/>
                  <w:vAlign w:val="center"/>
                </w:tcPr>
                <w:p>
                  <w:pPr>
                    <w:pStyle w:val="131"/>
                    <w:rPr>
                      <w:rFonts w:hint="eastAsia"/>
                      <w:lang w:val="en-US" w:eastAsia="zh-CN"/>
                    </w:rPr>
                  </w:pPr>
                  <w:r>
                    <w:rPr>
                      <w:rFonts w:hint="eastAsia"/>
                      <w:lang w:val="en-US" w:eastAsia="zh-CN"/>
                    </w:rPr>
                    <w:t>13:21</w:t>
                  </w:r>
                </w:p>
              </w:tc>
              <w:tc>
                <w:tcPr>
                  <w:tcW w:w="1323" w:type="dxa"/>
                  <w:noWrap w:val="0"/>
                  <w:vAlign w:val="center"/>
                </w:tcPr>
                <w:p>
                  <w:pPr>
                    <w:pStyle w:val="131"/>
                    <w:rPr>
                      <w:rFonts w:hint="default"/>
                      <w:lang w:val="en-US" w:eastAsia="zh-CN"/>
                    </w:rPr>
                  </w:pPr>
                  <w:r>
                    <w:rPr>
                      <w:rFonts w:hint="eastAsia"/>
                      <w:lang w:val="en-US" w:eastAsia="zh-CN"/>
                    </w:rPr>
                    <w:t>0.011</w:t>
                  </w:r>
                </w:p>
              </w:tc>
              <w:tc>
                <w:tcPr>
                  <w:tcW w:w="1324" w:type="dxa"/>
                  <w:noWrap w:val="0"/>
                  <w:vAlign w:val="center"/>
                </w:tcPr>
                <w:p>
                  <w:pPr>
                    <w:jc w:val="center"/>
                    <w:rPr>
                      <w:rFonts w:hint="default"/>
                      <w:lang w:val="en-US" w:eastAsia="zh-CN"/>
                    </w:rPr>
                  </w:pPr>
                  <w:r>
                    <w:rPr>
                      <w:rFonts w:hint="eastAsia"/>
                      <w:lang w:val="en-US" w:eastAsia="zh-CN"/>
                    </w:rPr>
                    <w:t>0.019</w:t>
                  </w:r>
                </w:p>
              </w:tc>
              <w:tc>
                <w:tcPr>
                  <w:tcW w:w="1324" w:type="dxa"/>
                  <w:noWrap w:val="0"/>
                  <w:vAlign w:val="center"/>
                </w:tcPr>
                <w:p>
                  <w:pPr>
                    <w:jc w:val="center"/>
                    <w:rPr>
                      <w:rFonts w:hint="default"/>
                      <w:lang w:val="en-US" w:eastAsia="zh-CN"/>
                    </w:rPr>
                  </w:pPr>
                  <w:r>
                    <w:rPr>
                      <w:rFonts w:hint="eastAsia"/>
                      <w:lang w:val="en-US" w:eastAsia="zh-CN"/>
                    </w:rPr>
                    <w:t>0.024</w:t>
                  </w:r>
                </w:p>
              </w:tc>
              <w:tc>
                <w:tcPr>
                  <w:tcW w:w="1326" w:type="dxa"/>
                  <w:noWrap w:val="0"/>
                  <w:vAlign w:val="center"/>
                </w:tcPr>
                <w:p>
                  <w:pPr>
                    <w:jc w:val="center"/>
                    <w:rPr>
                      <w:rFonts w:hint="default"/>
                      <w:lang w:val="en-US" w:eastAsia="zh-CN"/>
                    </w:rPr>
                  </w:pPr>
                  <w:r>
                    <w:rPr>
                      <w:rFonts w:hint="eastAsia"/>
                      <w:lang w:val="en-US" w:eastAsia="zh-CN"/>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1276" w:type="dxa"/>
                  <w:vMerge w:val="restart"/>
                  <w:noWrap w:val="0"/>
                  <w:vAlign w:val="center"/>
                </w:tcPr>
                <w:p>
                  <w:pPr>
                    <w:pStyle w:val="131"/>
                    <w:rPr>
                      <w:rFonts w:hint="eastAsia"/>
                      <w:lang w:eastAsia="zh-CN"/>
                    </w:rPr>
                  </w:pPr>
                  <w:r>
                    <w:rPr>
                      <w:rFonts w:hint="eastAsia"/>
                      <w:lang w:eastAsia="zh-CN"/>
                    </w:rPr>
                    <w:t>氨</w:t>
                  </w:r>
                </w:p>
                <w:p>
                  <w:pPr>
                    <w:pStyle w:val="131"/>
                    <w:rPr>
                      <w:rFonts w:hint="eastAsia"/>
                      <w:lang w:eastAsia="zh-CN"/>
                    </w:rPr>
                  </w:pPr>
                  <w:r>
                    <w:rPr>
                      <w:rFonts w:hint="eastAsia"/>
                      <w:lang w:val="en-US" w:eastAsia="zh-CN"/>
                    </w:rPr>
                    <w:t>（</w:t>
                  </w:r>
                  <w:r>
                    <w:rPr>
                      <w:rFonts w:hint="eastAsia"/>
                      <w:lang w:eastAsia="zh-CN"/>
                    </w:rPr>
                    <w:t>mg/m3</w:t>
                  </w:r>
                  <w:r>
                    <w:rPr>
                      <w:rFonts w:hint="eastAsia"/>
                      <w:lang w:val="en-US" w:eastAsia="zh-CN"/>
                    </w:rPr>
                    <w:t>）</w:t>
                  </w:r>
                </w:p>
              </w:tc>
              <w:tc>
                <w:tcPr>
                  <w:tcW w:w="1370" w:type="dxa"/>
                  <w:vMerge w:val="continue"/>
                  <w:noWrap w:val="0"/>
                  <w:vAlign w:val="center"/>
                </w:tcPr>
                <w:p>
                  <w:pPr>
                    <w:pStyle w:val="131"/>
                    <w:rPr>
                      <w:rFonts w:hint="eastAsia"/>
                    </w:rPr>
                  </w:pPr>
                </w:p>
              </w:tc>
              <w:tc>
                <w:tcPr>
                  <w:tcW w:w="1036" w:type="dxa"/>
                  <w:noWrap w:val="0"/>
                  <w:vAlign w:val="center"/>
                </w:tcPr>
                <w:p>
                  <w:pPr>
                    <w:pStyle w:val="131"/>
                    <w:rPr>
                      <w:rFonts w:hint="default"/>
                      <w:lang w:val="en-US" w:eastAsia="zh-CN"/>
                    </w:rPr>
                  </w:pPr>
                  <w:r>
                    <w:rPr>
                      <w:rFonts w:hint="eastAsia"/>
                      <w:lang w:val="en-US" w:eastAsia="zh-CN"/>
                    </w:rPr>
                    <w:t>9:36</w:t>
                  </w:r>
                </w:p>
              </w:tc>
              <w:tc>
                <w:tcPr>
                  <w:tcW w:w="1323" w:type="dxa"/>
                  <w:noWrap w:val="0"/>
                  <w:vAlign w:val="center"/>
                </w:tcPr>
                <w:p>
                  <w:pPr>
                    <w:pStyle w:val="131"/>
                    <w:rPr>
                      <w:rFonts w:hint="default"/>
                      <w:lang w:val="en-US" w:eastAsia="zh-CN"/>
                    </w:rPr>
                  </w:pPr>
                  <w:r>
                    <w:rPr>
                      <w:rFonts w:hint="eastAsia"/>
                      <w:lang w:val="en-US" w:eastAsia="zh-CN"/>
                    </w:rPr>
                    <w:t>0.13</w:t>
                  </w:r>
                </w:p>
              </w:tc>
              <w:tc>
                <w:tcPr>
                  <w:tcW w:w="1324" w:type="dxa"/>
                  <w:noWrap w:val="0"/>
                  <w:vAlign w:val="center"/>
                </w:tcPr>
                <w:p>
                  <w:pPr>
                    <w:jc w:val="center"/>
                    <w:rPr>
                      <w:rFonts w:hint="default"/>
                      <w:lang w:val="en-US" w:eastAsia="zh-CN"/>
                    </w:rPr>
                  </w:pPr>
                  <w:r>
                    <w:rPr>
                      <w:rFonts w:hint="eastAsia"/>
                      <w:lang w:val="en-US" w:eastAsia="zh-CN"/>
                    </w:rPr>
                    <w:t>0.15</w:t>
                  </w:r>
                </w:p>
              </w:tc>
              <w:tc>
                <w:tcPr>
                  <w:tcW w:w="1324" w:type="dxa"/>
                  <w:noWrap w:val="0"/>
                  <w:vAlign w:val="center"/>
                </w:tcPr>
                <w:p>
                  <w:pPr>
                    <w:jc w:val="center"/>
                    <w:rPr>
                      <w:rFonts w:hint="default"/>
                      <w:lang w:val="en-US" w:eastAsia="zh-CN"/>
                    </w:rPr>
                  </w:pPr>
                  <w:r>
                    <w:rPr>
                      <w:rFonts w:hint="eastAsia"/>
                      <w:lang w:val="en-US" w:eastAsia="zh-CN"/>
                    </w:rPr>
                    <w:t>0.19</w:t>
                  </w:r>
                </w:p>
              </w:tc>
              <w:tc>
                <w:tcPr>
                  <w:tcW w:w="1326" w:type="dxa"/>
                  <w:noWrap w:val="0"/>
                  <w:vAlign w:val="center"/>
                </w:tcPr>
                <w:p>
                  <w:pPr>
                    <w:jc w:val="center"/>
                    <w:rPr>
                      <w:rFonts w:hint="default"/>
                      <w:lang w:val="en-US" w:eastAsia="zh-CN"/>
                    </w:rPr>
                  </w:pPr>
                  <w:r>
                    <w:rPr>
                      <w:rFonts w:hint="eastAsia"/>
                      <w:lang w:val="en-US"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1276" w:type="dxa"/>
                  <w:vMerge w:val="continue"/>
                  <w:noWrap w:val="0"/>
                  <w:vAlign w:val="center"/>
                </w:tcPr>
                <w:p>
                  <w:pPr>
                    <w:pStyle w:val="131"/>
                    <w:rPr>
                      <w:rFonts w:hint="eastAsia"/>
                    </w:rPr>
                  </w:pPr>
                </w:p>
              </w:tc>
              <w:tc>
                <w:tcPr>
                  <w:tcW w:w="1370" w:type="dxa"/>
                  <w:vMerge w:val="continue"/>
                  <w:noWrap w:val="0"/>
                  <w:vAlign w:val="center"/>
                </w:tcPr>
                <w:p>
                  <w:pPr>
                    <w:pStyle w:val="131"/>
                    <w:rPr>
                      <w:rFonts w:hint="eastAsia"/>
                    </w:rPr>
                  </w:pPr>
                </w:p>
              </w:tc>
              <w:tc>
                <w:tcPr>
                  <w:tcW w:w="1036" w:type="dxa"/>
                  <w:noWrap w:val="0"/>
                  <w:vAlign w:val="center"/>
                </w:tcPr>
                <w:p>
                  <w:pPr>
                    <w:pStyle w:val="131"/>
                    <w:rPr>
                      <w:rFonts w:hint="default"/>
                      <w:lang w:val="en-US" w:eastAsia="zh-CN"/>
                    </w:rPr>
                  </w:pPr>
                  <w:r>
                    <w:rPr>
                      <w:rFonts w:hint="eastAsia"/>
                      <w:lang w:val="en-US" w:eastAsia="zh-CN"/>
                    </w:rPr>
                    <w:t>11:34</w:t>
                  </w:r>
                </w:p>
              </w:tc>
              <w:tc>
                <w:tcPr>
                  <w:tcW w:w="1323" w:type="dxa"/>
                  <w:noWrap w:val="0"/>
                  <w:vAlign w:val="center"/>
                </w:tcPr>
                <w:p>
                  <w:pPr>
                    <w:pStyle w:val="131"/>
                    <w:rPr>
                      <w:rFonts w:hint="default"/>
                      <w:lang w:val="en-US" w:eastAsia="zh-CN"/>
                    </w:rPr>
                  </w:pPr>
                  <w:r>
                    <w:rPr>
                      <w:rFonts w:hint="eastAsia"/>
                      <w:lang w:val="en-US" w:eastAsia="zh-CN"/>
                    </w:rPr>
                    <w:t>0.12</w:t>
                  </w:r>
                </w:p>
              </w:tc>
              <w:tc>
                <w:tcPr>
                  <w:tcW w:w="1324" w:type="dxa"/>
                  <w:noWrap w:val="0"/>
                  <w:vAlign w:val="center"/>
                </w:tcPr>
                <w:p>
                  <w:pPr>
                    <w:jc w:val="center"/>
                    <w:rPr>
                      <w:rFonts w:hint="default"/>
                      <w:lang w:val="en-US" w:eastAsia="zh-CN"/>
                    </w:rPr>
                  </w:pPr>
                  <w:r>
                    <w:rPr>
                      <w:rFonts w:hint="eastAsia"/>
                      <w:lang w:val="en-US" w:eastAsia="zh-CN"/>
                    </w:rPr>
                    <w:t>0.16</w:t>
                  </w:r>
                </w:p>
              </w:tc>
              <w:tc>
                <w:tcPr>
                  <w:tcW w:w="1324" w:type="dxa"/>
                  <w:noWrap w:val="0"/>
                  <w:vAlign w:val="center"/>
                </w:tcPr>
                <w:p>
                  <w:pPr>
                    <w:jc w:val="center"/>
                    <w:rPr>
                      <w:rFonts w:hint="default"/>
                      <w:lang w:val="en-US" w:eastAsia="zh-CN"/>
                    </w:rPr>
                  </w:pPr>
                  <w:r>
                    <w:rPr>
                      <w:rFonts w:hint="eastAsia"/>
                      <w:lang w:val="en-US" w:eastAsia="zh-CN"/>
                    </w:rPr>
                    <w:t>0.16</w:t>
                  </w:r>
                </w:p>
              </w:tc>
              <w:tc>
                <w:tcPr>
                  <w:tcW w:w="1326" w:type="dxa"/>
                  <w:noWrap w:val="0"/>
                  <w:vAlign w:val="center"/>
                </w:tcPr>
                <w:p>
                  <w:pPr>
                    <w:jc w:val="center"/>
                    <w:rPr>
                      <w:rFonts w:hint="default"/>
                      <w:lang w:val="en-US" w:eastAsia="zh-CN"/>
                    </w:rPr>
                  </w:pPr>
                  <w:r>
                    <w:rPr>
                      <w:rFonts w:hint="eastAsia"/>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1276" w:type="dxa"/>
                  <w:vMerge w:val="continue"/>
                  <w:noWrap w:val="0"/>
                  <w:vAlign w:val="center"/>
                </w:tcPr>
                <w:p>
                  <w:pPr>
                    <w:pStyle w:val="131"/>
                    <w:rPr>
                      <w:rFonts w:hint="eastAsia"/>
                    </w:rPr>
                  </w:pPr>
                </w:p>
              </w:tc>
              <w:tc>
                <w:tcPr>
                  <w:tcW w:w="1370" w:type="dxa"/>
                  <w:vMerge w:val="continue"/>
                  <w:noWrap w:val="0"/>
                  <w:vAlign w:val="center"/>
                </w:tcPr>
                <w:p>
                  <w:pPr>
                    <w:pStyle w:val="131"/>
                    <w:rPr>
                      <w:rFonts w:hint="eastAsia"/>
                    </w:rPr>
                  </w:pPr>
                </w:p>
              </w:tc>
              <w:tc>
                <w:tcPr>
                  <w:tcW w:w="1036" w:type="dxa"/>
                  <w:noWrap w:val="0"/>
                  <w:vAlign w:val="center"/>
                </w:tcPr>
                <w:p>
                  <w:pPr>
                    <w:pStyle w:val="131"/>
                    <w:rPr>
                      <w:rFonts w:hint="default"/>
                      <w:lang w:val="en-US" w:eastAsia="zh-CN"/>
                    </w:rPr>
                  </w:pPr>
                  <w:r>
                    <w:rPr>
                      <w:rFonts w:hint="eastAsia"/>
                      <w:lang w:val="en-US" w:eastAsia="zh-CN"/>
                    </w:rPr>
                    <w:t>13:21</w:t>
                  </w:r>
                </w:p>
              </w:tc>
              <w:tc>
                <w:tcPr>
                  <w:tcW w:w="1323" w:type="dxa"/>
                  <w:noWrap w:val="0"/>
                  <w:vAlign w:val="center"/>
                </w:tcPr>
                <w:p>
                  <w:pPr>
                    <w:pStyle w:val="131"/>
                    <w:rPr>
                      <w:rFonts w:hint="default"/>
                      <w:lang w:val="en-US" w:eastAsia="zh-CN"/>
                    </w:rPr>
                  </w:pPr>
                  <w:r>
                    <w:rPr>
                      <w:rFonts w:hint="eastAsia"/>
                      <w:lang w:val="en-US" w:eastAsia="zh-CN"/>
                    </w:rPr>
                    <w:t>0.13</w:t>
                  </w:r>
                </w:p>
              </w:tc>
              <w:tc>
                <w:tcPr>
                  <w:tcW w:w="1324" w:type="dxa"/>
                  <w:noWrap w:val="0"/>
                  <w:vAlign w:val="center"/>
                </w:tcPr>
                <w:p>
                  <w:pPr>
                    <w:jc w:val="center"/>
                    <w:rPr>
                      <w:rFonts w:hint="default"/>
                      <w:lang w:val="en-US" w:eastAsia="zh-CN"/>
                    </w:rPr>
                  </w:pPr>
                  <w:r>
                    <w:rPr>
                      <w:rFonts w:hint="eastAsia"/>
                      <w:lang w:val="en-US" w:eastAsia="zh-CN"/>
                    </w:rPr>
                    <w:t>0.17</w:t>
                  </w:r>
                </w:p>
              </w:tc>
              <w:tc>
                <w:tcPr>
                  <w:tcW w:w="1324" w:type="dxa"/>
                  <w:noWrap w:val="0"/>
                  <w:vAlign w:val="center"/>
                </w:tcPr>
                <w:p>
                  <w:pPr>
                    <w:jc w:val="center"/>
                    <w:rPr>
                      <w:rFonts w:hint="default"/>
                      <w:lang w:val="en-US" w:eastAsia="zh-CN"/>
                    </w:rPr>
                  </w:pPr>
                  <w:r>
                    <w:rPr>
                      <w:rFonts w:hint="eastAsia"/>
                      <w:lang w:val="en-US" w:eastAsia="zh-CN"/>
                    </w:rPr>
                    <w:t>0.19</w:t>
                  </w:r>
                </w:p>
              </w:tc>
              <w:tc>
                <w:tcPr>
                  <w:tcW w:w="1326" w:type="dxa"/>
                  <w:noWrap w:val="0"/>
                  <w:vAlign w:val="center"/>
                </w:tcPr>
                <w:p>
                  <w:pPr>
                    <w:jc w:val="center"/>
                    <w:rPr>
                      <w:rFonts w:hint="default"/>
                      <w:lang w:val="en-US" w:eastAsia="zh-CN"/>
                    </w:rPr>
                  </w:pPr>
                  <w:r>
                    <w:rPr>
                      <w:rFonts w:hint="eastAsia"/>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1276" w:type="dxa"/>
                  <w:vMerge w:val="restart"/>
                  <w:noWrap w:val="0"/>
                  <w:vAlign w:val="center"/>
                </w:tcPr>
                <w:p>
                  <w:pPr>
                    <w:pStyle w:val="131"/>
                    <w:rPr>
                      <w:rFonts w:hint="eastAsia"/>
                      <w:lang w:eastAsia="zh-CN"/>
                    </w:rPr>
                  </w:pPr>
                  <w:r>
                    <w:rPr>
                      <w:rFonts w:hint="eastAsia"/>
                      <w:lang w:eastAsia="zh-CN"/>
                    </w:rPr>
                    <w:t>硫酸雾</w:t>
                  </w:r>
                  <w:r>
                    <w:rPr>
                      <w:rFonts w:hint="eastAsia"/>
                      <w:lang w:val="en-US" w:eastAsia="zh-CN"/>
                    </w:rPr>
                    <w:t>（</w:t>
                  </w:r>
                  <w:r>
                    <w:rPr>
                      <w:rFonts w:hint="eastAsia"/>
                      <w:lang w:eastAsia="zh-CN"/>
                    </w:rPr>
                    <w:t>mg/m3</w:t>
                  </w:r>
                  <w:r>
                    <w:rPr>
                      <w:rFonts w:hint="eastAsia"/>
                      <w:lang w:val="en-US" w:eastAsia="zh-CN"/>
                    </w:rPr>
                    <w:t>）</w:t>
                  </w:r>
                </w:p>
              </w:tc>
              <w:tc>
                <w:tcPr>
                  <w:tcW w:w="1370" w:type="dxa"/>
                  <w:vMerge w:val="continue"/>
                  <w:noWrap w:val="0"/>
                  <w:vAlign w:val="center"/>
                </w:tcPr>
                <w:p>
                  <w:pPr>
                    <w:pStyle w:val="131"/>
                    <w:rPr>
                      <w:rFonts w:hint="eastAsia"/>
                    </w:rPr>
                  </w:pPr>
                </w:p>
              </w:tc>
              <w:tc>
                <w:tcPr>
                  <w:tcW w:w="1036" w:type="dxa"/>
                  <w:noWrap w:val="0"/>
                  <w:vAlign w:val="center"/>
                </w:tcPr>
                <w:p>
                  <w:pPr>
                    <w:pStyle w:val="131"/>
                    <w:rPr>
                      <w:rFonts w:hint="eastAsia"/>
                      <w:lang w:val="en-US" w:eastAsia="zh-CN"/>
                    </w:rPr>
                  </w:pPr>
                  <w:r>
                    <w:rPr>
                      <w:rFonts w:hint="eastAsia"/>
                      <w:lang w:val="en-US" w:eastAsia="zh-CN"/>
                    </w:rPr>
                    <w:t>9:36</w:t>
                  </w:r>
                </w:p>
              </w:tc>
              <w:tc>
                <w:tcPr>
                  <w:tcW w:w="1323" w:type="dxa"/>
                  <w:noWrap w:val="0"/>
                  <w:vAlign w:val="center"/>
                </w:tcPr>
                <w:p>
                  <w:pPr>
                    <w:pStyle w:val="131"/>
                    <w:rPr>
                      <w:rFonts w:hint="default"/>
                      <w:lang w:val="en-US" w:eastAsia="zh-CN"/>
                    </w:rPr>
                  </w:pPr>
                  <w:r>
                    <w:rPr>
                      <w:rFonts w:hint="eastAsia"/>
                      <w:lang w:val="en-US" w:eastAsia="zh-CN"/>
                    </w:rPr>
                    <w:t>0.186</w:t>
                  </w:r>
                </w:p>
              </w:tc>
              <w:tc>
                <w:tcPr>
                  <w:tcW w:w="1324" w:type="dxa"/>
                  <w:noWrap w:val="0"/>
                  <w:vAlign w:val="center"/>
                </w:tcPr>
                <w:p>
                  <w:pPr>
                    <w:jc w:val="center"/>
                    <w:rPr>
                      <w:rFonts w:hint="default"/>
                      <w:lang w:val="en-US" w:eastAsia="zh-CN"/>
                    </w:rPr>
                  </w:pPr>
                  <w:r>
                    <w:rPr>
                      <w:rFonts w:hint="eastAsia"/>
                      <w:lang w:val="en-US" w:eastAsia="zh-CN"/>
                    </w:rPr>
                    <w:t>0.188</w:t>
                  </w:r>
                </w:p>
              </w:tc>
              <w:tc>
                <w:tcPr>
                  <w:tcW w:w="1324" w:type="dxa"/>
                  <w:noWrap w:val="0"/>
                  <w:vAlign w:val="center"/>
                </w:tcPr>
                <w:p>
                  <w:pPr>
                    <w:jc w:val="center"/>
                    <w:rPr>
                      <w:rFonts w:hint="default"/>
                      <w:lang w:val="en-US" w:eastAsia="zh-CN"/>
                    </w:rPr>
                  </w:pPr>
                  <w:r>
                    <w:rPr>
                      <w:rFonts w:hint="eastAsia"/>
                      <w:lang w:val="en-US" w:eastAsia="zh-CN"/>
                    </w:rPr>
                    <w:t>0.228</w:t>
                  </w:r>
                </w:p>
              </w:tc>
              <w:tc>
                <w:tcPr>
                  <w:tcW w:w="1326" w:type="dxa"/>
                  <w:noWrap w:val="0"/>
                  <w:vAlign w:val="center"/>
                </w:tcPr>
                <w:p>
                  <w:pPr>
                    <w:jc w:val="center"/>
                    <w:rPr>
                      <w:rFonts w:hint="default"/>
                      <w:lang w:val="en-US" w:eastAsia="zh-CN"/>
                    </w:rPr>
                  </w:pPr>
                  <w:r>
                    <w:rPr>
                      <w:rFonts w:hint="eastAsia"/>
                      <w:lang w:val="en-US" w:eastAsia="zh-CN"/>
                    </w:rPr>
                    <w:t>0.188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1276" w:type="dxa"/>
                  <w:vMerge w:val="continue"/>
                  <w:noWrap w:val="0"/>
                  <w:vAlign w:val="center"/>
                </w:tcPr>
                <w:p>
                  <w:pPr>
                    <w:pStyle w:val="131"/>
                    <w:rPr>
                      <w:rFonts w:hint="eastAsia"/>
                    </w:rPr>
                  </w:pPr>
                </w:p>
              </w:tc>
              <w:tc>
                <w:tcPr>
                  <w:tcW w:w="1370" w:type="dxa"/>
                  <w:vMerge w:val="continue"/>
                  <w:noWrap w:val="0"/>
                  <w:vAlign w:val="center"/>
                </w:tcPr>
                <w:p>
                  <w:pPr>
                    <w:pStyle w:val="131"/>
                    <w:rPr>
                      <w:rFonts w:hint="eastAsia"/>
                    </w:rPr>
                  </w:pPr>
                </w:p>
              </w:tc>
              <w:tc>
                <w:tcPr>
                  <w:tcW w:w="1036" w:type="dxa"/>
                  <w:noWrap w:val="0"/>
                  <w:vAlign w:val="center"/>
                </w:tcPr>
                <w:p>
                  <w:pPr>
                    <w:pStyle w:val="131"/>
                    <w:rPr>
                      <w:rFonts w:hint="eastAsia"/>
                      <w:lang w:val="en-US" w:eastAsia="zh-CN"/>
                    </w:rPr>
                  </w:pPr>
                  <w:r>
                    <w:rPr>
                      <w:rFonts w:hint="eastAsia"/>
                      <w:lang w:val="en-US" w:eastAsia="zh-CN"/>
                    </w:rPr>
                    <w:t>11:34</w:t>
                  </w:r>
                </w:p>
              </w:tc>
              <w:tc>
                <w:tcPr>
                  <w:tcW w:w="1323" w:type="dxa"/>
                  <w:noWrap w:val="0"/>
                  <w:vAlign w:val="center"/>
                </w:tcPr>
                <w:p>
                  <w:pPr>
                    <w:pStyle w:val="131"/>
                    <w:rPr>
                      <w:rFonts w:hint="default"/>
                      <w:lang w:val="en-US" w:eastAsia="zh-CN"/>
                    </w:rPr>
                  </w:pPr>
                  <w:r>
                    <w:rPr>
                      <w:rFonts w:hint="eastAsia"/>
                      <w:lang w:val="en-US" w:eastAsia="zh-CN"/>
                    </w:rPr>
                    <w:t>0.188</w:t>
                  </w:r>
                </w:p>
              </w:tc>
              <w:tc>
                <w:tcPr>
                  <w:tcW w:w="1324" w:type="dxa"/>
                  <w:noWrap w:val="0"/>
                  <w:vAlign w:val="center"/>
                </w:tcPr>
                <w:p>
                  <w:pPr>
                    <w:jc w:val="center"/>
                    <w:rPr>
                      <w:rFonts w:hint="default"/>
                      <w:lang w:val="en-US" w:eastAsia="zh-CN"/>
                    </w:rPr>
                  </w:pPr>
                  <w:r>
                    <w:rPr>
                      <w:rFonts w:hint="eastAsia"/>
                      <w:lang w:val="en-US" w:eastAsia="zh-CN"/>
                    </w:rPr>
                    <w:t>0.191</w:t>
                  </w:r>
                </w:p>
              </w:tc>
              <w:tc>
                <w:tcPr>
                  <w:tcW w:w="1324" w:type="dxa"/>
                  <w:noWrap w:val="0"/>
                  <w:vAlign w:val="center"/>
                </w:tcPr>
                <w:p>
                  <w:pPr>
                    <w:jc w:val="center"/>
                    <w:rPr>
                      <w:rFonts w:hint="default"/>
                      <w:lang w:val="en-US" w:eastAsia="zh-CN"/>
                    </w:rPr>
                  </w:pPr>
                  <w:r>
                    <w:rPr>
                      <w:rFonts w:hint="eastAsia"/>
                      <w:lang w:val="en-US" w:eastAsia="zh-CN"/>
                    </w:rPr>
                    <w:t>0.192</w:t>
                  </w:r>
                </w:p>
              </w:tc>
              <w:tc>
                <w:tcPr>
                  <w:tcW w:w="1326" w:type="dxa"/>
                  <w:noWrap w:val="0"/>
                  <w:vAlign w:val="center"/>
                </w:tcPr>
                <w:p>
                  <w:pPr>
                    <w:jc w:val="center"/>
                    <w:rPr>
                      <w:rFonts w:hint="default"/>
                      <w:lang w:val="en-US" w:eastAsia="zh-CN"/>
                    </w:rPr>
                  </w:pPr>
                  <w:r>
                    <w:rPr>
                      <w:rFonts w:hint="eastAsia"/>
                      <w:lang w:val="en-US" w:eastAsia="zh-CN"/>
                    </w:rPr>
                    <w:t>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1276" w:type="dxa"/>
                  <w:vMerge w:val="continue"/>
                  <w:noWrap w:val="0"/>
                  <w:vAlign w:val="center"/>
                </w:tcPr>
                <w:p>
                  <w:pPr>
                    <w:pStyle w:val="131"/>
                    <w:rPr>
                      <w:rFonts w:hint="eastAsia"/>
                    </w:rPr>
                  </w:pPr>
                </w:p>
              </w:tc>
              <w:tc>
                <w:tcPr>
                  <w:tcW w:w="1370" w:type="dxa"/>
                  <w:vMerge w:val="continue"/>
                  <w:noWrap w:val="0"/>
                  <w:vAlign w:val="center"/>
                </w:tcPr>
                <w:p>
                  <w:pPr>
                    <w:pStyle w:val="131"/>
                    <w:rPr>
                      <w:rFonts w:hint="eastAsia"/>
                    </w:rPr>
                  </w:pPr>
                </w:p>
              </w:tc>
              <w:tc>
                <w:tcPr>
                  <w:tcW w:w="1036" w:type="dxa"/>
                  <w:noWrap w:val="0"/>
                  <w:vAlign w:val="center"/>
                </w:tcPr>
                <w:p>
                  <w:pPr>
                    <w:pStyle w:val="131"/>
                    <w:rPr>
                      <w:rFonts w:hint="eastAsia"/>
                      <w:lang w:val="en-US" w:eastAsia="zh-CN"/>
                    </w:rPr>
                  </w:pPr>
                  <w:r>
                    <w:rPr>
                      <w:rFonts w:hint="eastAsia"/>
                      <w:lang w:val="en-US" w:eastAsia="zh-CN"/>
                    </w:rPr>
                    <w:t>13:21</w:t>
                  </w:r>
                </w:p>
              </w:tc>
              <w:tc>
                <w:tcPr>
                  <w:tcW w:w="1323" w:type="dxa"/>
                  <w:noWrap w:val="0"/>
                  <w:vAlign w:val="center"/>
                </w:tcPr>
                <w:p>
                  <w:pPr>
                    <w:pStyle w:val="131"/>
                    <w:rPr>
                      <w:rFonts w:hint="default"/>
                      <w:lang w:val="en-US" w:eastAsia="zh-CN"/>
                    </w:rPr>
                  </w:pPr>
                  <w:r>
                    <w:rPr>
                      <w:rFonts w:hint="eastAsia"/>
                      <w:lang w:val="en-US" w:eastAsia="zh-CN"/>
                    </w:rPr>
                    <w:t>0.163</w:t>
                  </w:r>
                </w:p>
              </w:tc>
              <w:tc>
                <w:tcPr>
                  <w:tcW w:w="1324" w:type="dxa"/>
                  <w:noWrap w:val="0"/>
                  <w:vAlign w:val="center"/>
                </w:tcPr>
                <w:p>
                  <w:pPr>
                    <w:jc w:val="center"/>
                    <w:rPr>
                      <w:rFonts w:hint="default"/>
                      <w:lang w:val="en-US" w:eastAsia="zh-CN"/>
                    </w:rPr>
                  </w:pPr>
                  <w:r>
                    <w:rPr>
                      <w:rFonts w:hint="eastAsia"/>
                      <w:lang w:val="en-US" w:eastAsia="zh-CN"/>
                    </w:rPr>
                    <w:t>0.164</w:t>
                  </w:r>
                </w:p>
              </w:tc>
              <w:tc>
                <w:tcPr>
                  <w:tcW w:w="1324" w:type="dxa"/>
                  <w:noWrap w:val="0"/>
                  <w:vAlign w:val="center"/>
                </w:tcPr>
                <w:p>
                  <w:pPr>
                    <w:jc w:val="center"/>
                    <w:rPr>
                      <w:rFonts w:hint="default"/>
                      <w:lang w:val="en-US" w:eastAsia="zh-CN"/>
                    </w:rPr>
                  </w:pPr>
                  <w:r>
                    <w:rPr>
                      <w:rFonts w:hint="eastAsia"/>
                      <w:lang w:val="en-US" w:eastAsia="zh-CN"/>
                    </w:rPr>
                    <w:t>0.166</w:t>
                  </w:r>
                </w:p>
              </w:tc>
              <w:tc>
                <w:tcPr>
                  <w:tcW w:w="1326" w:type="dxa"/>
                  <w:noWrap w:val="0"/>
                  <w:vAlign w:val="center"/>
                </w:tcPr>
                <w:p>
                  <w:pPr>
                    <w:jc w:val="center"/>
                    <w:rPr>
                      <w:rFonts w:hint="default"/>
                      <w:lang w:val="en-US" w:eastAsia="zh-CN"/>
                    </w:rPr>
                  </w:pPr>
                  <w:r>
                    <w:rPr>
                      <w:rFonts w:hint="eastAsia"/>
                      <w:lang w:val="en-US" w:eastAsia="zh-CN"/>
                    </w:rPr>
                    <w:t>0.173</w:t>
                  </w:r>
                </w:p>
              </w:tc>
            </w:tr>
          </w:tbl>
          <w:p>
            <w:pPr>
              <w:pStyle w:val="45"/>
              <w:jc w:val="both"/>
            </w:pPr>
          </w:p>
          <w:p>
            <w:pPr>
              <w:pageBreakBefore w:val="0"/>
              <w:numPr>
                <w:ilvl w:val="0"/>
                <w:numId w:val="0"/>
              </w:numPr>
              <w:autoSpaceDE/>
              <w:autoSpaceDN/>
              <w:bidi w:val="0"/>
              <w:snapToGrid/>
              <w:spacing w:before="0" w:after="0" w:line="360" w:lineRule="auto"/>
              <w:ind w:right="0"/>
              <w:jc w:val="left"/>
              <w:rPr>
                <w:rFonts w:hint="eastAsia"/>
                <w:lang w:val="en-US" w:eastAsia="zh-CN"/>
              </w:rPr>
            </w:pPr>
          </w:p>
          <w:p>
            <w:pPr>
              <w:pageBreakBefore w:val="0"/>
              <w:numPr>
                <w:ilvl w:val="0"/>
                <w:numId w:val="0"/>
              </w:numPr>
              <w:autoSpaceDE/>
              <w:autoSpaceDN/>
              <w:bidi w:val="0"/>
              <w:snapToGrid/>
              <w:spacing w:before="0" w:after="0" w:line="360" w:lineRule="auto"/>
              <w:ind w:right="0"/>
              <w:jc w:val="left"/>
              <w:rPr>
                <w:rFonts w:hint="eastAsia"/>
                <w:lang w:val="en-US" w:eastAsia="zh-CN"/>
              </w:rPr>
            </w:pPr>
            <w:r>
              <w:rPr>
                <w:rFonts w:hint="eastAsia"/>
                <w:lang w:val="en-US" w:eastAsia="zh-CN"/>
              </w:rPr>
              <w:t xml:space="preserve"> 验收期间：</w:t>
            </w:r>
          </w:p>
          <w:p>
            <w:pPr>
              <w:pageBreakBefore w:val="0"/>
              <w:numPr>
                <w:ilvl w:val="0"/>
                <w:numId w:val="0"/>
              </w:numPr>
              <w:autoSpaceDE/>
              <w:autoSpaceDN/>
              <w:bidi w:val="0"/>
              <w:snapToGrid/>
              <w:spacing w:before="0" w:after="0" w:line="360" w:lineRule="auto"/>
              <w:ind w:right="0" w:firstLine="480"/>
              <w:jc w:val="left"/>
              <w:rPr>
                <w:rFonts w:hint="default"/>
                <w:lang w:val="en-US" w:eastAsia="zh-CN"/>
              </w:rPr>
            </w:pPr>
            <w:r>
              <w:rPr>
                <w:rFonts w:hint="eastAsia"/>
                <w:lang w:val="en-US" w:eastAsia="zh-CN"/>
              </w:rPr>
              <w:t>废气检测结果：有组织检测结果</w:t>
            </w:r>
          </w:p>
          <w:p>
            <w:pPr>
              <w:pageBreakBefore w:val="0"/>
              <w:numPr>
                <w:ilvl w:val="0"/>
                <w:numId w:val="0"/>
              </w:numPr>
              <w:autoSpaceDE/>
              <w:autoSpaceDN/>
              <w:bidi w:val="0"/>
              <w:snapToGrid/>
              <w:spacing w:before="0" w:after="0" w:line="360" w:lineRule="auto"/>
              <w:ind w:right="0" w:firstLine="480"/>
              <w:jc w:val="left"/>
              <w:rPr>
                <w:rFonts w:hint="eastAsia"/>
                <w:lang w:val="en-US" w:eastAsia="zh-CN"/>
              </w:rPr>
            </w:pPr>
            <w:r>
              <w:rPr>
                <w:rFonts w:hint="eastAsia"/>
                <w:lang w:val="en-US" w:eastAsia="zh-CN"/>
              </w:rPr>
              <w:t>泡酸中和</w:t>
            </w:r>
            <w:r>
              <w:rPr>
                <w:rFonts w:hint="default"/>
              </w:rPr>
              <w:t>有组织</w:t>
            </w:r>
            <w:r>
              <w:rPr>
                <w:rFonts w:hint="eastAsia"/>
                <w:lang w:val="en-US" w:eastAsia="zh-CN"/>
              </w:rPr>
              <w:t>硫酸雾</w:t>
            </w:r>
            <w:r>
              <w:rPr>
                <w:rFonts w:hint="default"/>
              </w:rPr>
              <w:t>排放最大浓度</w:t>
            </w:r>
            <w:r>
              <w:rPr>
                <w:rFonts w:hint="eastAsia"/>
                <w:lang w:val="en-US" w:eastAsia="zh-CN"/>
              </w:rPr>
              <w:t>分别</w:t>
            </w:r>
            <w:r>
              <w:rPr>
                <w:rFonts w:hint="default"/>
              </w:rPr>
              <w:t>为</w:t>
            </w:r>
            <w:r>
              <w:rPr>
                <w:rFonts w:hint="eastAsia"/>
                <w:lang w:val="en-US" w:eastAsia="zh-CN"/>
              </w:rPr>
              <w:t>8.17</w:t>
            </w:r>
            <w:r>
              <w:rPr>
                <w:rFonts w:hint="default"/>
              </w:rPr>
              <w:t>mg/m3，</w:t>
            </w:r>
            <w:r>
              <w:rPr>
                <w:rFonts w:hint="eastAsia"/>
                <w:lang w:val="en-US" w:eastAsia="zh-CN"/>
              </w:rPr>
              <w:t>排放速率为0.0466kg/h《大气污染物综合排放标准》（GB16297-1996）表2中二级标准要求</w:t>
            </w:r>
            <w:r>
              <w:rPr>
                <w:rFonts w:hint="default"/>
              </w:rPr>
              <w:t>。（</w:t>
            </w:r>
            <w:r>
              <w:rPr>
                <w:rFonts w:hint="eastAsia"/>
                <w:lang w:val="en-US" w:eastAsia="zh-CN"/>
              </w:rPr>
              <w:t>硫酸雾</w:t>
            </w:r>
            <w:r>
              <w:rPr>
                <w:rFonts w:hint="default"/>
              </w:rPr>
              <w:t>：</w:t>
            </w:r>
            <w:r>
              <w:rPr>
                <w:rFonts w:hint="eastAsia"/>
                <w:lang w:val="en-US" w:eastAsia="zh-CN"/>
              </w:rPr>
              <w:t>45</w:t>
            </w:r>
            <w:r>
              <w:rPr>
                <w:rFonts w:hint="default"/>
              </w:rPr>
              <w:t>mg/m³</w:t>
            </w:r>
            <w:r>
              <w:rPr>
                <w:rFonts w:hint="eastAsia"/>
                <w:lang w:eastAsia="zh-CN"/>
              </w:rPr>
              <w:t>）。</w:t>
            </w:r>
          </w:p>
          <w:p>
            <w:pPr>
              <w:pageBreakBefore w:val="0"/>
              <w:numPr>
                <w:ilvl w:val="0"/>
                <w:numId w:val="0"/>
              </w:numPr>
              <w:autoSpaceDE/>
              <w:autoSpaceDN/>
              <w:bidi w:val="0"/>
              <w:snapToGrid/>
              <w:spacing w:before="0" w:after="0" w:line="360" w:lineRule="auto"/>
              <w:ind w:right="0" w:firstLine="480"/>
              <w:jc w:val="left"/>
              <w:rPr>
                <w:rFonts w:hint="eastAsia"/>
                <w:lang w:val="en-US" w:eastAsia="zh-CN"/>
              </w:rPr>
            </w:pPr>
            <w:r>
              <w:rPr>
                <w:rFonts w:hint="eastAsia"/>
                <w:lang w:val="en-US" w:eastAsia="zh-CN"/>
              </w:rPr>
              <w:t>中和浸泡有组织氨最大</w:t>
            </w:r>
            <w:r>
              <w:rPr>
                <w:rFonts w:hint="default"/>
              </w:rPr>
              <w:t>排</w:t>
            </w:r>
            <w:r>
              <w:rPr>
                <w:rFonts w:hint="eastAsia"/>
                <w:lang w:val="en-US" w:eastAsia="zh-CN"/>
              </w:rPr>
              <w:t>速率</w:t>
            </w:r>
            <w:r>
              <w:rPr>
                <w:rFonts w:hint="default"/>
              </w:rPr>
              <w:t>为</w:t>
            </w:r>
            <w:r>
              <w:rPr>
                <w:rFonts w:hint="eastAsia"/>
                <w:lang w:val="en-US" w:eastAsia="zh-CN"/>
              </w:rPr>
              <w:t>0.00553kg</w:t>
            </w:r>
            <w:r>
              <w:rPr>
                <w:rFonts w:hint="default"/>
              </w:rPr>
              <w:t>/</w:t>
            </w:r>
            <w:r>
              <w:rPr>
                <w:rFonts w:hint="eastAsia"/>
                <w:lang w:val="en-US" w:eastAsia="zh-CN"/>
              </w:rPr>
              <w:t>h《恶臭污染物排放标准》（GB14554-93）二级新建标准要求。（氨排放速率小于等于4.9kg</w:t>
            </w:r>
            <w:r>
              <w:rPr>
                <w:rFonts w:hint="default"/>
              </w:rPr>
              <w:t>/</w:t>
            </w:r>
            <w:r>
              <w:rPr>
                <w:rFonts w:hint="eastAsia"/>
                <w:lang w:val="en-US" w:eastAsia="zh-CN"/>
              </w:rPr>
              <w:t>h）</w:t>
            </w:r>
          </w:p>
          <w:p>
            <w:pPr>
              <w:spacing w:line="360" w:lineRule="auto"/>
              <w:jc w:val="both"/>
              <w:rPr>
                <w:rFonts w:hint="eastAsia"/>
                <w:lang w:val="en-US" w:eastAsia="zh-CN"/>
              </w:rPr>
            </w:pPr>
            <w:r>
              <w:rPr>
                <w:rFonts w:hint="eastAsia"/>
                <w:lang w:val="en-US" w:eastAsia="zh-CN"/>
              </w:rPr>
              <w:t xml:space="preserve">   污水处理臭气排放分别为硫化氢：0.00578 kg</w:t>
            </w:r>
            <w:r>
              <w:rPr>
                <w:rFonts w:hint="default"/>
              </w:rPr>
              <w:t>/</w:t>
            </w:r>
            <w:r>
              <w:rPr>
                <w:rFonts w:hint="eastAsia"/>
                <w:lang w:val="en-US" w:eastAsia="zh-CN"/>
              </w:rPr>
              <w:t>h；氨：0.0141kg</w:t>
            </w:r>
            <w:r>
              <w:rPr>
                <w:rFonts w:hint="default"/>
              </w:rPr>
              <w:t>/</w:t>
            </w:r>
            <w:r>
              <w:rPr>
                <w:rFonts w:hint="eastAsia"/>
                <w:lang w:val="en-US" w:eastAsia="zh-CN"/>
              </w:rPr>
              <w:t>h；臭气浓度为741无量纲，满足《恶臭污染物排放标准》（GB14554-93）二级新建标准要求。（臭气浓度≤2000、硫化氢≤0.33</w:t>
            </w:r>
            <w:r>
              <w:rPr>
                <w:rFonts w:hint="eastAsia"/>
              </w:rPr>
              <w:t>kg/h</w:t>
            </w:r>
            <w:r>
              <w:rPr>
                <w:rFonts w:hint="eastAsia"/>
                <w:lang w:eastAsia="zh-CN"/>
              </w:rPr>
              <w:t>、</w:t>
            </w:r>
            <w:r>
              <w:rPr>
                <w:rFonts w:hint="eastAsia"/>
                <w:lang w:val="en-US" w:eastAsia="zh-CN"/>
              </w:rPr>
              <w:t>氨≤4.9kg</w:t>
            </w:r>
            <w:r>
              <w:rPr>
                <w:rFonts w:hint="default"/>
              </w:rPr>
              <w:t>/</w:t>
            </w:r>
            <w:r>
              <w:rPr>
                <w:rFonts w:hint="eastAsia"/>
                <w:lang w:val="en-US" w:eastAsia="zh-CN"/>
              </w:rPr>
              <w:t>h）。</w:t>
            </w:r>
          </w:p>
          <w:p>
            <w:pPr>
              <w:pageBreakBefore w:val="0"/>
              <w:numPr>
                <w:ilvl w:val="0"/>
                <w:numId w:val="0"/>
              </w:numPr>
              <w:autoSpaceDE/>
              <w:autoSpaceDN/>
              <w:bidi w:val="0"/>
              <w:snapToGrid/>
              <w:spacing w:before="0" w:after="0" w:line="360" w:lineRule="auto"/>
              <w:ind w:right="0" w:firstLine="480"/>
              <w:jc w:val="left"/>
              <w:rPr>
                <w:rFonts w:hint="default"/>
                <w:lang w:val="en-US" w:eastAsia="zh-CN"/>
              </w:rPr>
            </w:pPr>
            <w:r>
              <w:rPr>
                <w:rFonts w:hint="eastAsia"/>
                <w:lang w:val="en-US" w:eastAsia="zh-CN"/>
              </w:rPr>
              <w:t xml:space="preserve">    无组织氨排放浓度为0.194mg/m³，无组织臭气浓度为15无量纲，无组织硫化氢为0.025mg/m³满足《恶臭污染物排放标准》（GB14554-93）二级新建标准（臭气浓度≤20、硫化氢≤0.06mg/m³</w:t>
            </w:r>
            <w:r>
              <w:rPr>
                <w:rFonts w:hint="eastAsia"/>
                <w:lang w:eastAsia="zh-CN"/>
              </w:rPr>
              <w:t>、</w:t>
            </w:r>
            <w:r>
              <w:rPr>
                <w:rFonts w:hint="eastAsia"/>
                <w:lang w:val="en-US" w:eastAsia="zh-CN"/>
              </w:rPr>
              <w:t>氨≤1.5mg/m³）无组织硫酸雾最大排放浓度为0.194mg/m³ ，满足</w:t>
            </w:r>
            <w:r>
              <w:rPr>
                <w:rFonts w:hint="default"/>
              </w:rPr>
              <w:t>《大气污染物综合排放标准》（GB16297-1996）表2二级标准无组织排放监控浓度限值</w:t>
            </w:r>
            <w:r>
              <w:rPr>
                <w:rFonts w:hint="eastAsia"/>
                <w:lang w:val="en-US" w:eastAsia="zh-CN"/>
              </w:rPr>
              <w:t>1.2mg/m³</w:t>
            </w:r>
          </w:p>
          <w:p>
            <w:pPr>
              <w:jc w:val="both"/>
              <w:rPr>
                <w:rFonts w:hint="default"/>
                <w:lang w:val="en-US" w:eastAsia="zh-CN"/>
              </w:rPr>
            </w:pPr>
          </w:p>
          <w:p>
            <w:pPr>
              <w:pageBreakBefore w:val="0"/>
              <w:numPr>
                <w:ilvl w:val="0"/>
                <w:numId w:val="0"/>
              </w:numPr>
              <w:autoSpaceDE/>
              <w:autoSpaceDN/>
              <w:bidi w:val="0"/>
              <w:snapToGrid/>
              <w:spacing w:before="0" w:after="0" w:line="360" w:lineRule="auto"/>
              <w:ind w:right="0"/>
              <w:jc w:val="left"/>
              <w:rPr>
                <w:rFonts w:hint="eastAsia"/>
                <w:lang w:val="en-US" w:eastAsia="zh-CN"/>
              </w:rPr>
            </w:pPr>
            <w:r>
              <w:rPr>
                <w:rFonts w:hint="eastAsia"/>
                <w:lang w:val="en-US" w:eastAsia="zh-CN"/>
              </w:rPr>
              <w:t xml:space="preserve">污水检测结果： </w:t>
            </w:r>
          </w:p>
          <w:p>
            <w:pPr>
              <w:pageBreakBefore w:val="0"/>
              <w:numPr>
                <w:ilvl w:val="0"/>
                <w:numId w:val="0"/>
              </w:numPr>
              <w:autoSpaceDE/>
              <w:autoSpaceDN/>
              <w:bidi w:val="0"/>
              <w:snapToGrid/>
              <w:spacing w:before="0" w:after="0" w:line="360" w:lineRule="auto"/>
              <w:ind w:right="0" w:firstLine="2200" w:firstLineChars="1000"/>
              <w:jc w:val="left"/>
              <w:rPr>
                <w:rFonts w:hint="eastAsia"/>
                <w:lang w:val="en-US" w:eastAsia="zh-CN"/>
              </w:rPr>
            </w:pPr>
            <w:r>
              <w:rPr>
                <w:rFonts w:hint="eastAsia"/>
                <w:lang w:val="en-US" w:eastAsia="zh-CN"/>
              </w:rPr>
              <w:t>表7</w:t>
            </w:r>
            <w:r>
              <w:rPr>
                <w:rFonts w:hint="default"/>
                <w:lang w:val="en-US" w:eastAsia="zh-CN"/>
              </w:rPr>
              <w:t>-</w:t>
            </w:r>
            <w:r>
              <w:rPr>
                <w:rFonts w:hint="eastAsia"/>
                <w:lang w:val="en-US" w:eastAsia="zh-CN"/>
              </w:rPr>
              <w:t>5-1污水检测结果</w:t>
            </w:r>
          </w:p>
          <w:tbl>
            <w:tblPr>
              <w:tblStyle w:val="38"/>
              <w:tblpPr w:leftFromText="180" w:rightFromText="180" w:vertAnchor="text" w:horzAnchor="margin" w:tblpXSpec="center" w:tblpY="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960"/>
              <w:gridCol w:w="2054"/>
              <w:gridCol w:w="2210"/>
              <w:gridCol w:w="906"/>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2" w:hRule="exact"/>
                <w:jc w:val="center"/>
              </w:trPr>
              <w:tc>
                <w:tcPr>
                  <w:tcW w:w="581"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采样点位</w:t>
                  </w:r>
                </w:p>
              </w:tc>
              <w:tc>
                <w:tcPr>
                  <w:tcW w:w="581" w:type="pc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采样时间</w:t>
                  </w:r>
                </w:p>
              </w:tc>
              <w:tc>
                <w:tcPr>
                  <w:tcW w:w="1243" w:type="pc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样品编号</w:t>
                  </w:r>
                </w:p>
              </w:tc>
              <w:tc>
                <w:tcPr>
                  <w:tcW w:w="1337"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检验项目</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单位</w:t>
                  </w:r>
                </w:p>
              </w:tc>
              <w:tc>
                <w:tcPr>
                  <w:tcW w:w="706"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restar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污水进口</w:t>
                  </w:r>
                </w:p>
              </w:tc>
              <w:tc>
                <w:tcPr>
                  <w:tcW w:w="581" w:type="pct"/>
                  <w:vMerge w:val="restar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11:48</w:t>
                  </w:r>
                </w:p>
              </w:tc>
              <w:tc>
                <w:tcPr>
                  <w:tcW w:w="1243" w:type="pct"/>
                  <w:vMerge w:val="restar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FS20210713002-1至-4</w:t>
                  </w: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阴离子表面活性剂</w:t>
                  </w:r>
                </w:p>
              </w:tc>
              <w:tc>
                <w:tcPr>
                  <w:tcW w:w="548" w:type="pct"/>
                  <w:noWrap w:val="0"/>
                  <w:vAlign w:val="center"/>
                </w:tcPr>
                <w:p>
                  <w:pPr>
                    <w:jc w:val="center"/>
                    <w:rPr>
                      <w:rFonts w:hint="eastAsia" w:ascii="宋体" w:hAnsi="宋体" w:eastAsia="宋体" w:cs="宋体"/>
                      <w:sz w:val="21"/>
                      <w:szCs w:val="21"/>
                    </w:rPr>
                  </w:pPr>
                  <w:r>
                    <w:rPr>
                      <w:rFonts w:hint="eastAsia"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总磷</w:t>
                  </w:r>
                </w:p>
              </w:tc>
              <w:tc>
                <w:tcPr>
                  <w:tcW w:w="548" w:type="pct"/>
                  <w:noWrap w:val="0"/>
                  <w:vAlign w:val="center"/>
                </w:tcPr>
                <w:p>
                  <w:pPr>
                    <w:jc w:val="center"/>
                    <w:rPr>
                      <w:rFonts w:hint="eastAsia" w:ascii="宋体" w:hAnsi="宋体" w:eastAsia="宋体" w:cs="宋体"/>
                      <w:sz w:val="21"/>
                      <w:szCs w:val="21"/>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悬浮物</w:t>
                  </w:r>
                </w:p>
              </w:tc>
              <w:tc>
                <w:tcPr>
                  <w:tcW w:w="548" w:type="pct"/>
                  <w:noWrap w:val="0"/>
                  <w:vAlign w:val="center"/>
                </w:tcPr>
                <w:p>
                  <w:pPr>
                    <w:jc w:val="center"/>
                    <w:rPr>
                      <w:rFonts w:hint="eastAsia" w:ascii="宋体" w:hAnsi="宋体" w:eastAsia="宋体" w:cs="宋体"/>
                      <w:sz w:val="21"/>
                      <w:szCs w:val="21"/>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总氮</w:t>
                  </w:r>
                </w:p>
              </w:tc>
              <w:tc>
                <w:tcPr>
                  <w:tcW w:w="548" w:type="pct"/>
                  <w:noWrap w:val="0"/>
                  <w:vAlign w:val="center"/>
                </w:tcPr>
                <w:p>
                  <w:pPr>
                    <w:jc w:val="center"/>
                    <w:rPr>
                      <w:rFonts w:hint="eastAsia" w:ascii="宋体" w:hAnsi="宋体" w:eastAsia="宋体" w:cs="宋体"/>
                      <w:sz w:val="21"/>
                      <w:szCs w:val="21"/>
                      <w:lang w:val="en-US" w:eastAsia="zh-CN"/>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pH</w:t>
                  </w:r>
                </w:p>
              </w:tc>
              <w:tc>
                <w:tcPr>
                  <w:tcW w:w="548" w:type="pc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化学需氧量（CODcr）</w:t>
                  </w:r>
                </w:p>
              </w:tc>
              <w:tc>
                <w:tcPr>
                  <w:tcW w:w="548" w:type="pct"/>
                  <w:noWrap w:val="0"/>
                  <w:vAlign w:val="center"/>
                </w:tcPr>
                <w:p>
                  <w:pPr>
                    <w:jc w:val="center"/>
                    <w:rPr>
                      <w:rFonts w:hint="eastAsia" w:ascii="宋体" w:hAnsi="宋体" w:eastAsia="宋体" w:cs="宋体"/>
                      <w:sz w:val="21"/>
                      <w:szCs w:val="21"/>
                      <w:lang w:val="en-US" w:eastAsia="zh-CN"/>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五日生化需氧</w:t>
                  </w:r>
                  <w:r>
                    <w:rPr>
                      <w:rFonts w:hint="eastAsia" w:ascii="Times New Roman" w:hAnsi="Times New Roman" w:eastAsia="宋体" w:cs="Times New Roman"/>
                      <w:sz w:val="21"/>
                      <w:szCs w:val="21"/>
                      <w:highlight w:val="none"/>
                      <w:lang w:val="en-US" w:eastAsia="zh-CN"/>
                    </w:rPr>
                    <w:t>量</w:t>
                  </w:r>
                  <w:r>
                    <w:rPr>
                      <w:rFonts w:hint="default" w:ascii="Times New Roman" w:hAnsi="Times New Roman" w:eastAsia="宋体" w:cs="Times New Roman"/>
                      <w:sz w:val="21"/>
                      <w:szCs w:val="21"/>
                      <w:highlight w:val="none"/>
                      <w:lang w:val="en-US" w:eastAsia="zh-CN"/>
                    </w:rPr>
                    <w:t>（BOD</w:t>
                  </w:r>
                  <w:r>
                    <w:rPr>
                      <w:rFonts w:hint="default" w:ascii="Times New Roman" w:hAnsi="Times New Roman" w:eastAsia="宋体" w:cs="Times New Roman"/>
                      <w:sz w:val="21"/>
                      <w:szCs w:val="21"/>
                      <w:highlight w:val="none"/>
                      <w:vertAlign w:val="subscript"/>
                      <w:lang w:val="en-US" w:eastAsia="zh-CN"/>
                    </w:rPr>
                    <w:t>5</w:t>
                  </w:r>
                  <w:r>
                    <w:rPr>
                      <w:rFonts w:hint="default" w:ascii="Times New Roman" w:hAnsi="Times New Roman" w:eastAsia="宋体" w:cs="Times New Roman"/>
                      <w:sz w:val="21"/>
                      <w:szCs w:val="21"/>
                      <w:highlight w:val="none"/>
                      <w:lang w:val="en-US" w:eastAsia="zh-CN"/>
                    </w:rPr>
                    <w:t>）</w:t>
                  </w:r>
                </w:p>
              </w:tc>
              <w:tc>
                <w:tcPr>
                  <w:tcW w:w="548" w:type="pct"/>
                  <w:noWrap w:val="0"/>
                  <w:vAlign w:val="center"/>
                </w:tcPr>
                <w:p>
                  <w:pPr>
                    <w:jc w:val="center"/>
                    <w:rPr>
                      <w:rFonts w:hint="eastAsia" w:ascii="宋体" w:hAnsi="宋体" w:eastAsia="宋体" w:cs="宋体"/>
                      <w:sz w:val="21"/>
                      <w:szCs w:val="21"/>
                      <w:lang w:val="en-US" w:eastAsia="zh-CN"/>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氨氮</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restar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13:29</w:t>
                  </w:r>
                </w:p>
              </w:tc>
              <w:tc>
                <w:tcPr>
                  <w:tcW w:w="1243" w:type="pct"/>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FS20210713002-5至-8</w:t>
                  </w: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阴离子表面活性剂</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eastAsia"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总磷</w:t>
                  </w:r>
                </w:p>
              </w:tc>
              <w:tc>
                <w:tcPr>
                  <w:tcW w:w="548" w:type="pct"/>
                  <w:noWrap w:val="0"/>
                  <w:vAlign w:val="center"/>
                </w:tcPr>
                <w:p>
                  <w:pPr>
                    <w:jc w:val="center"/>
                    <w:rPr>
                      <w:rFonts w:hint="default"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悬浮物</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总氮</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pH</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化学需氧量（CODcr）</w:t>
                  </w:r>
                </w:p>
              </w:tc>
              <w:tc>
                <w:tcPr>
                  <w:tcW w:w="548" w:type="pct"/>
                  <w:noWrap w:val="0"/>
                  <w:vAlign w:val="center"/>
                </w:tcPr>
                <w:p>
                  <w:pPr>
                    <w:jc w:val="center"/>
                    <w:rPr>
                      <w:rFonts w:hint="default"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五日生化需氧</w:t>
                  </w:r>
                  <w:r>
                    <w:rPr>
                      <w:rFonts w:hint="eastAsia" w:ascii="Times New Roman" w:hAnsi="Times New Roman" w:eastAsia="宋体" w:cs="Times New Roman"/>
                      <w:sz w:val="21"/>
                      <w:szCs w:val="21"/>
                      <w:highlight w:val="none"/>
                      <w:lang w:val="en-US" w:eastAsia="zh-CN"/>
                    </w:rPr>
                    <w:t>量</w:t>
                  </w:r>
                  <w:r>
                    <w:rPr>
                      <w:rFonts w:hint="default" w:ascii="Times New Roman" w:hAnsi="Times New Roman" w:eastAsia="宋体" w:cs="Times New Roman"/>
                      <w:sz w:val="21"/>
                      <w:szCs w:val="21"/>
                      <w:highlight w:val="none"/>
                      <w:lang w:val="en-US" w:eastAsia="zh-CN"/>
                    </w:rPr>
                    <w:t>（BOD</w:t>
                  </w:r>
                  <w:r>
                    <w:rPr>
                      <w:rFonts w:hint="default" w:ascii="Times New Roman" w:hAnsi="Times New Roman" w:eastAsia="宋体" w:cs="Times New Roman"/>
                      <w:sz w:val="21"/>
                      <w:szCs w:val="21"/>
                      <w:highlight w:val="none"/>
                      <w:vertAlign w:val="subscript"/>
                      <w:lang w:val="en-US" w:eastAsia="zh-CN"/>
                    </w:rPr>
                    <w:t>5</w:t>
                  </w:r>
                  <w:r>
                    <w:rPr>
                      <w:rFonts w:hint="default" w:ascii="Times New Roman" w:hAnsi="Times New Roman" w:eastAsia="宋体" w:cs="Times New Roman"/>
                      <w:sz w:val="21"/>
                      <w:szCs w:val="21"/>
                      <w:highlight w:val="none"/>
                      <w:lang w:val="en-US" w:eastAsia="zh-CN"/>
                    </w:rPr>
                    <w:t>）</w:t>
                  </w:r>
                </w:p>
              </w:tc>
              <w:tc>
                <w:tcPr>
                  <w:tcW w:w="548" w:type="pct"/>
                  <w:noWrap w:val="0"/>
                  <w:vAlign w:val="center"/>
                </w:tcPr>
                <w:p>
                  <w:pPr>
                    <w:jc w:val="center"/>
                    <w:rPr>
                      <w:rFonts w:hint="default"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氨氮</w:t>
                  </w:r>
                </w:p>
              </w:tc>
              <w:tc>
                <w:tcPr>
                  <w:tcW w:w="548" w:type="pct"/>
                  <w:noWrap w:val="0"/>
                  <w:vAlign w:val="center"/>
                </w:tcPr>
                <w:p>
                  <w:pPr>
                    <w:jc w:val="center"/>
                    <w:rPr>
                      <w:rFonts w:hint="default"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restar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15:22</w:t>
                  </w:r>
                </w:p>
              </w:tc>
              <w:tc>
                <w:tcPr>
                  <w:tcW w:w="1243" w:type="pct"/>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FS20210713002-9</w:t>
                  </w:r>
                </w:p>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至-12</w:t>
                  </w: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阴离子表面活性剂</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0.271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总磷</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悬浮物</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总氮</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green"/>
                      <w:lang w:val="en-US" w:eastAsia="zh-CN" w:bidi="ar-SA"/>
                    </w:rPr>
                  </w:pPr>
                  <w:r>
                    <w:rPr>
                      <w:rFonts w:hint="eastAsia" w:ascii="宋体" w:hAnsi="宋体" w:eastAsia="宋体" w:cs="宋体"/>
                      <w:kern w:val="2"/>
                      <w:sz w:val="21"/>
                      <w:szCs w:val="21"/>
                      <w:highlight w:val="none"/>
                      <w:lang w:val="en-US" w:eastAsia="zh-CN" w:bidi="ar-SA"/>
                    </w:rPr>
                    <w:t>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pH</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eastAsia" w:ascii="宋体" w:hAnsi="宋体" w:eastAsia="宋体" w:cs="宋体"/>
                      <w:sz w:val="21"/>
                      <w:szCs w:val="21"/>
                      <w:lang w:val="en-US" w:eastAsia="zh-CN"/>
                    </w:rPr>
                    <w:t>/</w:t>
                  </w:r>
                </w:p>
              </w:tc>
              <w:tc>
                <w:tcPr>
                  <w:tcW w:w="706" w:type="pct"/>
                  <w:noWrap w:val="0"/>
                  <w:vAlign w:val="center"/>
                </w:tcPr>
                <w:p>
                  <w:pPr>
                    <w:jc w:val="center"/>
                    <w:rPr>
                      <w:rFonts w:hint="default" w:ascii="宋体" w:hAnsi="宋体" w:eastAsia="宋体" w:cs="宋体"/>
                      <w:kern w:val="2"/>
                      <w:sz w:val="21"/>
                      <w:szCs w:val="21"/>
                      <w:highlight w:val="green"/>
                      <w:lang w:val="en-US" w:eastAsia="zh-CN" w:bidi="ar-SA"/>
                    </w:rPr>
                  </w:pPr>
                  <w:r>
                    <w:rPr>
                      <w:rFonts w:hint="eastAsia" w:ascii="宋体" w:hAnsi="宋体" w:eastAsia="宋体" w:cs="宋体"/>
                      <w:kern w:val="2"/>
                      <w:sz w:val="21"/>
                      <w:szCs w:val="21"/>
                      <w:highlight w:val="none"/>
                      <w:lang w:val="en-US" w:eastAsia="zh-CN" w:bidi="ar-SA"/>
                    </w:rPr>
                    <w:t>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化学需氧量（CODcr）</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五日生化需氧</w:t>
                  </w:r>
                  <w:r>
                    <w:rPr>
                      <w:rFonts w:hint="eastAsia" w:ascii="Times New Roman" w:hAnsi="Times New Roman" w:eastAsia="宋体" w:cs="Times New Roman"/>
                      <w:sz w:val="21"/>
                      <w:szCs w:val="21"/>
                      <w:highlight w:val="none"/>
                      <w:lang w:val="en-US" w:eastAsia="zh-CN"/>
                    </w:rPr>
                    <w:t>量</w:t>
                  </w:r>
                  <w:r>
                    <w:rPr>
                      <w:rFonts w:hint="default" w:ascii="Times New Roman" w:hAnsi="Times New Roman" w:eastAsia="宋体" w:cs="Times New Roman"/>
                      <w:sz w:val="21"/>
                      <w:szCs w:val="21"/>
                      <w:highlight w:val="none"/>
                      <w:lang w:val="en-US" w:eastAsia="zh-CN"/>
                    </w:rPr>
                    <w:t>（BOD</w:t>
                  </w:r>
                  <w:r>
                    <w:rPr>
                      <w:rFonts w:hint="default" w:ascii="Times New Roman" w:hAnsi="Times New Roman" w:eastAsia="宋体" w:cs="Times New Roman"/>
                      <w:sz w:val="21"/>
                      <w:szCs w:val="21"/>
                      <w:highlight w:val="none"/>
                      <w:vertAlign w:val="subscript"/>
                      <w:lang w:val="en-US" w:eastAsia="zh-CN"/>
                    </w:rPr>
                    <w:t>5</w:t>
                  </w:r>
                  <w:r>
                    <w:rPr>
                      <w:rFonts w:hint="default" w:ascii="Times New Roman" w:hAnsi="Times New Roman" w:eastAsia="宋体" w:cs="Times New Roman"/>
                      <w:sz w:val="21"/>
                      <w:szCs w:val="21"/>
                      <w:highlight w:val="none"/>
                      <w:lang w:val="en-US" w:eastAsia="zh-CN"/>
                    </w:rPr>
                    <w:t>）</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sz w:val="21"/>
                      <w:szCs w:val="21"/>
                      <w:highlight w:val="none"/>
                      <w:lang w:val="en-US" w:eastAsia="zh-CN"/>
                    </w:rPr>
                    <w:t>氨氮</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restar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17:14</w:t>
                  </w:r>
                </w:p>
              </w:tc>
              <w:tc>
                <w:tcPr>
                  <w:tcW w:w="1243" w:type="pct"/>
                  <w:vMerge w:val="restar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FS20210713002-13</w:t>
                  </w:r>
                </w:p>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至-16</w:t>
                  </w: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阴离子表面活性剂</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0.276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总磷</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悬浮物</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总氮</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pH</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eastAsia" w:ascii="宋体" w:hAnsi="宋体" w:eastAsia="宋体" w:cs="宋体"/>
                      <w:sz w:val="21"/>
                      <w:szCs w:val="21"/>
                      <w:lang w:val="en-US" w:eastAsia="zh-CN"/>
                    </w:rPr>
                    <w:t>/</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化学需氧量（CODcr）</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五日生化需氧</w:t>
                  </w:r>
                  <w:r>
                    <w:rPr>
                      <w:rFonts w:hint="eastAsia" w:ascii="Times New Roman" w:hAnsi="Times New Roman" w:eastAsia="宋体" w:cs="Times New Roman"/>
                      <w:sz w:val="21"/>
                      <w:szCs w:val="21"/>
                      <w:highlight w:val="none"/>
                      <w:lang w:val="en-US" w:eastAsia="zh-CN"/>
                    </w:rPr>
                    <w:t>量</w:t>
                  </w:r>
                  <w:r>
                    <w:rPr>
                      <w:rFonts w:hint="default" w:ascii="Times New Roman" w:hAnsi="Times New Roman" w:eastAsia="宋体" w:cs="Times New Roman"/>
                      <w:sz w:val="21"/>
                      <w:szCs w:val="21"/>
                      <w:highlight w:val="none"/>
                      <w:lang w:val="en-US" w:eastAsia="zh-CN"/>
                    </w:rPr>
                    <w:t>（BOD</w:t>
                  </w:r>
                  <w:r>
                    <w:rPr>
                      <w:rFonts w:hint="default" w:ascii="Times New Roman" w:hAnsi="Times New Roman" w:eastAsia="宋体" w:cs="Times New Roman"/>
                      <w:sz w:val="21"/>
                      <w:szCs w:val="21"/>
                      <w:highlight w:val="none"/>
                      <w:vertAlign w:val="subscript"/>
                      <w:lang w:val="en-US" w:eastAsia="zh-CN"/>
                    </w:rPr>
                    <w:t>5</w:t>
                  </w:r>
                  <w:r>
                    <w:rPr>
                      <w:rFonts w:hint="default" w:ascii="Times New Roman" w:hAnsi="Times New Roman" w:eastAsia="宋体" w:cs="Times New Roman"/>
                      <w:sz w:val="21"/>
                      <w:szCs w:val="21"/>
                      <w:highlight w:val="none"/>
                      <w:lang w:val="en-US" w:eastAsia="zh-CN"/>
                    </w:rPr>
                    <w:t>）</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sz w:val="21"/>
                      <w:szCs w:val="21"/>
                      <w:highlight w:val="none"/>
                      <w:lang w:val="en-US" w:eastAsia="zh-CN"/>
                    </w:rPr>
                    <w:t>氨氮</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32.7</w:t>
                  </w:r>
                </w:p>
              </w:tc>
            </w:tr>
          </w:tbl>
          <w:p>
            <w:pPr>
              <w:pageBreakBefore w:val="0"/>
              <w:numPr>
                <w:ilvl w:val="0"/>
                <w:numId w:val="0"/>
              </w:numPr>
              <w:autoSpaceDE/>
              <w:autoSpaceDN/>
              <w:bidi w:val="0"/>
              <w:snapToGrid/>
              <w:spacing w:before="0" w:after="0" w:line="360" w:lineRule="auto"/>
              <w:ind w:right="0" w:firstLine="2200" w:firstLineChars="1000"/>
              <w:jc w:val="left"/>
              <w:rPr>
                <w:rFonts w:hint="eastAsia"/>
                <w:lang w:val="en-US" w:eastAsia="zh-CN"/>
              </w:rPr>
            </w:pPr>
            <w:r>
              <w:rPr>
                <w:rFonts w:hint="eastAsia"/>
                <w:lang w:val="en-US" w:eastAsia="zh-CN"/>
              </w:rPr>
              <w:t>表7</w:t>
            </w:r>
            <w:r>
              <w:rPr>
                <w:rFonts w:hint="default"/>
                <w:lang w:val="en-US" w:eastAsia="zh-CN"/>
              </w:rPr>
              <w:t>-</w:t>
            </w:r>
            <w:r>
              <w:rPr>
                <w:rFonts w:hint="eastAsia"/>
                <w:lang w:val="en-US" w:eastAsia="zh-CN"/>
              </w:rPr>
              <w:t>5-2污水检测结果</w:t>
            </w:r>
          </w:p>
          <w:tbl>
            <w:tblPr>
              <w:tblStyle w:val="38"/>
              <w:tblpPr w:leftFromText="180" w:rightFromText="180" w:vertAnchor="text" w:horzAnchor="margin" w:tblpXSpec="center" w:tblpY="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960"/>
              <w:gridCol w:w="2054"/>
              <w:gridCol w:w="2210"/>
              <w:gridCol w:w="906"/>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采样点位</w:t>
                  </w:r>
                </w:p>
              </w:tc>
              <w:tc>
                <w:tcPr>
                  <w:tcW w:w="581" w:type="pc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采样时间</w:t>
                  </w:r>
                </w:p>
              </w:tc>
              <w:tc>
                <w:tcPr>
                  <w:tcW w:w="1243" w:type="pc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样品编号</w:t>
                  </w:r>
                </w:p>
              </w:tc>
              <w:tc>
                <w:tcPr>
                  <w:tcW w:w="1337"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检验项目</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单位</w:t>
                  </w:r>
                </w:p>
              </w:tc>
              <w:tc>
                <w:tcPr>
                  <w:tcW w:w="706"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restar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污水出口</w:t>
                  </w:r>
                </w:p>
              </w:tc>
              <w:tc>
                <w:tcPr>
                  <w:tcW w:w="581" w:type="pct"/>
                  <w:vMerge w:val="restar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11:51</w:t>
                  </w:r>
                </w:p>
              </w:tc>
              <w:tc>
                <w:tcPr>
                  <w:tcW w:w="1243" w:type="pct"/>
                  <w:vMerge w:val="restar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FS20210713003-1至-4</w:t>
                  </w: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阴离子表面活性剂</w:t>
                  </w:r>
                </w:p>
              </w:tc>
              <w:tc>
                <w:tcPr>
                  <w:tcW w:w="548" w:type="pct"/>
                  <w:noWrap w:val="0"/>
                  <w:vAlign w:val="center"/>
                </w:tcPr>
                <w:p>
                  <w:pPr>
                    <w:jc w:val="center"/>
                    <w:rPr>
                      <w:rFonts w:hint="eastAsia" w:ascii="宋体" w:hAnsi="宋体" w:eastAsia="宋体" w:cs="宋体"/>
                      <w:sz w:val="21"/>
                      <w:szCs w:val="21"/>
                    </w:rPr>
                  </w:pPr>
                  <w:r>
                    <w:rPr>
                      <w:rFonts w:hint="eastAsia"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总磷</w:t>
                  </w:r>
                </w:p>
              </w:tc>
              <w:tc>
                <w:tcPr>
                  <w:tcW w:w="548" w:type="pct"/>
                  <w:noWrap w:val="0"/>
                  <w:vAlign w:val="center"/>
                </w:tcPr>
                <w:p>
                  <w:pPr>
                    <w:jc w:val="center"/>
                    <w:rPr>
                      <w:rFonts w:hint="eastAsia" w:ascii="宋体" w:hAnsi="宋体" w:eastAsia="宋体" w:cs="宋体"/>
                      <w:sz w:val="21"/>
                      <w:szCs w:val="21"/>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悬浮物</w:t>
                  </w:r>
                </w:p>
              </w:tc>
              <w:tc>
                <w:tcPr>
                  <w:tcW w:w="548" w:type="pct"/>
                  <w:noWrap w:val="0"/>
                  <w:vAlign w:val="center"/>
                </w:tcPr>
                <w:p>
                  <w:pPr>
                    <w:jc w:val="center"/>
                    <w:rPr>
                      <w:rFonts w:hint="eastAsia" w:ascii="宋体" w:hAnsi="宋体" w:eastAsia="宋体" w:cs="宋体"/>
                      <w:sz w:val="21"/>
                      <w:szCs w:val="21"/>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总氮</w:t>
                  </w:r>
                </w:p>
              </w:tc>
              <w:tc>
                <w:tcPr>
                  <w:tcW w:w="548" w:type="pct"/>
                  <w:noWrap w:val="0"/>
                  <w:vAlign w:val="center"/>
                </w:tcPr>
                <w:p>
                  <w:pPr>
                    <w:jc w:val="center"/>
                    <w:rPr>
                      <w:rFonts w:hint="eastAsia" w:ascii="宋体" w:hAnsi="宋体" w:eastAsia="宋体" w:cs="宋体"/>
                      <w:sz w:val="21"/>
                      <w:szCs w:val="21"/>
                      <w:lang w:val="en-US" w:eastAsia="zh-CN"/>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pH</w:t>
                  </w:r>
                </w:p>
              </w:tc>
              <w:tc>
                <w:tcPr>
                  <w:tcW w:w="548" w:type="pc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化学需氧量（CODcr）</w:t>
                  </w:r>
                </w:p>
              </w:tc>
              <w:tc>
                <w:tcPr>
                  <w:tcW w:w="548" w:type="pct"/>
                  <w:noWrap w:val="0"/>
                  <w:vAlign w:val="center"/>
                </w:tcPr>
                <w:p>
                  <w:pPr>
                    <w:jc w:val="center"/>
                    <w:rPr>
                      <w:rFonts w:hint="eastAsia" w:ascii="宋体" w:hAnsi="宋体" w:eastAsia="宋体" w:cs="宋体"/>
                      <w:sz w:val="21"/>
                      <w:szCs w:val="21"/>
                      <w:lang w:val="en-US" w:eastAsia="zh-CN"/>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五日生化需氧</w:t>
                  </w:r>
                  <w:r>
                    <w:rPr>
                      <w:rFonts w:hint="eastAsia" w:ascii="Times New Roman" w:hAnsi="Times New Roman" w:eastAsia="宋体" w:cs="Times New Roman"/>
                      <w:sz w:val="21"/>
                      <w:szCs w:val="21"/>
                      <w:highlight w:val="none"/>
                      <w:lang w:val="en-US" w:eastAsia="zh-CN"/>
                    </w:rPr>
                    <w:t>量</w:t>
                  </w:r>
                  <w:r>
                    <w:rPr>
                      <w:rFonts w:hint="default" w:ascii="Times New Roman" w:hAnsi="Times New Roman" w:eastAsia="宋体" w:cs="Times New Roman"/>
                      <w:sz w:val="21"/>
                      <w:szCs w:val="21"/>
                      <w:highlight w:val="none"/>
                      <w:lang w:val="en-US" w:eastAsia="zh-CN"/>
                    </w:rPr>
                    <w:t>（BOD</w:t>
                  </w:r>
                  <w:r>
                    <w:rPr>
                      <w:rFonts w:hint="default" w:ascii="Times New Roman" w:hAnsi="Times New Roman" w:eastAsia="宋体" w:cs="Times New Roman"/>
                      <w:sz w:val="21"/>
                      <w:szCs w:val="21"/>
                      <w:highlight w:val="none"/>
                      <w:vertAlign w:val="subscript"/>
                      <w:lang w:val="en-US" w:eastAsia="zh-CN"/>
                    </w:rPr>
                    <w:t>5</w:t>
                  </w:r>
                  <w:r>
                    <w:rPr>
                      <w:rFonts w:hint="default" w:ascii="Times New Roman" w:hAnsi="Times New Roman" w:eastAsia="宋体" w:cs="Times New Roman"/>
                      <w:sz w:val="21"/>
                      <w:szCs w:val="21"/>
                      <w:highlight w:val="none"/>
                      <w:lang w:val="en-US" w:eastAsia="zh-CN"/>
                    </w:rPr>
                    <w:t>）</w:t>
                  </w:r>
                </w:p>
              </w:tc>
              <w:tc>
                <w:tcPr>
                  <w:tcW w:w="548" w:type="pct"/>
                  <w:noWrap w:val="0"/>
                  <w:vAlign w:val="center"/>
                </w:tcPr>
                <w:p>
                  <w:pPr>
                    <w:jc w:val="center"/>
                    <w:rPr>
                      <w:rFonts w:hint="eastAsia" w:ascii="宋体" w:hAnsi="宋体" w:eastAsia="宋体" w:cs="宋体"/>
                      <w:sz w:val="21"/>
                      <w:szCs w:val="21"/>
                      <w:lang w:val="en-US" w:eastAsia="zh-CN"/>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氨氮</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restar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13:31</w:t>
                  </w:r>
                </w:p>
              </w:tc>
              <w:tc>
                <w:tcPr>
                  <w:tcW w:w="1243" w:type="pct"/>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FS20210713003-5至-8</w:t>
                  </w: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阴离子表面活性剂</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eastAsia"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总磷</w:t>
                  </w:r>
                </w:p>
              </w:tc>
              <w:tc>
                <w:tcPr>
                  <w:tcW w:w="548" w:type="pct"/>
                  <w:noWrap w:val="0"/>
                  <w:vAlign w:val="center"/>
                </w:tcPr>
                <w:p>
                  <w:pPr>
                    <w:jc w:val="center"/>
                    <w:rPr>
                      <w:rFonts w:hint="default"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悬浮物</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总氮</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pH</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化学需氧量（CODcr）</w:t>
                  </w:r>
                </w:p>
              </w:tc>
              <w:tc>
                <w:tcPr>
                  <w:tcW w:w="548" w:type="pct"/>
                  <w:noWrap w:val="0"/>
                  <w:vAlign w:val="center"/>
                </w:tcPr>
                <w:p>
                  <w:pPr>
                    <w:jc w:val="center"/>
                    <w:rPr>
                      <w:rFonts w:hint="default"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五日生化需氧</w:t>
                  </w:r>
                  <w:r>
                    <w:rPr>
                      <w:rFonts w:hint="eastAsia" w:ascii="Times New Roman" w:hAnsi="Times New Roman" w:eastAsia="宋体" w:cs="Times New Roman"/>
                      <w:sz w:val="21"/>
                      <w:szCs w:val="21"/>
                      <w:highlight w:val="none"/>
                      <w:lang w:val="en-US" w:eastAsia="zh-CN"/>
                    </w:rPr>
                    <w:t>量</w:t>
                  </w:r>
                  <w:r>
                    <w:rPr>
                      <w:rFonts w:hint="default" w:ascii="Times New Roman" w:hAnsi="Times New Roman" w:eastAsia="宋体" w:cs="Times New Roman"/>
                      <w:sz w:val="21"/>
                      <w:szCs w:val="21"/>
                      <w:highlight w:val="none"/>
                      <w:lang w:val="en-US" w:eastAsia="zh-CN"/>
                    </w:rPr>
                    <w:t>（BOD</w:t>
                  </w:r>
                  <w:r>
                    <w:rPr>
                      <w:rFonts w:hint="default" w:ascii="Times New Roman" w:hAnsi="Times New Roman" w:eastAsia="宋体" w:cs="Times New Roman"/>
                      <w:sz w:val="21"/>
                      <w:szCs w:val="21"/>
                      <w:highlight w:val="none"/>
                      <w:vertAlign w:val="subscript"/>
                      <w:lang w:val="en-US" w:eastAsia="zh-CN"/>
                    </w:rPr>
                    <w:t>5</w:t>
                  </w:r>
                  <w:r>
                    <w:rPr>
                      <w:rFonts w:hint="default" w:ascii="Times New Roman" w:hAnsi="Times New Roman" w:eastAsia="宋体" w:cs="Times New Roman"/>
                      <w:sz w:val="21"/>
                      <w:szCs w:val="21"/>
                      <w:highlight w:val="none"/>
                      <w:lang w:val="en-US" w:eastAsia="zh-CN"/>
                    </w:rPr>
                    <w:t>）</w:t>
                  </w:r>
                </w:p>
              </w:tc>
              <w:tc>
                <w:tcPr>
                  <w:tcW w:w="548" w:type="pct"/>
                  <w:noWrap w:val="0"/>
                  <w:vAlign w:val="center"/>
                </w:tcPr>
                <w:p>
                  <w:pPr>
                    <w:jc w:val="center"/>
                    <w:rPr>
                      <w:rFonts w:hint="default"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氨氮</w:t>
                  </w:r>
                </w:p>
              </w:tc>
              <w:tc>
                <w:tcPr>
                  <w:tcW w:w="548" w:type="pct"/>
                  <w:noWrap w:val="0"/>
                  <w:vAlign w:val="center"/>
                </w:tcPr>
                <w:p>
                  <w:pPr>
                    <w:jc w:val="center"/>
                    <w:rPr>
                      <w:rFonts w:hint="default"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restar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15:19</w:t>
                  </w:r>
                </w:p>
              </w:tc>
              <w:tc>
                <w:tcPr>
                  <w:tcW w:w="1243" w:type="pct"/>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FS20210713003-9</w:t>
                  </w:r>
                </w:p>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至-12</w:t>
                  </w: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阴离子表面活性剂</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总磷</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悬浮物</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总氮</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pH</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eastAsia" w:ascii="宋体" w:hAnsi="宋体" w:eastAsia="宋体" w:cs="宋体"/>
                      <w:sz w:val="21"/>
                      <w:szCs w:val="21"/>
                      <w:lang w:val="en-US" w:eastAsia="zh-CN"/>
                    </w:rPr>
                    <w:t>/</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化学需氧量（CODcr）</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五日生化需氧</w:t>
                  </w:r>
                  <w:r>
                    <w:rPr>
                      <w:rFonts w:hint="eastAsia" w:ascii="Times New Roman" w:hAnsi="Times New Roman" w:eastAsia="宋体" w:cs="Times New Roman"/>
                      <w:sz w:val="21"/>
                      <w:szCs w:val="21"/>
                      <w:highlight w:val="none"/>
                      <w:lang w:val="en-US" w:eastAsia="zh-CN"/>
                    </w:rPr>
                    <w:t>量</w:t>
                  </w:r>
                  <w:r>
                    <w:rPr>
                      <w:rFonts w:hint="default" w:ascii="Times New Roman" w:hAnsi="Times New Roman" w:eastAsia="宋体" w:cs="Times New Roman"/>
                      <w:sz w:val="21"/>
                      <w:szCs w:val="21"/>
                      <w:highlight w:val="none"/>
                      <w:lang w:val="en-US" w:eastAsia="zh-CN"/>
                    </w:rPr>
                    <w:t>（BOD</w:t>
                  </w:r>
                  <w:r>
                    <w:rPr>
                      <w:rFonts w:hint="default" w:ascii="Times New Roman" w:hAnsi="Times New Roman" w:eastAsia="宋体" w:cs="Times New Roman"/>
                      <w:sz w:val="21"/>
                      <w:szCs w:val="21"/>
                      <w:highlight w:val="none"/>
                      <w:vertAlign w:val="subscript"/>
                      <w:lang w:val="en-US" w:eastAsia="zh-CN"/>
                    </w:rPr>
                    <w:t>5</w:t>
                  </w:r>
                  <w:r>
                    <w:rPr>
                      <w:rFonts w:hint="default" w:ascii="Times New Roman" w:hAnsi="Times New Roman" w:eastAsia="宋体" w:cs="Times New Roman"/>
                      <w:sz w:val="21"/>
                      <w:szCs w:val="21"/>
                      <w:highlight w:val="none"/>
                      <w:lang w:val="en-US" w:eastAsia="zh-CN"/>
                    </w:rPr>
                    <w:t>）</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sz w:val="21"/>
                      <w:szCs w:val="21"/>
                      <w:highlight w:val="none"/>
                      <w:lang w:val="en-US" w:eastAsia="zh-CN"/>
                    </w:rPr>
                    <w:t>氨氮</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highlight w:val="none"/>
                      <w:lang w:val="en-US" w:eastAsia="zh-CN"/>
                    </w:rPr>
                  </w:pPr>
                </w:p>
              </w:tc>
              <w:tc>
                <w:tcPr>
                  <w:tcW w:w="581" w:type="pct"/>
                  <w:vMerge w:val="restart"/>
                  <w:noWrap w:val="0"/>
                  <w:vAlign w:val="center"/>
                </w:tcPr>
                <w:p>
                  <w:pPr>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17:17</w:t>
                  </w:r>
                </w:p>
              </w:tc>
              <w:tc>
                <w:tcPr>
                  <w:tcW w:w="1243" w:type="pct"/>
                  <w:vMerge w:val="restart"/>
                  <w:noWrap w:val="0"/>
                  <w:vAlign w:val="center"/>
                </w:tcPr>
                <w:p>
                  <w:pPr>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FS20210713003-13</w:t>
                  </w:r>
                </w:p>
                <w:p>
                  <w:pPr>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至-16</w:t>
                  </w: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阴离子表面活性剂</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0.070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highlight w:val="none"/>
                      <w:lang w:val="en-US" w:eastAsia="zh-CN"/>
                    </w:rPr>
                  </w:pPr>
                </w:p>
              </w:tc>
              <w:tc>
                <w:tcPr>
                  <w:tcW w:w="581" w:type="pct"/>
                  <w:vMerge w:val="continue"/>
                  <w:noWrap w:val="0"/>
                  <w:vAlign w:val="center"/>
                </w:tcPr>
                <w:p>
                  <w:pPr>
                    <w:jc w:val="center"/>
                    <w:rPr>
                      <w:rFonts w:hint="default" w:ascii="宋体" w:hAnsi="宋体" w:eastAsia="宋体" w:cs="宋体"/>
                      <w:sz w:val="21"/>
                      <w:szCs w:val="21"/>
                      <w:highlight w:val="none"/>
                      <w:lang w:val="en-US" w:eastAsia="zh-CN"/>
                    </w:rPr>
                  </w:pPr>
                </w:p>
              </w:tc>
              <w:tc>
                <w:tcPr>
                  <w:tcW w:w="1243" w:type="pct"/>
                  <w:vMerge w:val="continue"/>
                  <w:noWrap w:val="0"/>
                  <w:vAlign w:val="center"/>
                </w:tcPr>
                <w:p>
                  <w:pPr>
                    <w:jc w:val="center"/>
                    <w:rPr>
                      <w:rFonts w:hint="eastAsia" w:ascii="宋体" w:hAnsi="宋体" w:eastAsia="宋体" w:cs="宋体"/>
                      <w:sz w:val="21"/>
                      <w:szCs w:val="21"/>
                      <w:highlight w:val="none"/>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总磷</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highlight w:val="none"/>
                      <w:lang w:val="en-US" w:eastAsia="zh-CN"/>
                    </w:rPr>
                  </w:pPr>
                </w:p>
              </w:tc>
              <w:tc>
                <w:tcPr>
                  <w:tcW w:w="581" w:type="pct"/>
                  <w:vMerge w:val="continue"/>
                  <w:noWrap w:val="0"/>
                  <w:vAlign w:val="center"/>
                </w:tcPr>
                <w:p>
                  <w:pPr>
                    <w:jc w:val="center"/>
                    <w:rPr>
                      <w:rFonts w:hint="default" w:ascii="宋体" w:hAnsi="宋体" w:eastAsia="宋体" w:cs="宋体"/>
                      <w:sz w:val="21"/>
                      <w:szCs w:val="21"/>
                      <w:highlight w:val="none"/>
                      <w:lang w:val="en-US" w:eastAsia="zh-CN"/>
                    </w:rPr>
                  </w:pPr>
                </w:p>
              </w:tc>
              <w:tc>
                <w:tcPr>
                  <w:tcW w:w="1243" w:type="pct"/>
                  <w:vMerge w:val="continue"/>
                  <w:noWrap w:val="0"/>
                  <w:vAlign w:val="center"/>
                </w:tcPr>
                <w:p>
                  <w:pPr>
                    <w:jc w:val="center"/>
                    <w:rPr>
                      <w:rFonts w:hint="eastAsia" w:ascii="宋体" w:hAnsi="宋体" w:eastAsia="宋体" w:cs="宋体"/>
                      <w:sz w:val="21"/>
                      <w:szCs w:val="21"/>
                      <w:highlight w:val="none"/>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悬浮物</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highlight w:val="none"/>
                      <w:lang w:val="en-US" w:eastAsia="zh-CN"/>
                    </w:rPr>
                  </w:pPr>
                </w:p>
              </w:tc>
              <w:tc>
                <w:tcPr>
                  <w:tcW w:w="581" w:type="pct"/>
                  <w:vMerge w:val="continue"/>
                  <w:noWrap w:val="0"/>
                  <w:vAlign w:val="center"/>
                </w:tcPr>
                <w:p>
                  <w:pPr>
                    <w:jc w:val="center"/>
                    <w:rPr>
                      <w:rFonts w:hint="default" w:ascii="宋体" w:hAnsi="宋体" w:eastAsia="宋体" w:cs="宋体"/>
                      <w:sz w:val="21"/>
                      <w:szCs w:val="21"/>
                      <w:highlight w:val="none"/>
                      <w:lang w:val="en-US" w:eastAsia="zh-CN"/>
                    </w:rPr>
                  </w:pPr>
                </w:p>
              </w:tc>
              <w:tc>
                <w:tcPr>
                  <w:tcW w:w="1243" w:type="pct"/>
                  <w:vMerge w:val="continue"/>
                  <w:noWrap w:val="0"/>
                  <w:vAlign w:val="center"/>
                </w:tcPr>
                <w:p>
                  <w:pPr>
                    <w:jc w:val="center"/>
                    <w:rPr>
                      <w:rFonts w:hint="eastAsia" w:ascii="宋体" w:hAnsi="宋体" w:eastAsia="宋体" w:cs="宋体"/>
                      <w:sz w:val="21"/>
                      <w:szCs w:val="21"/>
                      <w:highlight w:val="none"/>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总氮</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highlight w:val="none"/>
                      <w:lang w:val="en-US" w:eastAsia="zh-CN"/>
                    </w:rPr>
                  </w:pPr>
                </w:p>
              </w:tc>
              <w:tc>
                <w:tcPr>
                  <w:tcW w:w="581" w:type="pct"/>
                  <w:vMerge w:val="continue"/>
                  <w:noWrap w:val="0"/>
                  <w:vAlign w:val="center"/>
                </w:tcPr>
                <w:p>
                  <w:pPr>
                    <w:jc w:val="center"/>
                    <w:rPr>
                      <w:rFonts w:hint="default" w:ascii="宋体" w:hAnsi="宋体" w:eastAsia="宋体" w:cs="宋体"/>
                      <w:sz w:val="21"/>
                      <w:szCs w:val="21"/>
                      <w:highlight w:val="none"/>
                      <w:lang w:val="en-US" w:eastAsia="zh-CN"/>
                    </w:rPr>
                  </w:pPr>
                </w:p>
              </w:tc>
              <w:tc>
                <w:tcPr>
                  <w:tcW w:w="1243" w:type="pct"/>
                  <w:vMerge w:val="continue"/>
                  <w:noWrap w:val="0"/>
                  <w:vAlign w:val="center"/>
                </w:tcPr>
                <w:p>
                  <w:pPr>
                    <w:jc w:val="center"/>
                    <w:rPr>
                      <w:rFonts w:hint="eastAsia" w:ascii="宋体" w:hAnsi="宋体" w:eastAsia="宋体" w:cs="宋体"/>
                      <w:sz w:val="21"/>
                      <w:szCs w:val="21"/>
                      <w:highlight w:val="none"/>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pH</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eastAsia" w:ascii="宋体" w:hAnsi="宋体" w:eastAsia="宋体" w:cs="宋体"/>
                      <w:sz w:val="21"/>
                      <w:szCs w:val="21"/>
                      <w:highlight w:val="none"/>
                      <w:lang w:val="en-US" w:eastAsia="zh-CN"/>
                    </w:rPr>
                    <w:t>/</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highlight w:val="none"/>
                      <w:lang w:val="en-US" w:eastAsia="zh-CN"/>
                    </w:rPr>
                  </w:pPr>
                </w:p>
              </w:tc>
              <w:tc>
                <w:tcPr>
                  <w:tcW w:w="581" w:type="pct"/>
                  <w:vMerge w:val="continue"/>
                  <w:noWrap w:val="0"/>
                  <w:vAlign w:val="center"/>
                </w:tcPr>
                <w:p>
                  <w:pPr>
                    <w:jc w:val="center"/>
                    <w:rPr>
                      <w:rFonts w:hint="default" w:ascii="宋体" w:hAnsi="宋体" w:eastAsia="宋体" w:cs="宋体"/>
                      <w:sz w:val="21"/>
                      <w:szCs w:val="21"/>
                      <w:highlight w:val="none"/>
                      <w:lang w:val="en-US" w:eastAsia="zh-CN"/>
                    </w:rPr>
                  </w:pPr>
                </w:p>
              </w:tc>
              <w:tc>
                <w:tcPr>
                  <w:tcW w:w="1243" w:type="pct"/>
                  <w:vMerge w:val="continue"/>
                  <w:noWrap w:val="0"/>
                  <w:vAlign w:val="center"/>
                </w:tcPr>
                <w:p>
                  <w:pPr>
                    <w:jc w:val="center"/>
                    <w:rPr>
                      <w:rFonts w:hint="eastAsia" w:ascii="宋体" w:hAnsi="宋体" w:eastAsia="宋体" w:cs="宋体"/>
                      <w:sz w:val="21"/>
                      <w:szCs w:val="21"/>
                      <w:highlight w:val="none"/>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化学需氧量（CODcr）</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exact"/>
                <w:jc w:val="center"/>
              </w:trPr>
              <w:tc>
                <w:tcPr>
                  <w:tcW w:w="581" w:type="pct"/>
                  <w:vMerge w:val="continue"/>
                  <w:noWrap w:val="0"/>
                  <w:vAlign w:val="center"/>
                </w:tcPr>
                <w:p>
                  <w:pPr>
                    <w:jc w:val="center"/>
                    <w:rPr>
                      <w:rFonts w:hint="default" w:ascii="宋体" w:hAnsi="宋体" w:eastAsia="宋体" w:cs="宋体"/>
                      <w:sz w:val="21"/>
                      <w:szCs w:val="21"/>
                      <w:highlight w:val="none"/>
                      <w:lang w:val="en-US" w:eastAsia="zh-CN"/>
                    </w:rPr>
                  </w:pPr>
                </w:p>
              </w:tc>
              <w:tc>
                <w:tcPr>
                  <w:tcW w:w="581" w:type="pct"/>
                  <w:vMerge w:val="continue"/>
                  <w:noWrap w:val="0"/>
                  <w:vAlign w:val="center"/>
                </w:tcPr>
                <w:p>
                  <w:pPr>
                    <w:jc w:val="center"/>
                    <w:rPr>
                      <w:rFonts w:hint="default" w:ascii="宋体" w:hAnsi="宋体" w:eastAsia="宋体" w:cs="宋体"/>
                      <w:sz w:val="21"/>
                      <w:szCs w:val="21"/>
                      <w:highlight w:val="none"/>
                      <w:lang w:val="en-US" w:eastAsia="zh-CN"/>
                    </w:rPr>
                  </w:pPr>
                </w:p>
              </w:tc>
              <w:tc>
                <w:tcPr>
                  <w:tcW w:w="1243" w:type="pct"/>
                  <w:vMerge w:val="continue"/>
                  <w:noWrap w:val="0"/>
                  <w:vAlign w:val="center"/>
                </w:tcPr>
                <w:p>
                  <w:pPr>
                    <w:jc w:val="center"/>
                    <w:rPr>
                      <w:rFonts w:hint="eastAsia" w:ascii="宋体" w:hAnsi="宋体" w:eastAsia="宋体" w:cs="宋体"/>
                      <w:sz w:val="21"/>
                      <w:szCs w:val="21"/>
                      <w:highlight w:val="none"/>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五日生化需氧</w:t>
                  </w:r>
                  <w:r>
                    <w:rPr>
                      <w:rFonts w:hint="eastAsia" w:ascii="Times New Roman" w:hAnsi="Times New Roman" w:eastAsia="宋体" w:cs="Times New Roman"/>
                      <w:sz w:val="21"/>
                      <w:szCs w:val="21"/>
                      <w:highlight w:val="none"/>
                      <w:lang w:val="en-US" w:eastAsia="zh-CN"/>
                    </w:rPr>
                    <w:t>量</w:t>
                  </w:r>
                  <w:r>
                    <w:rPr>
                      <w:rFonts w:hint="default" w:ascii="Times New Roman" w:hAnsi="Times New Roman" w:eastAsia="宋体" w:cs="Times New Roman"/>
                      <w:sz w:val="21"/>
                      <w:szCs w:val="21"/>
                      <w:highlight w:val="none"/>
                      <w:lang w:val="en-US" w:eastAsia="zh-CN"/>
                    </w:rPr>
                    <w:t>（BOD</w:t>
                  </w:r>
                  <w:r>
                    <w:rPr>
                      <w:rFonts w:hint="default" w:ascii="Times New Roman" w:hAnsi="Times New Roman" w:eastAsia="宋体" w:cs="Times New Roman"/>
                      <w:sz w:val="21"/>
                      <w:szCs w:val="21"/>
                      <w:highlight w:val="none"/>
                      <w:vertAlign w:val="subscript"/>
                      <w:lang w:val="en-US" w:eastAsia="zh-CN"/>
                    </w:rPr>
                    <w:t>5</w:t>
                  </w:r>
                  <w:r>
                    <w:rPr>
                      <w:rFonts w:hint="default" w:ascii="Times New Roman" w:hAnsi="Times New Roman" w:eastAsia="宋体" w:cs="Times New Roman"/>
                      <w:sz w:val="21"/>
                      <w:szCs w:val="21"/>
                      <w:highlight w:val="none"/>
                      <w:lang w:val="en-US" w:eastAsia="zh-CN"/>
                    </w:rPr>
                    <w:t>）</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highlight w:val="none"/>
                      <w:lang w:val="en-US" w:eastAsia="zh-CN"/>
                    </w:rPr>
                  </w:pPr>
                </w:p>
              </w:tc>
              <w:tc>
                <w:tcPr>
                  <w:tcW w:w="581" w:type="pct"/>
                  <w:vMerge w:val="continue"/>
                  <w:noWrap w:val="0"/>
                  <w:vAlign w:val="center"/>
                </w:tcPr>
                <w:p>
                  <w:pPr>
                    <w:jc w:val="center"/>
                    <w:rPr>
                      <w:rFonts w:hint="default" w:ascii="宋体" w:hAnsi="宋体" w:eastAsia="宋体" w:cs="宋体"/>
                      <w:sz w:val="21"/>
                      <w:szCs w:val="21"/>
                      <w:highlight w:val="none"/>
                      <w:lang w:val="en-US" w:eastAsia="zh-CN"/>
                    </w:rPr>
                  </w:pPr>
                </w:p>
              </w:tc>
              <w:tc>
                <w:tcPr>
                  <w:tcW w:w="1243" w:type="pct"/>
                  <w:vMerge w:val="continue"/>
                  <w:noWrap w:val="0"/>
                  <w:vAlign w:val="center"/>
                </w:tcPr>
                <w:p>
                  <w:pPr>
                    <w:jc w:val="center"/>
                    <w:rPr>
                      <w:rFonts w:hint="eastAsia" w:ascii="宋体" w:hAnsi="宋体" w:eastAsia="宋体" w:cs="宋体"/>
                      <w:sz w:val="21"/>
                      <w:szCs w:val="21"/>
                      <w:highlight w:val="none"/>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sz w:val="21"/>
                      <w:szCs w:val="21"/>
                      <w:highlight w:val="none"/>
                      <w:lang w:val="en-US" w:eastAsia="zh-CN"/>
                    </w:rPr>
                    <w:t>氨氮</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7.94</w:t>
                  </w:r>
                </w:p>
              </w:tc>
            </w:tr>
          </w:tbl>
          <w:p>
            <w:pPr>
              <w:pStyle w:val="45"/>
              <w:jc w:val="both"/>
              <w:rPr>
                <w:rFonts w:hint="eastAsia"/>
                <w:lang w:val="en-US" w:eastAsia="zh-CN"/>
              </w:rPr>
            </w:pPr>
          </w:p>
          <w:p>
            <w:pPr>
              <w:pageBreakBefore w:val="0"/>
              <w:numPr>
                <w:ilvl w:val="0"/>
                <w:numId w:val="0"/>
              </w:numPr>
              <w:autoSpaceDE/>
              <w:autoSpaceDN/>
              <w:bidi w:val="0"/>
              <w:snapToGrid/>
              <w:spacing w:before="0" w:after="0" w:line="360" w:lineRule="auto"/>
              <w:ind w:right="0" w:firstLine="2640" w:firstLineChars="1200"/>
              <w:jc w:val="left"/>
              <w:rPr>
                <w:rFonts w:hint="eastAsia"/>
                <w:lang w:val="en-US" w:eastAsia="zh-CN"/>
              </w:rPr>
            </w:pPr>
            <w:r>
              <w:rPr>
                <w:rFonts w:hint="eastAsia"/>
                <w:lang w:val="en-US" w:eastAsia="zh-CN"/>
              </w:rPr>
              <w:t>表7</w:t>
            </w:r>
            <w:r>
              <w:rPr>
                <w:rFonts w:hint="default"/>
                <w:lang w:val="en-US" w:eastAsia="zh-CN"/>
              </w:rPr>
              <w:t>-</w:t>
            </w:r>
            <w:r>
              <w:rPr>
                <w:rFonts w:hint="eastAsia"/>
                <w:lang w:val="en-US" w:eastAsia="zh-CN"/>
              </w:rPr>
              <w:t>5-3污水检测结果</w:t>
            </w:r>
          </w:p>
          <w:tbl>
            <w:tblPr>
              <w:tblStyle w:val="38"/>
              <w:tblpPr w:leftFromText="180" w:rightFromText="180" w:vertAnchor="text" w:horzAnchor="margin" w:tblpXSpec="center" w:tblpY="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960"/>
              <w:gridCol w:w="2054"/>
              <w:gridCol w:w="2210"/>
              <w:gridCol w:w="906"/>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采样点位</w:t>
                  </w:r>
                </w:p>
              </w:tc>
              <w:tc>
                <w:tcPr>
                  <w:tcW w:w="581" w:type="pc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采样时间</w:t>
                  </w:r>
                </w:p>
              </w:tc>
              <w:tc>
                <w:tcPr>
                  <w:tcW w:w="1243" w:type="pc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样品编号</w:t>
                  </w:r>
                </w:p>
              </w:tc>
              <w:tc>
                <w:tcPr>
                  <w:tcW w:w="1337"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检验项目</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单位</w:t>
                  </w:r>
                </w:p>
              </w:tc>
              <w:tc>
                <w:tcPr>
                  <w:tcW w:w="706"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restar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污水进口</w:t>
                  </w:r>
                </w:p>
              </w:tc>
              <w:tc>
                <w:tcPr>
                  <w:tcW w:w="581" w:type="pct"/>
                  <w:vMerge w:val="restar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9:51</w:t>
                  </w:r>
                </w:p>
              </w:tc>
              <w:tc>
                <w:tcPr>
                  <w:tcW w:w="1243" w:type="pct"/>
                  <w:vMerge w:val="restar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FS20210714001-1至-4</w:t>
                  </w: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阴离子表面活性剂</w:t>
                  </w:r>
                </w:p>
              </w:tc>
              <w:tc>
                <w:tcPr>
                  <w:tcW w:w="548" w:type="pct"/>
                  <w:noWrap w:val="0"/>
                  <w:vAlign w:val="center"/>
                </w:tcPr>
                <w:p>
                  <w:pPr>
                    <w:jc w:val="center"/>
                    <w:rPr>
                      <w:rFonts w:hint="eastAsia" w:ascii="宋体" w:hAnsi="宋体" w:eastAsia="宋体" w:cs="宋体"/>
                      <w:sz w:val="21"/>
                      <w:szCs w:val="21"/>
                    </w:rPr>
                  </w:pPr>
                  <w:r>
                    <w:rPr>
                      <w:rFonts w:hint="eastAsia"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总磷</w:t>
                  </w:r>
                </w:p>
              </w:tc>
              <w:tc>
                <w:tcPr>
                  <w:tcW w:w="548" w:type="pct"/>
                  <w:noWrap w:val="0"/>
                  <w:vAlign w:val="center"/>
                </w:tcPr>
                <w:p>
                  <w:pPr>
                    <w:jc w:val="center"/>
                    <w:rPr>
                      <w:rFonts w:hint="eastAsia" w:ascii="宋体" w:hAnsi="宋体" w:eastAsia="宋体" w:cs="宋体"/>
                      <w:sz w:val="21"/>
                      <w:szCs w:val="21"/>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悬浮物</w:t>
                  </w:r>
                </w:p>
              </w:tc>
              <w:tc>
                <w:tcPr>
                  <w:tcW w:w="548" w:type="pct"/>
                  <w:noWrap w:val="0"/>
                  <w:vAlign w:val="center"/>
                </w:tcPr>
                <w:p>
                  <w:pPr>
                    <w:jc w:val="center"/>
                    <w:rPr>
                      <w:rFonts w:hint="eastAsia" w:ascii="宋体" w:hAnsi="宋体" w:eastAsia="宋体" w:cs="宋体"/>
                      <w:sz w:val="21"/>
                      <w:szCs w:val="21"/>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总氮</w:t>
                  </w:r>
                </w:p>
              </w:tc>
              <w:tc>
                <w:tcPr>
                  <w:tcW w:w="548" w:type="pct"/>
                  <w:noWrap w:val="0"/>
                  <w:vAlign w:val="center"/>
                </w:tcPr>
                <w:p>
                  <w:pPr>
                    <w:jc w:val="center"/>
                    <w:rPr>
                      <w:rFonts w:hint="eastAsia" w:ascii="宋体" w:hAnsi="宋体" w:eastAsia="宋体" w:cs="宋体"/>
                      <w:sz w:val="21"/>
                      <w:szCs w:val="21"/>
                      <w:lang w:val="en-US" w:eastAsia="zh-CN"/>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pH</w:t>
                  </w:r>
                </w:p>
              </w:tc>
              <w:tc>
                <w:tcPr>
                  <w:tcW w:w="548" w:type="pc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化学需氧量（CODcr）</w:t>
                  </w:r>
                </w:p>
              </w:tc>
              <w:tc>
                <w:tcPr>
                  <w:tcW w:w="548" w:type="pct"/>
                  <w:noWrap w:val="0"/>
                  <w:vAlign w:val="center"/>
                </w:tcPr>
                <w:p>
                  <w:pPr>
                    <w:jc w:val="center"/>
                    <w:rPr>
                      <w:rFonts w:hint="eastAsia" w:ascii="宋体" w:hAnsi="宋体" w:eastAsia="宋体" w:cs="宋体"/>
                      <w:sz w:val="21"/>
                      <w:szCs w:val="21"/>
                      <w:lang w:val="en-US" w:eastAsia="zh-CN"/>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五日生化需氧</w:t>
                  </w:r>
                  <w:r>
                    <w:rPr>
                      <w:rFonts w:hint="eastAsia" w:ascii="Times New Roman" w:hAnsi="Times New Roman" w:eastAsia="宋体" w:cs="Times New Roman"/>
                      <w:sz w:val="21"/>
                      <w:szCs w:val="21"/>
                      <w:highlight w:val="none"/>
                      <w:lang w:val="en-US" w:eastAsia="zh-CN"/>
                    </w:rPr>
                    <w:t>量</w:t>
                  </w:r>
                  <w:r>
                    <w:rPr>
                      <w:rFonts w:hint="default" w:ascii="Times New Roman" w:hAnsi="Times New Roman" w:eastAsia="宋体" w:cs="Times New Roman"/>
                      <w:sz w:val="21"/>
                      <w:szCs w:val="21"/>
                      <w:highlight w:val="none"/>
                      <w:lang w:val="en-US" w:eastAsia="zh-CN"/>
                    </w:rPr>
                    <w:t>（BOD</w:t>
                  </w:r>
                  <w:r>
                    <w:rPr>
                      <w:rFonts w:hint="default" w:ascii="Times New Roman" w:hAnsi="Times New Roman" w:eastAsia="宋体" w:cs="Times New Roman"/>
                      <w:sz w:val="21"/>
                      <w:szCs w:val="21"/>
                      <w:highlight w:val="none"/>
                      <w:vertAlign w:val="subscript"/>
                      <w:lang w:val="en-US" w:eastAsia="zh-CN"/>
                    </w:rPr>
                    <w:t>5</w:t>
                  </w:r>
                  <w:r>
                    <w:rPr>
                      <w:rFonts w:hint="default" w:ascii="Times New Roman" w:hAnsi="Times New Roman" w:eastAsia="宋体" w:cs="Times New Roman"/>
                      <w:sz w:val="21"/>
                      <w:szCs w:val="21"/>
                      <w:highlight w:val="none"/>
                      <w:lang w:val="en-US" w:eastAsia="zh-CN"/>
                    </w:rPr>
                    <w:t>）</w:t>
                  </w:r>
                </w:p>
              </w:tc>
              <w:tc>
                <w:tcPr>
                  <w:tcW w:w="548" w:type="pct"/>
                  <w:noWrap w:val="0"/>
                  <w:vAlign w:val="center"/>
                </w:tcPr>
                <w:p>
                  <w:pPr>
                    <w:jc w:val="center"/>
                    <w:rPr>
                      <w:rFonts w:hint="eastAsia" w:ascii="宋体" w:hAnsi="宋体" w:eastAsia="宋体" w:cs="宋体"/>
                      <w:sz w:val="21"/>
                      <w:szCs w:val="21"/>
                      <w:lang w:val="en-US" w:eastAsia="zh-CN"/>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氨氮</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restar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11:37</w:t>
                  </w:r>
                </w:p>
              </w:tc>
              <w:tc>
                <w:tcPr>
                  <w:tcW w:w="1243" w:type="pct"/>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FS20210714001-5至-8</w:t>
                  </w: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阴离子表面活性剂</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eastAsia"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总磷</w:t>
                  </w:r>
                </w:p>
              </w:tc>
              <w:tc>
                <w:tcPr>
                  <w:tcW w:w="548" w:type="pct"/>
                  <w:noWrap w:val="0"/>
                  <w:vAlign w:val="center"/>
                </w:tcPr>
                <w:p>
                  <w:pPr>
                    <w:jc w:val="center"/>
                    <w:rPr>
                      <w:rFonts w:hint="default"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悬浮物</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总氮</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pH</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化学需氧量（CODcr）</w:t>
                  </w:r>
                </w:p>
              </w:tc>
              <w:tc>
                <w:tcPr>
                  <w:tcW w:w="548" w:type="pct"/>
                  <w:noWrap w:val="0"/>
                  <w:vAlign w:val="center"/>
                </w:tcPr>
                <w:p>
                  <w:pPr>
                    <w:jc w:val="center"/>
                    <w:rPr>
                      <w:rFonts w:hint="default"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五日生化需氧</w:t>
                  </w:r>
                  <w:r>
                    <w:rPr>
                      <w:rFonts w:hint="eastAsia" w:ascii="Times New Roman" w:hAnsi="Times New Roman" w:eastAsia="宋体" w:cs="Times New Roman"/>
                      <w:sz w:val="21"/>
                      <w:szCs w:val="21"/>
                      <w:highlight w:val="none"/>
                      <w:lang w:val="en-US" w:eastAsia="zh-CN"/>
                    </w:rPr>
                    <w:t>量</w:t>
                  </w:r>
                  <w:r>
                    <w:rPr>
                      <w:rFonts w:hint="default" w:ascii="Times New Roman" w:hAnsi="Times New Roman" w:eastAsia="宋体" w:cs="Times New Roman"/>
                      <w:sz w:val="21"/>
                      <w:szCs w:val="21"/>
                      <w:highlight w:val="none"/>
                      <w:lang w:val="en-US" w:eastAsia="zh-CN"/>
                    </w:rPr>
                    <w:t>（BOD</w:t>
                  </w:r>
                  <w:r>
                    <w:rPr>
                      <w:rFonts w:hint="default" w:ascii="Times New Roman" w:hAnsi="Times New Roman" w:eastAsia="宋体" w:cs="Times New Roman"/>
                      <w:sz w:val="21"/>
                      <w:szCs w:val="21"/>
                      <w:highlight w:val="none"/>
                      <w:vertAlign w:val="subscript"/>
                      <w:lang w:val="en-US" w:eastAsia="zh-CN"/>
                    </w:rPr>
                    <w:t>5</w:t>
                  </w:r>
                  <w:r>
                    <w:rPr>
                      <w:rFonts w:hint="default" w:ascii="Times New Roman" w:hAnsi="Times New Roman" w:eastAsia="宋体" w:cs="Times New Roman"/>
                      <w:sz w:val="21"/>
                      <w:szCs w:val="21"/>
                      <w:highlight w:val="none"/>
                      <w:lang w:val="en-US" w:eastAsia="zh-CN"/>
                    </w:rPr>
                    <w:t>）</w:t>
                  </w:r>
                </w:p>
              </w:tc>
              <w:tc>
                <w:tcPr>
                  <w:tcW w:w="548" w:type="pct"/>
                  <w:noWrap w:val="0"/>
                  <w:vAlign w:val="center"/>
                </w:tcPr>
                <w:p>
                  <w:pPr>
                    <w:jc w:val="center"/>
                    <w:rPr>
                      <w:rFonts w:hint="default"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氨氮</w:t>
                  </w:r>
                </w:p>
              </w:tc>
              <w:tc>
                <w:tcPr>
                  <w:tcW w:w="548" w:type="pct"/>
                  <w:noWrap w:val="0"/>
                  <w:vAlign w:val="center"/>
                </w:tcPr>
                <w:p>
                  <w:pPr>
                    <w:jc w:val="center"/>
                    <w:rPr>
                      <w:rFonts w:hint="default"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restar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13:26</w:t>
                  </w:r>
                </w:p>
              </w:tc>
              <w:tc>
                <w:tcPr>
                  <w:tcW w:w="1243" w:type="pct"/>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FS20210714001-9</w:t>
                  </w:r>
                </w:p>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至-12</w:t>
                  </w: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阴离子表面活性剂</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0.244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总磷</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悬浮物</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总氮</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pH</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eastAsia" w:ascii="宋体" w:hAnsi="宋体" w:eastAsia="宋体" w:cs="宋体"/>
                      <w:sz w:val="21"/>
                      <w:szCs w:val="21"/>
                      <w:lang w:val="en-US" w:eastAsia="zh-CN"/>
                    </w:rPr>
                    <w:t>/</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化学需氧量（CODcr）</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五日生化需氧</w:t>
                  </w:r>
                  <w:r>
                    <w:rPr>
                      <w:rFonts w:hint="eastAsia" w:ascii="Times New Roman" w:hAnsi="Times New Roman" w:eastAsia="宋体" w:cs="Times New Roman"/>
                      <w:sz w:val="21"/>
                      <w:szCs w:val="21"/>
                      <w:highlight w:val="none"/>
                      <w:lang w:val="en-US" w:eastAsia="zh-CN"/>
                    </w:rPr>
                    <w:t>量</w:t>
                  </w:r>
                  <w:r>
                    <w:rPr>
                      <w:rFonts w:hint="default" w:ascii="Times New Roman" w:hAnsi="Times New Roman" w:eastAsia="宋体" w:cs="Times New Roman"/>
                      <w:sz w:val="21"/>
                      <w:szCs w:val="21"/>
                      <w:highlight w:val="none"/>
                      <w:lang w:val="en-US" w:eastAsia="zh-CN"/>
                    </w:rPr>
                    <w:t>（BOD</w:t>
                  </w:r>
                  <w:r>
                    <w:rPr>
                      <w:rFonts w:hint="default" w:ascii="Times New Roman" w:hAnsi="Times New Roman" w:eastAsia="宋体" w:cs="Times New Roman"/>
                      <w:sz w:val="21"/>
                      <w:szCs w:val="21"/>
                      <w:highlight w:val="none"/>
                      <w:vertAlign w:val="subscript"/>
                      <w:lang w:val="en-US" w:eastAsia="zh-CN"/>
                    </w:rPr>
                    <w:t>5</w:t>
                  </w:r>
                  <w:r>
                    <w:rPr>
                      <w:rFonts w:hint="default" w:ascii="Times New Roman" w:hAnsi="Times New Roman" w:eastAsia="宋体" w:cs="Times New Roman"/>
                      <w:sz w:val="21"/>
                      <w:szCs w:val="21"/>
                      <w:highlight w:val="none"/>
                      <w:lang w:val="en-US" w:eastAsia="zh-CN"/>
                    </w:rPr>
                    <w:t>）</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sz w:val="21"/>
                      <w:szCs w:val="21"/>
                      <w:highlight w:val="none"/>
                      <w:lang w:val="en-US" w:eastAsia="zh-CN"/>
                    </w:rPr>
                    <w:t>氨氮</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restar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16:22</w:t>
                  </w:r>
                </w:p>
              </w:tc>
              <w:tc>
                <w:tcPr>
                  <w:tcW w:w="1243" w:type="pct"/>
                  <w:vMerge w:val="restar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FS20210714001-13</w:t>
                  </w:r>
                </w:p>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至-16</w:t>
                  </w: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阴离子表面活性剂</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总磷</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悬浮物</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总氮</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pH</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eastAsia" w:ascii="宋体" w:hAnsi="宋体" w:eastAsia="宋体" w:cs="宋体"/>
                      <w:sz w:val="21"/>
                      <w:szCs w:val="21"/>
                      <w:lang w:val="en-US" w:eastAsia="zh-CN"/>
                    </w:rPr>
                    <w:t>/</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化学需氧量（CODcr）</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五日生化需氧</w:t>
                  </w:r>
                  <w:r>
                    <w:rPr>
                      <w:rFonts w:hint="eastAsia" w:ascii="Times New Roman" w:hAnsi="Times New Roman" w:eastAsia="宋体" w:cs="Times New Roman"/>
                      <w:sz w:val="21"/>
                      <w:szCs w:val="21"/>
                      <w:highlight w:val="none"/>
                      <w:lang w:val="en-US" w:eastAsia="zh-CN"/>
                    </w:rPr>
                    <w:t>量</w:t>
                  </w:r>
                  <w:r>
                    <w:rPr>
                      <w:rFonts w:hint="default" w:ascii="Times New Roman" w:hAnsi="Times New Roman" w:eastAsia="宋体" w:cs="Times New Roman"/>
                      <w:sz w:val="21"/>
                      <w:szCs w:val="21"/>
                      <w:highlight w:val="none"/>
                      <w:lang w:val="en-US" w:eastAsia="zh-CN"/>
                    </w:rPr>
                    <w:t>（BOD</w:t>
                  </w:r>
                  <w:r>
                    <w:rPr>
                      <w:rFonts w:hint="default" w:ascii="Times New Roman" w:hAnsi="Times New Roman" w:eastAsia="宋体" w:cs="Times New Roman"/>
                      <w:sz w:val="21"/>
                      <w:szCs w:val="21"/>
                      <w:highlight w:val="none"/>
                      <w:vertAlign w:val="subscript"/>
                      <w:lang w:val="en-US" w:eastAsia="zh-CN"/>
                    </w:rPr>
                    <w:t>5</w:t>
                  </w:r>
                  <w:r>
                    <w:rPr>
                      <w:rFonts w:hint="default" w:ascii="Times New Roman" w:hAnsi="Times New Roman" w:eastAsia="宋体" w:cs="Times New Roman"/>
                      <w:sz w:val="21"/>
                      <w:szCs w:val="21"/>
                      <w:highlight w:val="none"/>
                      <w:lang w:val="en-US" w:eastAsia="zh-CN"/>
                    </w:rPr>
                    <w:t>）</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sz w:val="21"/>
                      <w:szCs w:val="21"/>
                      <w:highlight w:val="none"/>
                      <w:lang w:val="en-US" w:eastAsia="zh-CN"/>
                    </w:rPr>
                    <w:t>氨氮</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33.1</w:t>
                  </w:r>
                </w:p>
              </w:tc>
            </w:tr>
          </w:tbl>
          <w:p>
            <w:pPr>
              <w:pageBreakBefore w:val="0"/>
              <w:numPr>
                <w:ilvl w:val="0"/>
                <w:numId w:val="0"/>
              </w:numPr>
              <w:autoSpaceDE/>
              <w:autoSpaceDN/>
              <w:bidi w:val="0"/>
              <w:snapToGrid/>
              <w:spacing w:before="0" w:after="0" w:line="360" w:lineRule="auto"/>
              <w:ind w:right="0"/>
              <w:jc w:val="center"/>
              <w:rPr>
                <w:rFonts w:hint="eastAsia"/>
                <w:lang w:val="en-US" w:eastAsia="zh-CN"/>
              </w:rPr>
            </w:pPr>
            <w:r>
              <w:rPr>
                <w:rFonts w:hint="eastAsia"/>
                <w:lang w:val="en-US" w:eastAsia="zh-CN"/>
              </w:rPr>
              <w:t>表7</w:t>
            </w:r>
            <w:r>
              <w:rPr>
                <w:rFonts w:hint="default"/>
                <w:lang w:val="en-US" w:eastAsia="zh-CN"/>
              </w:rPr>
              <w:t>-</w:t>
            </w:r>
            <w:r>
              <w:rPr>
                <w:rFonts w:hint="eastAsia"/>
                <w:lang w:val="en-US" w:eastAsia="zh-CN"/>
              </w:rPr>
              <w:t>5-4污水检测结果</w:t>
            </w:r>
          </w:p>
          <w:tbl>
            <w:tblPr>
              <w:tblStyle w:val="38"/>
              <w:tblpPr w:leftFromText="180" w:rightFromText="180" w:vertAnchor="text" w:horzAnchor="margin" w:tblpXSpec="center" w:tblpY="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960"/>
              <w:gridCol w:w="2054"/>
              <w:gridCol w:w="2210"/>
              <w:gridCol w:w="906"/>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采样点位</w:t>
                  </w:r>
                </w:p>
              </w:tc>
              <w:tc>
                <w:tcPr>
                  <w:tcW w:w="581" w:type="pc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采样时间</w:t>
                  </w:r>
                </w:p>
              </w:tc>
              <w:tc>
                <w:tcPr>
                  <w:tcW w:w="1243" w:type="pc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样品编号</w:t>
                  </w:r>
                </w:p>
              </w:tc>
              <w:tc>
                <w:tcPr>
                  <w:tcW w:w="1337"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检验项目</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单位</w:t>
                  </w:r>
                </w:p>
              </w:tc>
              <w:tc>
                <w:tcPr>
                  <w:tcW w:w="706"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restar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污水出口</w:t>
                  </w:r>
                </w:p>
              </w:tc>
              <w:tc>
                <w:tcPr>
                  <w:tcW w:w="581" w:type="pct"/>
                  <w:vMerge w:val="restar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9:48</w:t>
                  </w:r>
                </w:p>
              </w:tc>
              <w:tc>
                <w:tcPr>
                  <w:tcW w:w="1243" w:type="pct"/>
                  <w:vMerge w:val="restar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FS20210714002-1至-4</w:t>
                  </w: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阴离子表面活性剂</w:t>
                  </w:r>
                </w:p>
              </w:tc>
              <w:tc>
                <w:tcPr>
                  <w:tcW w:w="548" w:type="pct"/>
                  <w:noWrap w:val="0"/>
                  <w:vAlign w:val="center"/>
                </w:tcPr>
                <w:p>
                  <w:pPr>
                    <w:jc w:val="center"/>
                    <w:rPr>
                      <w:rFonts w:hint="eastAsia" w:ascii="宋体" w:hAnsi="宋体" w:eastAsia="宋体" w:cs="宋体"/>
                      <w:sz w:val="21"/>
                      <w:szCs w:val="21"/>
                    </w:rPr>
                  </w:pPr>
                  <w:r>
                    <w:rPr>
                      <w:rFonts w:hint="eastAsia"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总磷</w:t>
                  </w:r>
                </w:p>
              </w:tc>
              <w:tc>
                <w:tcPr>
                  <w:tcW w:w="548" w:type="pct"/>
                  <w:noWrap w:val="0"/>
                  <w:vAlign w:val="center"/>
                </w:tcPr>
                <w:p>
                  <w:pPr>
                    <w:jc w:val="center"/>
                    <w:rPr>
                      <w:rFonts w:hint="eastAsia" w:ascii="宋体" w:hAnsi="宋体" w:eastAsia="宋体" w:cs="宋体"/>
                      <w:sz w:val="21"/>
                      <w:szCs w:val="21"/>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悬浮物</w:t>
                  </w:r>
                </w:p>
              </w:tc>
              <w:tc>
                <w:tcPr>
                  <w:tcW w:w="548" w:type="pct"/>
                  <w:noWrap w:val="0"/>
                  <w:vAlign w:val="center"/>
                </w:tcPr>
                <w:p>
                  <w:pPr>
                    <w:jc w:val="center"/>
                    <w:rPr>
                      <w:rFonts w:hint="eastAsia" w:ascii="宋体" w:hAnsi="宋体" w:eastAsia="宋体" w:cs="宋体"/>
                      <w:sz w:val="21"/>
                      <w:szCs w:val="21"/>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总氮</w:t>
                  </w:r>
                </w:p>
              </w:tc>
              <w:tc>
                <w:tcPr>
                  <w:tcW w:w="548" w:type="pct"/>
                  <w:noWrap w:val="0"/>
                  <w:vAlign w:val="center"/>
                </w:tcPr>
                <w:p>
                  <w:pPr>
                    <w:jc w:val="center"/>
                    <w:rPr>
                      <w:rFonts w:hint="eastAsia" w:ascii="宋体" w:hAnsi="宋体" w:eastAsia="宋体" w:cs="宋体"/>
                      <w:sz w:val="21"/>
                      <w:szCs w:val="21"/>
                      <w:lang w:val="en-US" w:eastAsia="zh-CN"/>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pH</w:t>
                  </w:r>
                </w:p>
              </w:tc>
              <w:tc>
                <w:tcPr>
                  <w:tcW w:w="548" w:type="pc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化学需氧量（CODcr）</w:t>
                  </w:r>
                </w:p>
              </w:tc>
              <w:tc>
                <w:tcPr>
                  <w:tcW w:w="548" w:type="pct"/>
                  <w:noWrap w:val="0"/>
                  <w:vAlign w:val="center"/>
                </w:tcPr>
                <w:p>
                  <w:pPr>
                    <w:jc w:val="center"/>
                    <w:rPr>
                      <w:rFonts w:hint="eastAsia" w:ascii="宋体" w:hAnsi="宋体" w:eastAsia="宋体" w:cs="宋体"/>
                      <w:sz w:val="21"/>
                      <w:szCs w:val="21"/>
                      <w:lang w:val="en-US" w:eastAsia="zh-CN"/>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五日生化需氧</w:t>
                  </w:r>
                  <w:r>
                    <w:rPr>
                      <w:rFonts w:hint="eastAsia" w:ascii="Times New Roman" w:hAnsi="Times New Roman" w:eastAsia="宋体" w:cs="Times New Roman"/>
                      <w:sz w:val="21"/>
                      <w:szCs w:val="21"/>
                      <w:highlight w:val="none"/>
                      <w:lang w:val="en-US" w:eastAsia="zh-CN"/>
                    </w:rPr>
                    <w:t>量</w:t>
                  </w:r>
                  <w:r>
                    <w:rPr>
                      <w:rFonts w:hint="default" w:ascii="Times New Roman" w:hAnsi="Times New Roman" w:eastAsia="宋体" w:cs="Times New Roman"/>
                      <w:sz w:val="21"/>
                      <w:szCs w:val="21"/>
                      <w:highlight w:val="none"/>
                      <w:lang w:val="en-US" w:eastAsia="zh-CN"/>
                    </w:rPr>
                    <w:t>（BOD</w:t>
                  </w:r>
                  <w:r>
                    <w:rPr>
                      <w:rFonts w:hint="default" w:ascii="Times New Roman" w:hAnsi="Times New Roman" w:eastAsia="宋体" w:cs="Times New Roman"/>
                      <w:sz w:val="21"/>
                      <w:szCs w:val="21"/>
                      <w:highlight w:val="none"/>
                      <w:vertAlign w:val="subscript"/>
                      <w:lang w:val="en-US" w:eastAsia="zh-CN"/>
                    </w:rPr>
                    <w:t>5</w:t>
                  </w:r>
                  <w:r>
                    <w:rPr>
                      <w:rFonts w:hint="default" w:ascii="Times New Roman" w:hAnsi="Times New Roman" w:eastAsia="宋体" w:cs="Times New Roman"/>
                      <w:sz w:val="21"/>
                      <w:szCs w:val="21"/>
                      <w:highlight w:val="none"/>
                      <w:lang w:val="en-US" w:eastAsia="zh-CN"/>
                    </w:rPr>
                    <w:t>）</w:t>
                  </w:r>
                </w:p>
              </w:tc>
              <w:tc>
                <w:tcPr>
                  <w:tcW w:w="548" w:type="pct"/>
                  <w:noWrap w:val="0"/>
                  <w:vAlign w:val="center"/>
                </w:tcPr>
                <w:p>
                  <w:pPr>
                    <w:jc w:val="center"/>
                    <w:rPr>
                      <w:rFonts w:hint="eastAsia" w:ascii="宋体" w:hAnsi="宋体" w:eastAsia="宋体" w:cs="宋体"/>
                      <w:sz w:val="21"/>
                      <w:szCs w:val="21"/>
                      <w:lang w:val="en-US" w:eastAsia="zh-CN"/>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氨氮</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restar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11:39</w:t>
                  </w:r>
                </w:p>
              </w:tc>
              <w:tc>
                <w:tcPr>
                  <w:tcW w:w="1243" w:type="pct"/>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FS20210714002-5至-8</w:t>
                  </w: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阴离子表面活性剂</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eastAsia"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581" w:type="pct"/>
                  <w:vMerge w:val="continue"/>
                  <w:noWrap w:val="0"/>
                  <w:vAlign w:val="center"/>
                </w:tcPr>
                <w:p>
                  <w:pPr>
                    <w:jc w:val="center"/>
                    <w:rPr>
                      <w:rFonts w:hint="eastAsia"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总磷</w:t>
                  </w:r>
                </w:p>
              </w:tc>
              <w:tc>
                <w:tcPr>
                  <w:tcW w:w="548" w:type="pct"/>
                  <w:noWrap w:val="0"/>
                  <w:vAlign w:val="center"/>
                </w:tcPr>
                <w:p>
                  <w:pPr>
                    <w:jc w:val="center"/>
                    <w:rPr>
                      <w:rFonts w:hint="default"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悬浮物</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总氮</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pH</w:t>
                  </w:r>
                </w:p>
              </w:tc>
              <w:tc>
                <w:tcPr>
                  <w:tcW w:w="548" w:type="pct"/>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化学需氧量（CODcr）</w:t>
                  </w:r>
                </w:p>
              </w:tc>
              <w:tc>
                <w:tcPr>
                  <w:tcW w:w="548" w:type="pct"/>
                  <w:noWrap w:val="0"/>
                  <w:vAlign w:val="center"/>
                </w:tcPr>
                <w:p>
                  <w:pPr>
                    <w:jc w:val="center"/>
                    <w:rPr>
                      <w:rFonts w:hint="default"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五日生化需氧</w:t>
                  </w:r>
                  <w:r>
                    <w:rPr>
                      <w:rFonts w:hint="eastAsia" w:ascii="Times New Roman" w:hAnsi="Times New Roman" w:eastAsia="宋体" w:cs="Times New Roman"/>
                      <w:sz w:val="21"/>
                      <w:szCs w:val="21"/>
                      <w:highlight w:val="none"/>
                      <w:lang w:val="en-US" w:eastAsia="zh-CN"/>
                    </w:rPr>
                    <w:t>量</w:t>
                  </w:r>
                  <w:r>
                    <w:rPr>
                      <w:rFonts w:hint="default" w:ascii="Times New Roman" w:hAnsi="Times New Roman" w:eastAsia="宋体" w:cs="Times New Roman"/>
                      <w:sz w:val="21"/>
                      <w:szCs w:val="21"/>
                      <w:highlight w:val="none"/>
                      <w:lang w:val="en-US" w:eastAsia="zh-CN"/>
                    </w:rPr>
                    <w:t>（BOD</w:t>
                  </w:r>
                  <w:r>
                    <w:rPr>
                      <w:rFonts w:hint="default" w:ascii="Times New Roman" w:hAnsi="Times New Roman" w:eastAsia="宋体" w:cs="Times New Roman"/>
                      <w:sz w:val="21"/>
                      <w:szCs w:val="21"/>
                      <w:highlight w:val="none"/>
                      <w:vertAlign w:val="subscript"/>
                      <w:lang w:val="en-US" w:eastAsia="zh-CN"/>
                    </w:rPr>
                    <w:t>5</w:t>
                  </w:r>
                  <w:r>
                    <w:rPr>
                      <w:rFonts w:hint="default" w:ascii="Times New Roman" w:hAnsi="Times New Roman" w:eastAsia="宋体" w:cs="Times New Roman"/>
                      <w:sz w:val="21"/>
                      <w:szCs w:val="21"/>
                      <w:highlight w:val="none"/>
                      <w:lang w:val="en-US" w:eastAsia="zh-CN"/>
                    </w:rPr>
                    <w:t>）</w:t>
                  </w:r>
                </w:p>
              </w:tc>
              <w:tc>
                <w:tcPr>
                  <w:tcW w:w="548" w:type="pct"/>
                  <w:noWrap w:val="0"/>
                  <w:vAlign w:val="center"/>
                </w:tcPr>
                <w:p>
                  <w:pPr>
                    <w:jc w:val="center"/>
                    <w:rPr>
                      <w:rFonts w:hint="default"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氨氮</w:t>
                  </w:r>
                </w:p>
              </w:tc>
              <w:tc>
                <w:tcPr>
                  <w:tcW w:w="548" w:type="pct"/>
                  <w:noWrap w:val="0"/>
                  <w:vAlign w:val="center"/>
                </w:tcPr>
                <w:p>
                  <w:pPr>
                    <w:jc w:val="center"/>
                    <w:rPr>
                      <w:rFonts w:hint="default" w:ascii="宋体" w:hAnsi="宋体" w:eastAsia="宋体" w:cs="宋体"/>
                      <w:kern w:val="2"/>
                      <w:sz w:val="21"/>
                      <w:szCs w:val="21"/>
                      <w:lang w:val="en-US" w:eastAsia="zh-CN" w:bidi="ar-SA"/>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restar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13:28</w:t>
                  </w:r>
                </w:p>
              </w:tc>
              <w:tc>
                <w:tcPr>
                  <w:tcW w:w="1243" w:type="pct"/>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FS20210714002-9</w:t>
                  </w:r>
                </w:p>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至-12</w:t>
                  </w: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阴离子表面活性剂</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总磷</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悬浮物</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总氮</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pH</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eastAsia" w:ascii="宋体" w:hAnsi="宋体" w:eastAsia="宋体" w:cs="宋体"/>
                      <w:sz w:val="21"/>
                      <w:szCs w:val="21"/>
                      <w:lang w:val="en-US" w:eastAsia="zh-CN"/>
                    </w:rPr>
                    <w:t>/</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化学需氧量（CODcr）</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五日生化需氧</w:t>
                  </w:r>
                  <w:r>
                    <w:rPr>
                      <w:rFonts w:hint="eastAsia" w:ascii="Times New Roman" w:hAnsi="Times New Roman" w:eastAsia="宋体" w:cs="Times New Roman"/>
                      <w:sz w:val="21"/>
                      <w:szCs w:val="21"/>
                      <w:highlight w:val="none"/>
                      <w:lang w:val="en-US" w:eastAsia="zh-CN"/>
                    </w:rPr>
                    <w:t>量</w:t>
                  </w:r>
                  <w:r>
                    <w:rPr>
                      <w:rFonts w:hint="default" w:ascii="Times New Roman" w:hAnsi="Times New Roman" w:eastAsia="宋体" w:cs="Times New Roman"/>
                      <w:sz w:val="21"/>
                      <w:szCs w:val="21"/>
                      <w:highlight w:val="none"/>
                      <w:lang w:val="en-US" w:eastAsia="zh-CN"/>
                    </w:rPr>
                    <w:t>（BOD</w:t>
                  </w:r>
                  <w:r>
                    <w:rPr>
                      <w:rFonts w:hint="default" w:ascii="Times New Roman" w:hAnsi="Times New Roman" w:eastAsia="宋体" w:cs="Times New Roman"/>
                      <w:sz w:val="21"/>
                      <w:szCs w:val="21"/>
                      <w:highlight w:val="none"/>
                      <w:vertAlign w:val="subscript"/>
                      <w:lang w:val="en-US" w:eastAsia="zh-CN"/>
                    </w:rPr>
                    <w:t>5</w:t>
                  </w:r>
                  <w:r>
                    <w:rPr>
                      <w:rFonts w:hint="default" w:ascii="Times New Roman" w:hAnsi="Times New Roman" w:eastAsia="宋体" w:cs="Times New Roman"/>
                      <w:sz w:val="21"/>
                      <w:szCs w:val="21"/>
                      <w:highlight w:val="none"/>
                      <w:lang w:val="en-US" w:eastAsia="zh-CN"/>
                    </w:rPr>
                    <w:t>）</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sz w:val="21"/>
                      <w:szCs w:val="21"/>
                      <w:highlight w:val="none"/>
                      <w:lang w:val="en-US" w:eastAsia="zh-CN"/>
                    </w:rPr>
                    <w:t>氨氮</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restar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16:24</w:t>
                  </w:r>
                </w:p>
              </w:tc>
              <w:tc>
                <w:tcPr>
                  <w:tcW w:w="1243" w:type="pct"/>
                  <w:vMerge w:val="restart"/>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FS20210714002-13</w:t>
                  </w:r>
                </w:p>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至-16</w:t>
                  </w: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阴离子表面活性剂</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总磷</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悬浮物</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总氮</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pH</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eastAsia" w:ascii="宋体" w:hAnsi="宋体" w:eastAsia="宋体" w:cs="宋体"/>
                      <w:sz w:val="21"/>
                      <w:szCs w:val="21"/>
                      <w:lang w:val="en-US" w:eastAsia="zh-CN"/>
                    </w:rPr>
                    <w:t>/</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化学需氧量（CODcr）</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五日生化需氧</w:t>
                  </w:r>
                  <w:r>
                    <w:rPr>
                      <w:rFonts w:hint="eastAsia" w:ascii="Times New Roman" w:hAnsi="Times New Roman" w:eastAsia="宋体" w:cs="Times New Roman"/>
                      <w:sz w:val="21"/>
                      <w:szCs w:val="21"/>
                      <w:highlight w:val="none"/>
                      <w:lang w:val="en-US" w:eastAsia="zh-CN"/>
                    </w:rPr>
                    <w:t>量</w:t>
                  </w:r>
                  <w:r>
                    <w:rPr>
                      <w:rFonts w:hint="default" w:ascii="Times New Roman" w:hAnsi="Times New Roman" w:eastAsia="宋体" w:cs="Times New Roman"/>
                      <w:sz w:val="21"/>
                      <w:szCs w:val="21"/>
                      <w:highlight w:val="none"/>
                      <w:lang w:val="en-US" w:eastAsia="zh-CN"/>
                    </w:rPr>
                    <w:t>（BOD</w:t>
                  </w:r>
                  <w:r>
                    <w:rPr>
                      <w:rFonts w:hint="default" w:ascii="Times New Roman" w:hAnsi="Times New Roman" w:eastAsia="宋体" w:cs="Times New Roman"/>
                      <w:sz w:val="21"/>
                      <w:szCs w:val="21"/>
                      <w:highlight w:val="none"/>
                      <w:vertAlign w:val="subscript"/>
                      <w:lang w:val="en-US" w:eastAsia="zh-CN"/>
                    </w:rPr>
                    <w:t>5</w:t>
                  </w:r>
                  <w:r>
                    <w:rPr>
                      <w:rFonts w:hint="default" w:ascii="Times New Roman" w:hAnsi="Times New Roman" w:eastAsia="宋体" w:cs="Times New Roman"/>
                      <w:sz w:val="21"/>
                      <w:szCs w:val="21"/>
                      <w:highlight w:val="none"/>
                      <w:lang w:val="en-US" w:eastAsia="zh-CN"/>
                    </w:rPr>
                    <w:t>）</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581" w:type="pct"/>
                  <w:vMerge w:val="continue"/>
                  <w:noWrap w:val="0"/>
                  <w:vAlign w:val="center"/>
                </w:tcPr>
                <w:p>
                  <w:pPr>
                    <w:jc w:val="center"/>
                    <w:rPr>
                      <w:rFonts w:hint="default" w:ascii="宋体" w:hAnsi="宋体" w:eastAsia="宋体" w:cs="宋体"/>
                      <w:sz w:val="21"/>
                      <w:szCs w:val="21"/>
                      <w:lang w:val="en-US" w:eastAsia="zh-CN"/>
                    </w:rPr>
                  </w:pPr>
                </w:p>
              </w:tc>
              <w:tc>
                <w:tcPr>
                  <w:tcW w:w="581" w:type="pct"/>
                  <w:vMerge w:val="continue"/>
                  <w:noWrap w:val="0"/>
                  <w:vAlign w:val="center"/>
                </w:tcPr>
                <w:p>
                  <w:pPr>
                    <w:jc w:val="center"/>
                    <w:rPr>
                      <w:rFonts w:hint="default" w:ascii="宋体" w:hAnsi="宋体" w:eastAsia="宋体" w:cs="宋体"/>
                      <w:sz w:val="21"/>
                      <w:szCs w:val="21"/>
                      <w:lang w:val="en-US" w:eastAsia="zh-CN"/>
                    </w:rPr>
                  </w:pPr>
                </w:p>
              </w:tc>
              <w:tc>
                <w:tcPr>
                  <w:tcW w:w="1243" w:type="pct"/>
                  <w:vMerge w:val="continue"/>
                  <w:noWrap w:val="0"/>
                  <w:vAlign w:val="center"/>
                </w:tcPr>
                <w:p>
                  <w:pPr>
                    <w:jc w:val="center"/>
                    <w:rPr>
                      <w:rFonts w:hint="eastAsia" w:ascii="宋体" w:hAnsi="宋体" w:eastAsia="宋体" w:cs="宋体"/>
                      <w:sz w:val="21"/>
                      <w:szCs w:val="21"/>
                      <w:lang w:val="en-US" w:eastAsia="zh-CN"/>
                    </w:rPr>
                  </w:pPr>
                </w:p>
              </w:tc>
              <w:tc>
                <w:tcPr>
                  <w:tcW w:w="1337" w:type="pct"/>
                  <w:noWrap w:val="0"/>
                  <w:vAlign w:val="center"/>
                </w:tcPr>
                <w:p>
                  <w:pPr>
                    <w:spacing w:line="240" w:lineRule="exact"/>
                    <w:jc w:val="center"/>
                    <w:rPr>
                      <w:rFonts w:hint="eastAsia" w:ascii="Times New Roman" w:hAnsi="Times New Roman" w:eastAsia="宋体" w:cs="Times New Roman"/>
                      <w:kern w:val="0"/>
                      <w:sz w:val="21"/>
                      <w:szCs w:val="21"/>
                      <w:highlight w:val="none"/>
                      <w:lang w:val="en-US" w:eastAsia="zh-CN" w:bidi="ar"/>
                    </w:rPr>
                  </w:pPr>
                  <w:r>
                    <w:rPr>
                      <w:rFonts w:hint="eastAsia" w:ascii="Times New Roman" w:hAnsi="Times New Roman" w:eastAsia="宋体" w:cs="Times New Roman"/>
                      <w:sz w:val="21"/>
                      <w:szCs w:val="21"/>
                      <w:highlight w:val="none"/>
                      <w:lang w:val="en-US" w:eastAsia="zh-CN"/>
                    </w:rPr>
                    <w:t>氨氮</w:t>
                  </w:r>
                </w:p>
              </w:tc>
              <w:tc>
                <w:tcPr>
                  <w:tcW w:w="548" w:type="pct"/>
                  <w:noWrap w:val="0"/>
                  <w:vAlign w:val="center"/>
                </w:tcPr>
                <w:p>
                  <w:pPr>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mg/L</w:t>
                  </w:r>
                </w:p>
              </w:tc>
              <w:tc>
                <w:tcPr>
                  <w:tcW w:w="706" w:type="pct"/>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7.98</w:t>
                  </w:r>
                </w:p>
              </w:tc>
            </w:tr>
          </w:tbl>
          <w:p>
            <w:pPr>
              <w:pageBreakBefore w:val="0"/>
              <w:numPr>
                <w:ilvl w:val="0"/>
                <w:numId w:val="0"/>
              </w:numPr>
              <w:autoSpaceDE/>
              <w:autoSpaceDN/>
              <w:bidi w:val="0"/>
              <w:snapToGrid/>
              <w:spacing w:before="0" w:after="0" w:line="360" w:lineRule="auto"/>
              <w:ind w:right="0" w:firstLine="480" w:firstLineChars="200"/>
              <w:jc w:val="both"/>
              <w:rPr>
                <w:rFonts w:hint="eastAsia" w:ascii="Times New Roman" w:hAnsi="Times New Roman"/>
                <w:color w:val="auto"/>
                <w:position w:val="0"/>
                <w:sz w:val="24"/>
                <w:szCs w:val="24"/>
                <w:lang w:val="en-US" w:eastAsia="zh-CN"/>
              </w:rPr>
            </w:pPr>
            <w:r>
              <w:rPr>
                <w:rFonts w:hint="eastAsia" w:ascii="Times New Roman" w:hAnsi="Times New Roman" w:eastAsia="Times New Roman"/>
                <w:color w:val="auto"/>
                <w:position w:val="0"/>
                <w:sz w:val="24"/>
                <w:szCs w:val="24"/>
                <w:lang w:val="en-US" w:eastAsia="zh-CN"/>
              </w:rPr>
              <w:t>验收监测期间，污水外排口CODcr</w:t>
            </w:r>
            <w:r>
              <w:rPr>
                <w:rFonts w:hint="default" w:ascii="Times New Roman" w:hAnsi="Times New Roman" w:eastAsia="Times New Roman"/>
                <w:color w:val="auto"/>
                <w:position w:val="0"/>
                <w:sz w:val="24"/>
                <w:szCs w:val="24"/>
              </w:rPr>
              <w:t>的</w:t>
            </w:r>
            <w:r>
              <w:rPr>
                <w:rFonts w:hint="eastAsia" w:ascii="Times New Roman" w:hAnsi="Times New Roman" w:eastAsia="宋体"/>
                <w:color w:val="auto"/>
                <w:position w:val="0"/>
                <w:sz w:val="24"/>
                <w:szCs w:val="24"/>
                <w:lang w:val="en-US" w:eastAsia="zh-CN"/>
              </w:rPr>
              <w:t>平均值排</w:t>
            </w:r>
            <w:r>
              <w:rPr>
                <w:rFonts w:hint="default" w:ascii="Times New Roman" w:hAnsi="Times New Roman" w:eastAsia="Times New Roman"/>
                <w:color w:val="auto"/>
                <w:position w:val="0"/>
                <w:sz w:val="24"/>
                <w:szCs w:val="24"/>
              </w:rPr>
              <w:t>放浓度为</w:t>
            </w:r>
            <w:r>
              <w:rPr>
                <w:rFonts w:hint="eastAsia" w:ascii="Times New Roman" w:hAnsi="Times New Roman" w:eastAsia="宋体"/>
                <w:color w:val="auto"/>
                <w:position w:val="0"/>
                <w:sz w:val="24"/>
                <w:szCs w:val="24"/>
                <w:lang w:val="en-US" w:eastAsia="zh-CN"/>
              </w:rPr>
              <w:t>155</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L；SS</w:t>
            </w:r>
            <w:r>
              <w:rPr>
                <w:rFonts w:hint="default" w:ascii="Times New Roman" w:hAnsi="Times New Roman" w:eastAsia="Times New Roman"/>
                <w:color w:val="auto"/>
                <w:position w:val="0"/>
                <w:sz w:val="24"/>
                <w:szCs w:val="24"/>
              </w:rPr>
              <w:t>的</w:t>
            </w:r>
            <w:r>
              <w:rPr>
                <w:rFonts w:hint="eastAsia" w:ascii="Times New Roman" w:hAnsi="Times New Roman" w:eastAsia="宋体"/>
                <w:color w:val="auto"/>
                <w:position w:val="0"/>
                <w:sz w:val="24"/>
                <w:szCs w:val="24"/>
                <w:lang w:val="en-US" w:eastAsia="zh-CN"/>
              </w:rPr>
              <w:t>平均值排</w:t>
            </w:r>
            <w:r>
              <w:rPr>
                <w:rFonts w:hint="default" w:ascii="Times New Roman" w:hAnsi="Times New Roman" w:eastAsia="Times New Roman"/>
                <w:color w:val="auto"/>
                <w:position w:val="0"/>
                <w:sz w:val="24"/>
                <w:szCs w:val="24"/>
              </w:rPr>
              <w:t>放浓度为</w:t>
            </w:r>
            <w:r>
              <w:rPr>
                <w:rFonts w:hint="eastAsia" w:ascii="Times New Roman" w:hAnsi="Times New Roman" w:eastAsia="宋体"/>
                <w:color w:val="auto"/>
                <w:position w:val="0"/>
                <w:sz w:val="24"/>
                <w:szCs w:val="24"/>
                <w:lang w:val="en-US" w:eastAsia="zh-CN"/>
              </w:rPr>
              <w:t>137</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L；氨氮</w:t>
            </w:r>
            <w:r>
              <w:rPr>
                <w:rFonts w:hint="default" w:ascii="Times New Roman" w:hAnsi="Times New Roman" w:eastAsia="Times New Roman"/>
                <w:color w:val="auto"/>
                <w:position w:val="0"/>
                <w:sz w:val="24"/>
                <w:szCs w:val="24"/>
              </w:rPr>
              <w:t>的</w:t>
            </w:r>
            <w:r>
              <w:rPr>
                <w:rFonts w:hint="eastAsia" w:ascii="Times New Roman" w:hAnsi="Times New Roman" w:eastAsia="宋体"/>
                <w:color w:val="auto"/>
                <w:position w:val="0"/>
                <w:sz w:val="24"/>
                <w:szCs w:val="24"/>
                <w:lang w:val="en-US" w:eastAsia="zh-CN"/>
              </w:rPr>
              <w:t>平均值排</w:t>
            </w:r>
            <w:r>
              <w:rPr>
                <w:rFonts w:hint="default" w:ascii="Times New Roman" w:hAnsi="Times New Roman" w:eastAsia="Times New Roman"/>
                <w:color w:val="auto"/>
                <w:position w:val="0"/>
                <w:sz w:val="24"/>
                <w:szCs w:val="24"/>
              </w:rPr>
              <w:t>放浓度为</w:t>
            </w:r>
            <w:r>
              <w:rPr>
                <w:rFonts w:hint="eastAsia" w:ascii="Times New Roman" w:hAnsi="Times New Roman" w:eastAsia="宋体"/>
                <w:color w:val="auto"/>
                <w:position w:val="0"/>
                <w:sz w:val="24"/>
                <w:szCs w:val="24"/>
                <w:lang w:val="en-US" w:eastAsia="zh-CN"/>
              </w:rPr>
              <w:t>8</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w:t>
            </w:r>
            <w:r>
              <w:rPr>
                <w:rFonts w:hint="eastAsia" w:ascii="Times New Roman" w:hAnsi="Times New Roman"/>
                <w:color w:val="auto"/>
                <w:position w:val="0"/>
                <w:sz w:val="24"/>
                <w:szCs w:val="24"/>
                <w:lang w:val="en-US" w:eastAsia="zh-CN"/>
              </w:rPr>
              <w:t>总磷</w:t>
            </w:r>
            <w:r>
              <w:rPr>
                <w:rFonts w:hint="default" w:ascii="Times New Roman" w:hAnsi="Times New Roman" w:eastAsia="Times New Roman"/>
                <w:color w:val="auto"/>
                <w:position w:val="0"/>
                <w:sz w:val="24"/>
                <w:szCs w:val="24"/>
              </w:rPr>
              <w:t>的</w:t>
            </w:r>
            <w:r>
              <w:rPr>
                <w:rFonts w:hint="eastAsia" w:ascii="Times New Roman" w:hAnsi="Times New Roman" w:eastAsia="宋体"/>
                <w:color w:val="auto"/>
                <w:position w:val="0"/>
                <w:sz w:val="24"/>
                <w:szCs w:val="24"/>
                <w:lang w:val="en-US" w:eastAsia="zh-CN"/>
              </w:rPr>
              <w:t>平均值排</w:t>
            </w:r>
            <w:r>
              <w:rPr>
                <w:rFonts w:hint="default" w:ascii="Times New Roman" w:hAnsi="Times New Roman" w:eastAsia="Times New Roman"/>
                <w:color w:val="auto"/>
                <w:position w:val="0"/>
                <w:sz w:val="24"/>
                <w:szCs w:val="24"/>
              </w:rPr>
              <w:t>放浓度为</w:t>
            </w:r>
            <w:r>
              <w:rPr>
                <w:rFonts w:hint="eastAsia" w:ascii="Times New Roman" w:hAnsi="Times New Roman" w:eastAsia="宋体"/>
                <w:color w:val="auto"/>
                <w:position w:val="0"/>
                <w:sz w:val="24"/>
                <w:szCs w:val="24"/>
                <w:lang w:val="en-US" w:eastAsia="zh-CN"/>
              </w:rPr>
              <w:t>7.58</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L；总氮</w:t>
            </w:r>
            <w:r>
              <w:rPr>
                <w:rFonts w:hint="eastAsia" w:ascii="Times New Roman" w:hAnsi="Times New Roman" w:eastAsia="宋体"/>
                <w:color w:val="auto"/>
                <w:position w:val="0"/>
                <w:sz w:val="24"/>
                <w:szCs w:val="24"/>
                <w:lang w:val="en-US" w:eastAsia="zh-CN"/>
              </w:rPr>
              <w:t>平均值排</w:t>
            </w:r>
            <w:r>
              <w:rPr>
                <w:rFonts w:hint="default" w:ascii="Times New Roman" w:hAnsi="Times New Roman" w:eastAsia="Times New Roman"/>
                <w:color w:val="auto"/>
                <w:position w:val="0"/>
                <w:sz w:val="24"/>
                <w:szCs w:val="24"/>
              </w:rPr>
              <w:t>放浓度为</w:t>
            </w:r>
            <w:r>
              <w:rPr>
                <w:rFonts w:hint="eastAsia" w:ascii="Times New Roman" w:hAnsi="Times New Roman" w:eastAsia="宋体"/>
                <w:color w:val="auto"/>
                <w:position w:val="0"/>
                <w:sz w:val="24"/>
                <w:szCs w:val="24"/>
                <w:lang w:eastAsia="zh-CN"/>
              </w:rPr>
              <w:t>：</w:t>
            </w:r>
            <w:r>
              <w:rPr>
                <w:rFonts w:hint="eastAsia" w:ascii="Times New Roman" w:hAnsi="Times New Roman" w:eastAsia="宋体"/>
                <w:color w:val="auto"/>
                <w:position w:val="0"/>
                <w:sz w:val="24"/>
                <w:szCs w:val="24"/>
                <w:lang w:val="en-US" w:eastAsia="zh-CN"/>
              </w:rPr>
              <w:t>13.2</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w:t>
            </w:r>
            <w:r>
              <w:rPr>
                <w:rFonts w:hint="eastAsia" w:ascii="Times New Roman" w:hAnsi="Times New Roman"/>
                <w:color w:val="auto"/>
                <w:position w:val="0"/>
                <w:sz w:val="24"/>
                <w:szCs w:val="24"/>
                <w:lang w:val="en-US" w:eastAsia="zh-CN"/>
              </w:rPr>
              <w:t>PH值</w:t>
            </w:r>
            <w:r>
              <w:rPr>
                <w:rFonts w:hint="default" w:ascii="Times New Roman" w:hAnsi="Times New Roman" w:eastAsia="Times New Roman"/>
                <w:color w:val="auto"/>
                <w:position w:val="0"/>
                <w:sz w:val="24"/>
                <w:szCs w:val="24"/>
              </w:rPr>
              <w:t>为</w:t>
            </w:r>
            <w:r>
              <w:rPr>
                <w:rFonts w:hint="eastAsia" w:ascii="Times New Roman" w:hAnsi="Times New Roman" w:eastAsia="宋体"/>
                <w:color w:val="auto"/>
                <w:position w:val="0"/>
                <w:sz w:val="24"/>
                <w:szCs w:val="24"/>
                <w:lang w:val="en-US" w:eastAsia="zh-CN"/>
              </w:rPr>
              <w:t>7.22-7.69</w:t>
            </w:r>
            <w:r>
              <w:rPr>
                <w:rFonts w:hint="eastAsia" w:ascii="Times New Roman" w:hAnsi="Times New Roman"/>
                <w:color w:val="auto"/>
                <w:position w:val="0"/>
                <w:sz w:val="24"/>
                <w:szCs w:val="24"/>
                <w:lang w:val="en-US" w:eastAsia="zh-CN"/>
              </w:rPr>
              <w:t>；阴离子表面活性剂</w:t>
            </w:r>
            <w:r>
              <w:rPr>
                <w:rFonts w:hint="eastAsia" w:ascii="Times New Roman" w:hAnsi="Times New Roman" w:eastAsia="宋体"/>
                <w:color w:val="auto"/>
                <w:position w:val="0"/>
                <w:sz w:val="24"/>
                <w:szCs w:val="24"/>
                <w:lang w:val="en-US" w:eastAsia="zh-CN"/>
              </w:rPr>
              <w:t>平均值排</w:t>
            </w:r>
            <w:r>
              <w:rPr>
                <w:rFonts w:hint="default" w:ascii="Times New Roman" w:hAnsi="Times New Roman" w:eastAsia="Times New Roman"/>
                <w:color w:val="auto"/>
                <w:position w:val="0"/>
                <w:sz w:val="24"/>
                <w:szCs w:val="24"/>
              </w:rPr>
              <w:t>放浓度为</w:t>
            </w:r>
            <w:r>
              <w:rPr>
                <w:rFonts w:hint="eastAsia" w:ascii="Times New Roman" w:hAnsi="Times New Roman" w:eastAsia="宋体"/>
                <w:color w:val="auto"/>
                <w:position w:val="0"/>
                <w:sz w:val="24"/>
                <w:szCs w:val="24"/>
                <w:lang w:val="en-US" w:eastAsia="zh-CN"/>
              </w:rPr>
              <w:t>0.064</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L；五日生化需氧量</w:t>
            </w:r>
            <w:r>
              <w:rPr>
                <w:rFonts w:hint="eastAsia" w:ascii="Times New Roman" w:hAnsi="Times New Roman" w:eastAsia="宋体"/>
                <w:color w:val="auto"/>
                <w:position w:val="0"/>
                <w:sz w:val="24"/>
                <w:szCs w:val="24"/>
                <w:lang w:val="en-US" w:eastAsia="zh-CN"/>
              </w:rPr>
              <w:t>平均值排</w:t>
            </w:r>
            <w:r>
              <w:rPr>
                <w:rFonts w:hint="default" w:ascii="Times New Roman" w:hAnsi="Times New Roman" w:eastAsia="Times New Roman"/>
                <w:color w:val="auto"/>
                <w:position w:val="0"/>
                <w:sz w:val="24"/>
                <w:szCs w:val="24"/>
              </w:rPr>
              <w:t>放浓度</w:t>
            </w:r>
            <w:r>
              <w:rPr>
                <w:rFonts w:hint="eastAsia" w:ascii="Times New Roman" w:hAnsi="Times New Roman" w:eastAsia="Times New Roman"/>
                <w:color w:val="auto"/>
                <w:position w:val="0"/>
                <w:sz w:val="24"/>
                <w:szCs w:val="24"/>
                <w:lang w:val="en-US" w:eastAsia="zh-CN"/>
              </w:rPr>
              <w:t>为：27.9</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w:t>
            </w:r>
            <w:r>
              <w:rPr>
                <w:rFonts w:hint="default" w:ascii="Times New Roman" w:hAnsi="Times New Roman" w:eastAsia="Times New Roman"/>
                <w:color w:val="auto"/>
                <w:position w:val="0"/>
                <w:sz w:val="24"/>
                <w:szCs w:val="24"/>
              </w:rPr>
              <w:t>均满足</w:t>
            </w:r>
            <w:r>
              <w:rPr>
                <w:rFonts w:hint="default" w:ascii="Times New Roman" w:hAnsi="宋体" w:eastAsia="宋体"/>
                <w:color w:val="auto"/>
                <w:position w:val="0"/>
                <w:sz w:val="24"/>
                <w:szCs w:val="24"/>
              </w:rPr>
              <w:t>《污水排入下城镇水道水质标准》（GB/T31962-2015）表1中B等级标准。</w:t>
            </w:r>
            <w:r>
              <w:rPr>
                <w:rFonts w:hint="eastAsia" w:ascii="Times New Roman" w:hAnsi="Times New Roman" w:eastAsia="Times New Roman"/>
                <w:color w:val="auto"/>
                <w:position w:val="0"/>
                <w:sz w:val="24"/>
                <w:szCs w:val="24"/>
                <w:lang w:val="en-US" w:eastAsia="zh-CN"/>
              </w:rPr>
              <w:t>（CODcr≤500mg/L</w:t>
            </w:r>
            <w:r>
              <w:rPr>
                <w:rFonts w:hint="default" w:ascii="Times New Roman" w:hAnsi="Times New Roman" w:eastAsia="Times New Roman"/>
                <w:color w:val="auto"/>
                <w:position w:val="0"/>
                <w:sz w:val="24"/>
                <w:szCs w:val="24"/>
              </w:rPr>
              <w:t>、</w:t>
            </w:r>
            <w:r>
              <w:rPr>
                <w:rFonts w:hint="eastAsia" w:ascii="Times New Roman" w:hAnsi="Times New Roman" w:eastAsia="宋体"/>
                <w:color w:val="auto"/>
                <w:position w:val="0"/>
                <w:sz w:val="24"/>
                <w:szCs w:val="24"/>
                <w:lang w:val="en-US" w:eastAsia="zh-CN"/>
              </w:rPr>
              <w:t>BOD5</w:t>
            </w:r>
            <w:r>
              <w:rPr>
                <w:rFonts w:hint="eastAsia" w:ascii="Times New Roman" w:hAnsi="Times New Roman" w:eastAsia="Times New Roman"/>
                <w:color w:val="auto"/>
                <w:position w:val="0"/>
                <w:sz w:val="24"/>
                <w:szCs w:val="24"/>
                <w:lang w:val="en-US" w:eastAsia="zh-CN"/>
              </w:rPr>
              <w:t>≤350mg/L、SS≤400mg/L、氨氮≤45mg/L</w:t>
            </w:r>
            <w:r>
              <w:rPr>
                <w:rFonts w:hint="eastAsia" w:ascii="Times New Roman" w:hAnsi="Times New Roman"/>
                <w:color w:val="auto"/>
                <w:position w:val="0"/>
                <w:sz w:val="24"/>
                <w:szCs w:val="24"/>
                <w:lang w:val="en-US" w:eastAsia="zh-CN"/>
              </w:rPr>
              <w:t>、总磷</w:t>
            </w:r>
            <w:r>
              <w:rPr>
                <w:rFonts w:hint="eastAsia" w:ascii="Times New Roman" w:hAnsi="Times New Roman" w:eastAsia="Times New Roman"/>
                <w:color w:val="auto"/>
                <w:position w:val="0"/>
                <w:sz w:val="24"/>
                <w:szCs w:val="24"/>
                <w:lang w:val="en-US" w:eastAsia="zh-CN"/>
              </w:rPr>
              <w:t>≤</w:t>
            </w:r>
            <w:r>
              <w:rPr>
                <w:rFonts w:hint="eastAsia" w:ascii="Times New Roman" w:hAnsi="Times New Roman"/>
                <w:color w:val="auto"/>
                <w:position w:val="0"/>
                <w:sz w:val="24"/>
                <w:szCs w:val="24"/>
                <w:lang w:val="en-US" w:eastAsia="zh-CN"/>
              </w:rPr>
              <w:t>8</w:t>
            </w:r>
            <w:r>
              <w:rPr>
                <w:rFonts w:hint="eastAsia" w:ascii="Times New Roman" w:hAnsi="Times New Roman" w:eastAsia="Times New Roman"/>
                <w:color w:val="auto"/>
                <w:position w:val="0"/>
                <w:sz w:val="24"/>
                <w:szCs w:val="24"/>
                <w:lang w:val="en-US" w:eastAsia="zh-CN"/>
              </w:rPr>
              <w:t>mg/L</w:t>
            </w:r>
            <w:r>
              <w:rPr>
                <w:rFonts w:hint="eastAsia" w:ascii="Times New Roman" w:hAnsi="Times New Roman"/>
                <w:color w:val="auto"/>
                <w:position w:val="0"/>
                <w:sz w:val="24"/>
                <w:szCs w:val="24"/>
                <w:lang w:val="en-US" w:eastAsia="zh-CN"/>
              </w:rPr>
              <w:t>、PH值6.5~9.5、阴离子表面活性剂</w:t>
            </w:r>
            <w:r>
              <w:rPr>
                <w:rFonts w:hint="eastAsia" w:ascii="Times New Roman" w:hAnsi="Times New Roman" w:eastAsia="Times New Roman"/>
                <w:color w:val="auto"/>
                <w:position w:val="0"/>
                <w:sz w:val="24"/>
                <w:szCs w:val="24"/>
                <w:lang w:val="en-US" w:eastAsia="zh-CN"/>
              </w:rPr>
              <w:t>≤20mg/L、总氮≤70mg/L）</w:t>
            </w:r>
            <w:r>
              <w:rPr>
                <w:rFonts w:hint="default" w:ascii="Times New Roman" w:hAnsi="Times New Roman" w:eastAsia="Times New Roman"/>
                <w:color w:val="auto"/>
                <w:position w:val="0"/>
                <w:sz w:val="24"/>
                <w:szCs w:val="24"/>
              </w:rPr>
              <w:t>。</w:t>
            </w:r>
            <w:r>
              <w:rPr>
                <w:rFonts w:hint="eastAsia" w:ascii="Times New Roman" w:hAnsi="Times New Roman" w:eastAsia="Times New Roman"/>
                <w:color w:val="auto"/>
                <w:position w:val="0"/>
                <w:sz w:val="24"/>
                <w:szCs w:val="24"/>
                <w:lang w:val="en-US" w:eastAsia="zh-CN"/>
              </w:rPr>
              <w:t>能够实现达标排放。</w:t>
            </w:r>
          </w:p>
          <w:p>
            <w:pPr>
              <w:pStyle w:val="45"/>
              <w:jc w:val="both"/>
              <w:rPr>
                <w:rFonts w:hint="default"/>
                <w:lang w:val="en-US" w:eastAsia="zh-CN"/>
              </w:rPr>
            </w:pPr>
          </w:p>
        </w:tc>
      </w:tr>
    </w:tbl>
    <w:p>
      <w:pPr>
        <w:numPr>
          <w:ilvl w:val="0"/>
          <w:numId w:val="0"/>
        </w:numPr>
        <w:wordWrap w:val="0"/>
        <w:spacing w:before="0" w:after="0" w:line="240" w:lineRule="auto"/>
        <w:ind w:right="0" w:firstLine="0"/>
        <w:jc w:val="both"/>
        <w:rPr>
          <w:rFonts w:hint="default" w:ascii="宋体" w:hAnsi="宋体" w:eastAsia="宋体"/>
          <w:b w:val="0"/>
          <w:color w:val="auto"/>
          <w:position w:val="0"/>
          <w:sz w:val="24"/>
          <w:szCs w:val="24"/>
        </w:rPr>
        <w:sectPr>
          <w:pgSz w:w="11906" w:h="16838"/>
          <w:pgMar w:top="1440" w:right="1800" w:bottom="1440" w:left="1800" w:header="708" w:footer="708" w:gutter="0"/>
          <w:pgNumType w:fmt="numberInDash"/>
          <w:cols w:space="720" w:num="1"/>
          <w:docGrid w:linePitch="360" w:charSpace="0"/>
        </w:sectPr>
      </w:pP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60" w:hRule="atLeast"/>
          <w:jc w:val="center"/>
        </w:trPr>
        <w:tc>
          <w:tcPr>
            <w:tcW w:w="5000" w:type="pct"/>
            <w:vAlign w:val="top"/>
          </w:tcPr>
          <w:p>
            <w:pPr>
              <w:pageBreakBefore w:val="0"/>
              <w:numPr>
                <w:ilvl w:val="0"/>
                <w:numId w:val="0"/>
              </w:numPr>
              <w:autoSpaceDE/>
              <w:autoSpaceDN/>
              <w:bidi w:val="0"/>
              <w:snapToGrid/>
              <w:spacing w:before="0" w:after="0" w:line="360" w:lineRule="auto"/>
              <w:ind w:right="0" w:firstLine="480" w:firstLineChars="200"/>
              <w:jc w:val="both"/>
              <w:rPr>
                <w:rFonts w:hint="default" w:ascii="Times New Roman" w:hAnsi="Times New Roman" w:eastAsia="Times New Roman"/>
                <w:color w:val="auto"/>
                <w:position w:val="0"/>
                <w:sz w:val="24"/>
                <w:szCs w:val="24"/>
              </w:rPr>
            </w:pPr>
            <w:r>
              <w:rPr>
                <w:rFonts w:hint="default" w:ascii="Times New Roman" w:hAnsi="Times New Roman" w:eastAsia="Times New Roman"/>
                <w:color w:val="auto"/>
                <w:position w:val="0"/>
                <w:sz w:val="24"/>
                <w:szCs w:val="24"/>
              </w:rPr>
              <w:t>表</w:t>
            </w:r>
            <w:r>
              <w:rPr>
                <w:rFonts w:hint="eastAsia" w:ascii="Times New Roman" w:hAnsi="Times New Roman" w:eastAsia="宋体"/>
                <w:color w:val="auto"/>
                <w:position w:val="0"/>
                <w:sz w:val="24"/>
                <w:szCs w:val="24"/>
                <w:lang w:val="en-US" w:eastAsia="zh-CN"/>
              </w:rPr>
              <w:t>8-</w:t>
            </w:r>
            <w:r>
              <w:rPr>
                <w:rFonts w:hint="default" w:ascii="Times New Roman" w:hAnsi="Times New Roman" w:eastAsia="Times New Roman"/>
                <w:color w:val="auto"/>
                <w:position w:val="0"/>
                <w:sz w:val="24"/>
                <w:szCs w:val="24"/>
              </w:rPr>
              <w:t>-</w:t>
            </w:r>
            <w:r>
              <w:rPr>
                <w:rFonts w:hint="eastAsia" w:ascii="Times New Roman" w:hAnsi="Times New Roman" w:eastAsia="宋体"/>
                <w:color w:val="auto"/>
                <w:position w:val="0"/>
                <w:sz w:val="24"/>
                <w:szCs w:val="24"/>
                <w:lang w:val="en-US" w:eastAsia="zh-CN"/>
              </w:rPr>
              <w:t>1</w:t>
            </w:r>
            <w:r>
              <w:rPr>
                <w:rFonts w:hint="default" w:ascii="Times New Roman" w:hAnsi="Times New Roman" w:eastAsia="Times New Roman"/>
                <w:color w:val="auto"/>
                <w:position w:val="0"/>
                <w:sz w:val="24"/>
                <w:szCs w:val="24"/>
              </w:rPr>
              <w:t>噪声检测结果一览表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1024"/>
              <w:gridCol w:w="2043"/>
              <w:gridCol w:w="716"/>
              <w:gridCol w:w="1309"/>
              <w:gridCol w:w="14"/>
              <w:gridCol w:w="2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83" w:type="dxa"/>
                  <w:gridSpan w:val="2"/>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采样日期</w:t>
                  </w:r>
                </w:p>
              </w:tc>
              <w:tc>
                <w:tcPr>
                  <w:tcW w:w="3027" w:type="dxa"/>
                  <w:gridSpan w:val="2"/>
                  <w:noWrap w:val="0"/>
                  <w:vAlign w:val="center"/>
                </w:tcPr>
                <w:p>
                  <w:pPr>
                    <w:tabs>
                      <w:tab w:val="center" w:pos="4153"/>
                      <w:tab w:val="right" w:pos="8306"/>
                    </w:tabs>
                    <w:snapToGrid w:val="0"/>
                    <w:spacing w:line="240" w:lineRule="auto"/>
                    <w:jc w:val="center"/>
                    <w:rPr>
                      <w:rFonts w:hint="eastAsia" w:ascii="Times New Roman" w:hAnsi="Times New Roman" w:eastAsia="宋体" w:cs="Times New Roman"/>
                      <w:sz w:val="21"/>
                      <w:szCs w:val="21"/>
                      <w:highlight w:val="none"/>
                      <w:lang w:eastAsia="zh-CN"/>
                    </w:rPr>
                  </w:pPr>
                  <w:r>
                    <w:rPr>
                      <w:rFonts w:hint="default" w:ascii="Times New Roman" w:hAnsi="Times New Roman" w:cs="Times New Roman"/>
                      <w:kern w:val="0"/>
                      <w:sz w:val="21"/>
                      <w:szCs w:val="21"/>
                      <w:lang w:val="en-US" w:eastAsia="zh-CN" w:bidi="zh-CN"/>
                    </w:rPr>
                    <w:t>202</w:t>
                  </w:r>
                  <w:r>
                    <w:rPr>
                      <w:rFonts w:hint="eastAsia" w:cs="Times New Roman"/>
                      <w:kern w:val="0"/>
                      <w:sz w:val="21"/>
                      <w:szCs w:val="21"/>
                      <w:lang w:val="en-US" w:eastAsia="zh-CN" w:bidi="zh-CN"/>
                    </w:rPr>
                    <w:t>1</w:t>
                  </w:r>
                  <w:r>
                    <w:rPr>
                      <w:rFonts w:hint="default" w:ascii="Times New Roman" w:hAnsi="Times New Roman" w:eastAsia="宋体" w:cs="Times New Roman"/>
                      <w:sz w:val="21"/>
                      <w:szCs w:val="21"/>
                    </w:rPr>
                    <w:t>年</w:t>
                  </w:r>
                  <w:r>
                    <w:rPr>
                      <w:rFonts w:hint="eastAsia" w:ascii="Times New Roman" w:hAnsi="Times New Roman" w:eastAsia="宋体" w:cs="Times New Roman"/>
                      <w:sz w:val="21"/>
                      <w:szCs w:val="21"/>
                      <w:lang w:val="en-US" w:eastAsia="zh-CN"/>
                    </w:rPr>
                    <w:t>08</w:t>
                  </w:r>
                  <w:r>
                    <w:rPr>
                      <w:rFonts w:hint="default" w:ascii="Times New Roman" w:hAnsi="Times New Roman" w:eastAsia="宋体" w:cs="Times New Roman"/>
                      <w:sz w:val="21"/>
                      <w:szCs w:val="21"/>
                      <w:highlight w:val="none"/>
                    </w:rPr>
                    <w:t>月</w:t>
                  </w:r>
                  <w:r>
                    <w:rPr>
                      <w:rFonts w:hint="eastAsia" w:ascii="Times New Roman" w:hAnsi="Times New Roman" w:eastAsia="宋体" w:cs="Times New Roman"/>
                      <w:sz w:val="21"/>
                      <w:szCs w:val="21"/>
                      <w:highlight w:val="none"/>
                      <w:lang w:val="en-US" w:eastAsia="zh-CN"/>
                    </w:rPr>
                    <w:t>02</w:t>
                  </w:r>
                  <w:r>
                    <w:rPr>
                      <w:rFonts w:hint="default" w:ascii="Times New Roman" w:hAnsi="Times New Roman" w:eastAsia="宋体" w:cs="Times New Roman"/>
                      <w:sz w:val="21"/>
                      <w:szCs w:val="21"/>
                      <w:highlight w:val="none"/>
                    </w:rPr>
                    <w:t>日</w:t>
                  </w:r>
                  <w:r>
                    <w:rPr>
                      <w:rFonts w:hint="eastAsia" w:ascii="Times New Roman" w:hAnsi="Times New Roman" w:eastAsia="宋体" w:cs="Times New Roman"/>
                      <w:sz w:val="21"/>
                      <w:szCs w:val="21"/>
                      <w:highlight w:val="none"/>
                      <w:lang w:eastAsia="zh-CN"/>
                    </w:rPr>
                    <w:t>至</w:t>
                  </w:r>
                </w:p>
                <w:p>
                  <w:pPr>
                    <w:tabs>
                      <w:tab w:val="center" w:pos="4153"/>
                      <w:tab w:val="right" w:pos="8306"/>
                    </w:tabs>
                    <w:snapToGrid w:val="0"/>
                    <w:spacing w:line="240" w:lineRule="auto"/>
                    <w:jc w:val="center"/>
                    <w:rPr>
                      <w:rFonts w:hint="eastAsia" w:ascii="Times New Roman" w:hAnsi="Times New Roman" w:eastAsia="宋体" w:cs="Times New Roman"/>
                      <w:sz w:val="21"/>
                      <w:szCs w:val="21"/>
                      <w:lang w:val="en-US" w:eastAsia="zh-CN"/>
                    </w:rPr>
                  </w:pPr>
                  <w:r>
                    <w:rPr>
                      <w:rFonts w:hint="default" w:ascii="Times New Roman" w:hAnsi="Times New Roman" w:cs="Times New Roman"/>
                      <w:kern w:val="0"/>
                      <w:sz w:val="21"/>
                      <w:szCs w:val="21"/>
                      <w:lang w:val="en-US" w:eastAsia="zh-CN" w:bidi="zh-CN"/>
                    </w:rPr>
                    <w:t>202</w:t>
                  </w:r>
                  <w:r>
                    <w:rPr>
                      <w:rFonts w:hint="eastAsia" w:cs="Times New Roman"/>
                      <w:kern w:val="0"/>
                      <w:sz w:val="21"/>
                      <w:szCs w:val="21"/>
                      <w:lang w:val="en-US" w:eastAsia="zh-CN" w:bidi="zh-CN"/>
                    </w:rPr>
                    <w:t>1</w:t>
                  </w:r>
                  <w:r>
                    <w:rPr>
                      <w:rFonts w:hint="default" w:ascii="Times New Roman" w:hAnsi="Times New Roman" w:eastAsia="宋体" w:cs="Times New Roman"/>
                      <w:sz w:val="21"/>
                      <w:szCs w:val="21"/>
                    </w:rPr>
                    <w:t>年</w:t>
                  </w:r>
                  <w:r>
                    <w:rPr>
                      <w:rFonts w:hint="eastAsia" w:ascii="Times New Roman" w:hAnsi="Times New Roman" w:eastAsia="宋体" w:cs="Times New Roman"/>
                      <w:sz w:val="21"/>
                      <w:szCs w:val="21"/>
                      <w:lang w:val="en-US" w:eastAsia="zh-CN"/>
                    </w:rPr>
                    <w:t>08</w:t>
                  </w:r>
                  <w:r>
                    <w:rPr>
                      <w:rFonts w:hint="default" w:ascii="Times New Roman" w:hAnsi="Times New Roman" w:eastAsia="宋体" w:cs="Times New Roman"/>
                      <w:sz w:val="21"/>
                      <w:szCs w:val="21"/>
                      <w:highlight w:val="none"/>
                    </w:rPr>
                    <w:t>月</w:t>
                  </w:r>
                  <w:r>
                    <w:rPr>
                      <w:rFonts w:hint="eastAsia" w:ascii="Times New Roman" w:hAnsi="Times New Roman" w:eastAsia="宋体" w:cs="Times New Roman"/>
                      <w:sz w:val="21"/>
                      <w:szCs w:val="21"/>
                      <w:highlight w:val="none"/>
                      <w:lang w:val="en-US" w:eastAsia="zh-CN"/>
                    </w:rPr>
                    <w:t>03</w:t>
                  </w:r>
                  <w:r>
                    <w:rPr>
                      <w:rFonts w:hint="default" w:ascii="Times New Roman" w:hAnsi="Times New Roman" w:eastAsia="宋体" w:cs="Times New Roman"/>
                      <w:sz w:val="21"/>
                      <w:szCs w:val="21"/>
                      <w:highlight w:val="none"/>
                    </w:rPr>
                    <w:t>日</w:t>
                  </w:r>
                </w:p>
              </w:tc>
              <w:tc>
                <w:tcPr>
                  <w:tcW w:w="1410"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完成日期</w:t>
                  </w:r>
                </w:p>
              </w:tc>
              <w:tc>
                <w:tcPr>
                  <w:tcW w:w="2240" w:type="dxa"/>
                  <w:gridSpan w:val="2"/>
                  <w:noWrap w:val="0"/>
                  <w:vAlign w:val="center"/>
                </w:tcPr>
                <w:p>
                  <w:pPr>
                    <w:tabs>
                      <w:tab w:val="center" w:pos="4153"/>
                      <w:tab w:val="right" w:pos="8306"/>
                    </w:tabs>
                    <w:snapToGrid w:val="0"/>
                    <w:spacing w:line="320" w:lineRule="exact"/>
                    <w:ind w:firstLine="210" w:firstLineChars="100"/>
                    <w:jc w:val="both"/>
                    <w:rPr>
                      <w:rFonts w:hint="default" w:ascii="Times New Roman" w:hAnsi="Times New Roman" w:eastAsia="宋体" w:cs="Times New Roman"/>
                      <w:sz w:val="21"/>
                      <w:szCs w:val="21"/>
                    </w:rPr>
                  </w:pPr>
                  <w:r>
                    <w:rPr>
                      <w:rFonts w:hint="default" w:ascii="Times New Roman" w:hAnsi="Times New Roman" w:cs="Times New Roman"/>
                      <w:kern w:val="0"/>
                      <w:sz w:val="21"/>
                      <w:szCs w:val="21"/>
                      <w:lang w:val="en-US" w:eastAsia="zh-CN" w:bidi="zh-CN"/>
                    </w:rPr>
                    <w:t>202</w:t>
                  </w:r>
                  <w:r>
                    <w:rPr>
                      <w:rFonts w:hint="eastAsia" w:cs="Times New Roman"/>
                      <w:kern w:val="0"/>
                      <w:sz w:val="21"/>
                      <w:szCs w:val="21"/>
                      <w:lang w:val="en-US" w:eastAsia="zh-CN" w:bidi="zh-CN"/>
                    </w:rPr>
                    <w:t>1</w:t>
                  </w:r>
                  <w:r>
                    <w:rPr>
                      <w:rFonts w:hint="default" w:ascii="Times New Roman" w:hAnsi="Times New Roman" w:eastAsia="宋体" w:cs="Times New Roman"/>
                      <w:sz w:val="21"/>
                      <w:szCs w:val="21"/>
                    </w:rPr>
                    <w:t>年</w:t>
                  </w:r>
                  <w:r>
                    <w:rPr>
                      <w:rFonts w:hint="eastAsia" w:ascii="Times New Roman" w:hAnsi="Times New Roman" w:eastAsia="宋体" w:cs="Times New Roman"/>
                      <w:sz w:val="21"/>
                      <w:szCs w:val="21"/>
                      <w:lang w:val="en-US" w:eastAsia="zh-CN"/>
                    </w:rPr>
                    <w:t>08</w:t>
                  </w:r>
                  <w:r>
                    <w:rPr>
                      <w:rFonts w:hint="default" w:ascii="Times New Roman" w:hAnsi="Times New Roman" w:eastAsia="宋体" w:cs="Times New Roman"/>
                      <w:sz w:val="21"/>
                      <w:szCs w:val="21"/>
                      <w:highlight w:val="none"/>
                    </w:rPr>
                    <w:t>月</w:t>
                  </w:r>
                  <w:r>
                    <w:rPr>
                      <w:rFonts w:hint="eastAsia" w:ascii="Times New Roman" w:hAnsi="Times New Roman" w:eastAsia="宋体" w:cs="Times New Roman"/>
                      <w:kern w:val="0"/>
                      <w:sz w:val="21"/>
                      <w:szCs w:val="21"/>
                      <w:lang w:val="en-US" w:eastAsia="zh-CN" w:bidi="zh-CN"/>
                    </w:rPr>
                    <w:t>03</w:t>
                  </w:r>
                  <w:r>
                    <w:rPr>
                      <w:rFonts w:hint="default" w:ascii="Times New Roman" w:hAnsi="Times New Roman" w:eastAsia="宋体" w:cs="Times New Roman"/>
                      <w:sz w:val="21"/>
                      <w:szCs w:val="21"/>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83" w:type="dxa"/>
                  <w:gridSpan w:val="2"/>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测试项目</w:t>
                  </w:r>
                </w:p>
              </w:tc>
              <w:tc>
                <w:tcPr>
                  <w:tcW w:w="3027" w:type="dxa"/>
                  <w:gridSpan w:val="2"/>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噪声</w:t>
                  </w:r>
                </w:p>
              </w:tc>
              <w:tc>
                <w:tcPr>
                  <w:tcW w:w="1410" w:type="dxa"/>
                  <w:noWrap w:val="0"/>
                  <w:vAlign w:val="center"/>
                </w:tcPr>
                <w:p>
                  <w:pPr>
                    <w:ind w:right="-10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气象条件</w:t>
                  </w:r>
                </w:p>
              </w:tc>
              <w:tc>
                <w:tcPr>
                  <w:tcW w:w="2240" w:type="dxa"/>
                  <w:gridSpan w:val="2"/>
                  <w:noWrap w:val="0"/>
                  <w:vAlign w:val="center"/>
                </w:tcPr>
                <w:p>
                  <w:pPr>
                    <w:ind w:right="-107"/>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eastAsia="zh-CN"/>
                    </w:rPr>
                    <w:t>晴</w:t>
                  </w:r>
                  <w:r>
                    <w:rPr>
                      <w:rFonts w:hint="default" w:ascii="Times New Roman" w:hAnsi="Times New Roman" w:eastAsia="宋体" w:cs="Times New Roman"/>
                      <w:sz w:val="21"/>
                      <w:szCs w:val="21"/>
                      <w:highlight w:val="none"/>
                    </w:rPr>
                    <w:t>，最大风速</w:t>
                  </w:r>
                  <w:r>
                    <w:rPr>
                      <w:rFonts w:hint="eastAsia" w:ascii="Times New Roman" w:hAnsi="Times New Roman" w:eastAsia="宋体" w:cs="Times New Roman"/>
                      <w:kern w:val="0"/>
                      <w:sz w:val="21"/>
                      <w:szCs w:val="21"/>
                      <w:highlight w:val="none"/>
                      <w:lang w:val="en-US" w:eastAsia="zh-CN" w:bidi="zh-CN"/>
                    </w:rPr>
                    <w:t>3.3</w:t>
                  </w:r>
                  <w:r>
                    <w:rPr>
                      <w:rFonts w:hint="default" w:ascii="Times New Roman" w:hAnsi="Times New Roman" w:eastAsia="宋体" w:cs="Times New Roman"/>
                      <w:kern w:val="0"/>
                      <w:sz w:val="21"/>
                      <w:szCs w:val="21"/>
                      <w:highlight w:val="none"/>
                      <w:lang w:val="en-US" w:eastAsia="zh-CN" w:bidi="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83" w:type="dxa"/>
                  <w:gridSpan w:val="2"/>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校准仪器</w:t>
                  </w:r>
                </w:p>
              </w:tc>
              <w:tc>
                <w:tcPr>
                  <w:tcW w:w="6677" w:type="dxa"/>
                  <w:gridSpan w:val="5"/>
                  <w:noWrap w:val="0"/>
                  <w:vAlign w:val="center"/>
                </w:tcPr>
                <w:p>
                  <w:pPr>
                    <w:ind w:right="-107" w:firstLine="420" w:firstLineChars="20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AWA6228+</w:t>
                  </w:r>
                  <w:r>
                    <w:rPr>
                      <w:rFonts w:hint="default" w:ascii="Times New Roman" w:hAnsi="Times New Roman" w:eastAsia="宋体" w:cs="Times New Roman"/>
                      <w:sz w:val="21"/>
                      <w:szCs w:val="21"/>
                      <w:lang w:eastAsia="zh-CN"/>
                    </w:rPr>
                    <w:t>噪声分析仪</w:t>
                  </w:r>
                  <w:r>
                    <w:rPr>
                      <w:rFonts w:hint="default" w:ascii="Times New Roman" w:hAnsi="Times New Roman" w:eastAsia="宋体" w:cs="Times New Roman"/>
                      <w:sz w:val="21"/>
                      <w:szCs w:val="21"/>
                    </w:rPr>
                    <w:t xml:space="preserve">         出厂编号</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 xml:space="preserve"> 00325146/00315942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83" w:type="dxa"/>
                  <w:gridSpan w:val="2"/>
                  <w:vMerge w:val="continue"/>
                  <w:noWrap w:val="0"/>
                  <w:vAlign w:val="center"/>
                </w:tcPr>
                <w:p>
                  <w:pPr>
                    <w:jc w:val="center"/>
                    <w:rPr>
                      <w:rFonts w:hint="default" w:ascii="Times New Roman" w:hAnsi="Times New Roman" w:eastAsia="宋体" w:cs="Times New Roman"/>
                      <w:sz w:val="21"/>
                      <w:szCs w:val="21"/>
                    </w:rPr>
                  </w:pPr>
                </w:p>
              </w:tc>
              <w:tc>
                <w:tcPr>
                  <w:tcW w:w="6677" w:type="dxa"/>
                  <w:gridSpan w:val="5"/>
                  <w:noWrap w:val="0"/>
                  <w:vAlign w:val="center"/>
                </w:tcPr>
                <w:p>
                  <w:pPr>
                    <w:ind w:right="-10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测前校</w:t>
                  </w:r>
                  <w:r>
                    <w:rPr>
                      <w:rFonts w:hint="default" w:ascii="Times New Roman" w:hAnsi="Times New Roman" w:eastAsia="宋体" w:cs="Times New Roman"/>
                      <w:sz w:val="21"/>
                      <w:szCs w:val="21"/>
                      <w:highlight w:val="none"/>
                    </w:rPr>
                    <w:t>准：</w:t>
                  </w:r>
                  <w:r>
                    <w:rPr>
                      <w:rFonts w:hint="default" w:ascii="Times New Roman" w:hAnsi="Times New Roman" w:eastAsia="宋体" w:cs="Times New Roman"/>
                      <w:kern w:val="0"/>
                      <w:sz w:val="21"/>
                      <w:szCs w:val="21"/>
                      <w:lang w:val="en-US" w:eastAsia="zh-CN" w:bidi="zh-CN"/>
                    </w:rPr>
                    <w:t>93.8dB（A）</w:t>
                  </w:r>
                  <w:r>
                    <w:rPr>
                      <w:rFonts w:hint="default" w:ascii="Times New Roman" w:hAnsi="Times New Roman" w:eastAsia="宋体" w:cs="Times New Roman"/>
                      <w:sz w:val="21"/>
                      <w:szCs w:val="21"/>
                      <w:highlight w:val="none"/>
                    </w:rPr>
                    <w:t xml:space="preserve">       测后校准：</w:t>
                  </w:r>
                  <w:r>
                    <w:rPr>
                      <w:rFonts w:hint="default" w:ascii="Times New Roman" w:hAnsi="Times New Roman" w:eastAsia="宋体" w:cs="Times New Roman"/>
                      <w:kern w:val="0"/>
                      <w:sz w:val="21"/>
                      <w:szCs w:val="21"/>
                      <w:lang w:val="en-US" w:eastAsia="zh-CN" w:bidi="zh-CN"/>
                    </w:rPr>
                    <w:t>93.8dB（A）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82"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检测日期</w:t>
                  </w:r>
                </w:p>
              </w:tc>
              <w:tc>
                <w:tcPr>
                  <w:tcW w:w="1101"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检测时间</w:t>
                  </w:r>
                </w:p>
              </w:tc>
              <w:tc>
                <w:tcPr>
                  <w:tcW w:w="6677" w:type="dxa"/>
                  <w:gridSpan w:val="5"/>
                  <w:noWrap w:val="0"/>
                  <w:vAlign w:val="center"/>
                </w:tcPr>
                <w:p>
                  <w:pPr>
                    <w:ind w:right="-196" w:rightChars="-8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检测结果</w:t>
                  </w:r>
                  <w:r>
                    <w:rPr>
                      <w:rFonts w:hint="default" w:ascii="Times New Roman" w:hAnsi="Times New Roman" w:eastAsia="宋体" w:cs="Times New Roman"/>
                      <w:kern w:val="0"/>
                      <w:sz w:val="21"/>
                      <w:szCs w:val="21"/>
                      <w:lang w:val="en-US" w:eastAsia="zh-CN" w:bidi="zh-CN"/>
                    </w:rPr>
                    <w:t>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82" w:type="dxa"/>
                  <w:vMerge w:val="continue"/>
                  <w:noWrap w:val="0"/>
                  <w:vAlign w:val="center"/>
                </w:tcPr>
                <w:p>
                  <w:pPr>
                    <w:spacing w:line="528" w:lineRule="auto"/>
                    <w:jc w:val="center"/>
                    <w:rPr>
                      <w:rFonts w:hint="default" w:ascii="Times New Roman" w:hAnsi="Times New Roman" w:eastAsia="宋体" w:cs="Times New Roman"/>
                      <w:sz w:val="21"/>
                      <w:szCs w:val="21"/>
                    </w:rPr>
                  </w:pPr>
                </w:p>
              </w:tc>
              <w:tc>
                <w:tcPr>
                  <w:tcW w:w="1101" w:type="dxa"/>
                  <w:vMerge w:val="continue"/>
                  <w:noWrap w:val="0"/>
                  <w:vAlign w:val="center"/>
                </w:tcPr>
                <w:p>
                  <w:pPr>
                    <w:spacing w:line="528" w:lineRule="auto"/>
                    <w:jc w:val="center"/>
                    <w:rPr>
                      <w:rFonts w:hint="default" w:ascii="Times New Roman" w:hAnsi="Times New Roman" w:eastAsia="宋体" w:cs="Times New Roman"/>
                      <w:sz w:val="21"/>
                      <w:szCs w:val="21"/>
                    </w:rPr>
                  </w:pPr>
                </w:p>
              </w:tc>
              <w:tc>
                <w:tcPr>
                  <w:tcW w:w="2225" w:type="dxa"/>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南</w:t>
                  </w:r>
                  <w:r>
                    <w:rPr>
                      <w:rFonts w:hint="default" w:ascii="Times New Roman" w:hAnsi="Times New Roman" w:eastAsia="宋体" w:cs="Times New Roman"/>
                      <w:sz w:val="21"/>
                      <w:szCs w:val="21"/>
                    </w:rPr>
                    <w:t>厂界外</w:t>
                  </w:r>
                  <w:r>
                    <w:rPr>
                      <w:rFonts w:hint="default" w:ascii="Times New Roman" w:hAnsi="Times New Roman" w:eastAsia="宋体" w:cs="Times New Roman"/>
                      <w:kern w:val="0"/>
                      <w:sz w:val="21"/>
                      <w:szCs w:val="21"/>
                      <w:lang w:val="en-US" w:eastAsia="zh-CN" w:bidi="zh-CN"/>
                    </w:rPr>
                    <w:t>1m</w:t>
                  </w:r>
                </w:p>
              </w:tc>
              <w:tc>
                <w:tcPr>
                  <w:tcW w:w="2227" w:type="dxa"/>
                  <w:gridSpan w:val="3"/>
                  <w:noWrap w:val="0"/>
                  <w:vAlign w:val="center"/>
                </w:tcPr>
                <w:p>
                  <w:pPr>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西</w:t>
                  </w:r>
                  <w:r>
                    <w:rPr>
                      <w:rFonts w:hint="default" w:ascii="Times New Roman" w:hAnsi="Times New Roman" w:eastAsia="宋体" w:cs="Times New Roman"/>
                      <w:sz w:val="21"/>
                      <w:szCs w:val="21"/>
                    </w:rPr>
                    <w:t>厂界外</w:t>
                  </w:r>
                  <w:r>
                    <w:rPr>
                      <w:rFonts w:hint="default" w:ascii="Times New Roman" w:hAnsi="Times New Roman" w:eastAsia="宋体" w:cs="Times New Roman"/>
                      <w:kern w:val="0"/>
                      <w:sz w:val="21"/>
                      <w:szCs w:val="21"/>
                      <w:lang w:val="en-US" w:eastAsia="zh-CN" w:bidi="zh-CN"/>
                    </w:rPr>
                    <w:t>1m</w:t>
                  </w:r>
                </w:p>
              </w:tc>
              <w:tc>
                <w:tcPr>
                  <w:tcW w:w="2225" w:type="dxa"/>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北</w:t>
                  </w:r>
                  <w:r>
                    <w:rPr>
                      <w:rFonts w:hint="default" w:ascii="Times New Roman" w:hAnsi="Times New Roman" w:eastAsia="宋体" w:cs="Times New Roman"/>
                      <w:sz w:val="21"/>
                      <w:szCs w:val="21"/>
                    </w:rPr>
                    <w:t>厂界外</w:t>
                  </w:r>
                  <w:r>
                    <w:rPr>
                      <w:rFonts w:hint="default" w:ascii="Times New Roman" w:hAnsi="Times New Roman" w:eastAsia="宋体" w:cs="Times New Roman"/>
                      <w:kern w:val="0"/>
                      <w:sz w:val="21"/>
                      <w:szCs w:val="21"/>
                      <w:lang w:val="en-US" w:eastAsia="zh-CN" w:bidi="zh-CN"/>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82"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kern w:val="0"/>
                      <w:sz w:val="21"/>
                      <w:szCs w:val="21"/>
                      <w:lang w:val="en-US" w:eastAsia="zh-CN" w:bidi="zh-CN"/>
                    </w:rPr>
                    <w:t>202</w:t>
                  </w:r>
                  <w:r>
                    <w:rPr>
                      <w:rFonts w:hint="eastAsia" w:cs="Times New Roman"/>
                      <w:kern w:val="0"/>
                      <w:sz w:val="21"/>
                      <w:szCs w:val="21"/>
                      <w:lang w:val="en-US" w:eastAsia="zh-CN" w:bidi="zh-CN"/>
                    </w:rPr>
                    <w:t>1</w:t>
                  </w:r>
                  <w:r>
                    <w:rPr>
                      <w:rFonts w:hint="default" w:ascii="Times New Roman" w:hAnsi="Times New Roman" w:eastAsia="宋体" w:cs="Times New Roman"/>
                      <w:sz w:val="21"/>
                      <w:szCs w:val="21"/>
                    </w:rPr>
                    <w:t>年</w:t>
                  </w:r>
                </w:p>
                <w:p>
                  <w:pPr>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 w:val="21"/>
                      <w:szCs w:val="21"/>
                      <w:lang w:val="en-US" w:eastAsia="zh-CN"/>
                    </w:rPr>
                    <w:t>08</w:t>
                  </w:r>
                  <w:r>
                    <w:rPr>
                      <w:rFonts w:hint="default" w:ascii="Times New Roman" w:hAnsi="Times New Roman" w:eastAsia="宋体" w:cs="Times New Roman"/>
                      <w:sz w:val="21"/>
                      <w:szCs w:val="21"/>
                      <w:highlight w:val="none"/>
                    </w:rPr>
                    <w:t>月</w:t>
                  </w:r>
                  <w:r>
                    <w:rPr>
                      <w:rFonts w:hint="eastAsia" w:ascii="Times New Roman" w:hAnsi="Times New Roman" w:eastAsia="宋体" w:cs="Times New Roman"/>
                      <w:sz w:val="21"/>
                      <w:szCs w:val="21"/>
                      <w:highlight w:val="none"/>
                      <w:lang w:val="en-US" w:eastAsia="zh-CN"/>
                    </w:rPr>
                    <w:t>02</w:t>
                  </w:r>
                  <w:r>
                    <w:rPr>
                      <w:rFonts w:hint="default" w:ascii="Times New Roman" w:hAnsi="Times New Roman" w:eastAsia="宋体" w:cs="Times New Roman"/>
                      <w:sz w:val="21"/>
                      <w:szCs w:val="21"/>
                      <w:highlight w:val="none"/>
                    </w:rPr>
                    <w:t>日</w:t>
                  </w:r>
                </w:p>
              </w:tc>
              <w:tc>
                <w:tcPr>
                  <w:tcW w:w="110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昼间</w:t>
                  </w:r>
                </w:p>
              </w:tc>
              <w:tc>
                <w:tcPr>
                  <w:tcW w:w="2225" w:type="dxa"/>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57.0</w:t>
                  </w:r>
                </w:p>
              </w:tc>
              <w:tc>
                <w:tcPr>
                  <w:tcW w:w="2227" w:type="dxa"/>
                  <w:gridSpan w:val="3"/>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56.2</w:t>
                  </w:r>
                </w:p>
              </w:tc>
              <w:tc>
                <w:tcPr>
                  <w:tcW w:w="2225" w:type="dxa"/>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82"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kern w:val="0"/>
                      <w:sz w:val="21"/>
                      <w:szCs w:val="21"/>
                      <w:lang w:val="en-US" w:eastAsia="zh-CN" w:bidi="zh-CN"/>
                    </w:rPr>
                    <w:t>202</w:t>
                  </w:r>
                  <w:r>
                    <w:rPr>
                      <w:rFonts w:hint="eastAsia" w:cs="Times New Roman"/>
                      <w:kern w:val="0"/>
                      <w:sz w:val="21"/>
                      <w:szCs w:val="21"/>
                      <w:lang w:val="en-US" w:eastAsia="zh-CN" w:bidi="zh-CN"/>
                    </w:rPr>
                    <w:t>1</w:t>
                  </w:r>
                  <w:r>
                    <w:rPr>
                      <w:rFonts w:hint="default" w:ascii="Times New Roman" w:hAnsi="Times New Roman" w:eastAsia="宋体" w:cs="Times New Roman"/>
                      <w:sz w:val="21"/>
                      <w:szCs w:val="21"/>
                    </w:rPr>
                    <w:t>年</w:t>
                  </w:r>
                </w:p>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w:t>
                  </w:r>
                  <w:r>
                    <w:rPr>
                      <w:rFonts w:hint="default" w:ascii="Times New Roman" w:hAnsi="Times New Roman" w:eastAsia="宋体" w:cs="Times New Roman"/>
                      <w:sz w:val="21"/>
                      <w:szCs w:val="21"/>
                      <w:highlight w:val="none"/>
                    </w:rPr>
                    <w:t>月</w:t>
                  </w:r>
                  <w:r>
                    <w:rPr>
                      <w:rFonts w:hint="eastAsia" w:ascii="Times New Roman" w:hAnsi="Times New Roman" w:eastAsia="宋体" w:cs="Times New Roman"/>
                      <w:sz w:val="21"/>
                      <w:szCs w:val="21"/>
                      <w:highlight w:val="none"/>
                      <w:lang w:val="en-US" w:eastAsia="zh-CN"/>
                    </w:rPr>
                    <w:t>03</w:t>
                  </w:r>
                  <w:r>
                    <w:rPr>
                      <w:rFonts w:hint="default" w:ascii="Times New Roman" w:hAnsi="Times New Roman" w:eastAsia="宋体" w:cs="Times New Roman"/>
                      <w:sz w:val="21"/>
                      <w:szCs w:val="21"/>
                      <w:highlight w:val="none"/>
                    </w:rPr>
                    <w:t>日</w:t>
                  </w:r>
                </w:p>
              </w:tc>
              <w:tc>
                <w:tcPr>
                  <w:tcW w:w="1101" w:type="dxa"/>
                  <w:noWrap w:val="0"/>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昼间</w:t>
                  </w:r>
                </w:p>
              </w:tc>
              <w:tc>
                <w:tcPr>
                  <w:tcW w:w="2225" w:type="dxa"/>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54.5</w:t>
                  </w:r>
                </w:p>
              </w:tc>
              <w:tc>
                <w:tcPr>
                  <w:tcW w:w="2227" w:type="dxa"/>
                  <w:gridSpan w:val="3"/>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58.0</w:t>
                  </w:r>
                </w:p>
              </w:tc>
              <w:tc>
                <w:tcPr>
                  <w:tcW w:w="2225" w:type="dxa"/>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83" w:type="dxa"/>
                  <w:gridSpan w:val="2"/>
                  <w:noWrap w:val="0"/>
                  <w:vAlign w:val="center"/>
                </w:tcPr>
                <w:p>
                  <w:pPr>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备注</w:t>
                  </w:r>
                </w:p>
              </w:tc>
              <w:tc>
                <w:tcPr>
                  <w:tcW w:w="6677" w:type="dxa"/>
                  <w:gridSpan w:val="5"/>
                  <w:noWrap w:val="0"/>
                  <w:vAlign w:val="center"/>
                </w:tcPr>
                <w:p>
                  <w:pPr>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东厂界外</w:t>
                  </w:r>
                  <w:r>
                    <w:rPr>
                      <w:rFonts w:hint="default" w:ascii="Times New Roman" w:hAnsi="Times New Roman" w:eastAsia="宋体" w:cs="Times New Roman"/>
                      <w:kern w:val="0"/>
                      <w:sz w:val="21"/>
                      <w:szCs w:val="21"/>
                      <w:highlight w:val="none"/>
                      <w:lang w:val="en-US" w:eastAsia="zh-CN" w:bidi="zh-CN"/>
                    </w:rPr>
                    <w:t>1m</w:t>
                  </w:r>
                  <w:r>
                    <w:rPr>
                      <w:rFonts w:hint="eastAsia" w:ascii="Times New Roman" w:hAnsi="Times New Roman" w:eastAsia="宋体" w:cs="Times New Roman"/>
                      <w:kern w:val="0"/>
                      <w:sz w:val="21"/>
                      <w:szCs w:val="21"/>
                      <w:highlight w:val="none"/>
                      <w:lang w:val="en-US" w:eastAsia="zh-CN" w:bidi="zh-CN"/>
                    </w:rPr>
                    <w:t>临其它企业，不具备检测条件。</w:t>
                  </w:r>
                </w:p>
              </w:tc>
            </w:tr>
          </w:tbl>
          <w:p>
            <w:pPr>
              <w:pStyle w:val="9"/>
              <w:rPr>
                <w:rFonts w:hint="default" w:ascii="Times New Roman" w:hAnsi="Times New Roman" w:eastAsia="Times New Roman"/>
                <w:color w:val="auto"/>
                <w:position w:val="0"/>
                <w:sz w:val="24"/>
                <w:szCs w:val="24"/>
              </w:rPr>
            </w:pPr>
          </w:p>
          <w:p>
            <w:pPr>
              <w:spacing w:line="240" w:lineRule="auto"/>
              <w:ind w:firstLine="480" w:firstLineChars="200"/>
              <w:jc w:val="both"/>
              <w:rPr>
                <w:rFonts w:hint="default" w:ascii="宋体" w:hAnsi="宋体" w:eastAsia="宋体"/>
                <w:color w:val="auto"/>
                <w:position w:val="0"/>
                <w:sz w:val="20"/>
                <w:szCs w:val="20"/>
              </w:rPr>
            </w:pPr>
            <w:r>
              <w:rPr>
                <w:rFonts w:hint="eastAsia" w:ascii="宋体" w:hAnsi="宋体" w:eastAsia="宋体"/>
                <w:sz w:val="24"/>
                <w:szCs w:val="24"/>
              </w:rPr>
              <w:t>以上结果表明，验收监测期间，厂界昼间噪声最高值为</w:t>
            </w:r>
            <w:r>
              <w:rPr>
                <w:rFonts w:hint="eastAsia" w:ascii="宋体" w:hAnsi="宋体" w:eastAsia="宋体"/>
                <w:sz w:val="24"/>
                <w:szCs w:val="24"/>
                <w:lang w:val="en-US" w:eastAsia="zh-CN"/>
              </w:rPr>
              <w:t>58</w:t>
            </w:r>
            <w:r>
              <w:rPr>
                <w:rFonts w:ascii="宋体" w:hAnsi="宋体" w:eastAsia="宋体"/>
                <w:bCs/>
                <w:sz w:val="24"/>
                <w:szCs w:val="24"/>
              </w:rPr>
              <w:t>dB(A)</w:t>
            </w:r>
            <w:r>
              <w:rPr>
                <w:rFonts w:hint="eastAsia" w:ascii="宋体" w:hAnsi="宋体" w:eastAsia="宋体"/>
                <w:bCs/>
                <w:sz w:val="24"/>
                <w:szCs w:val="24"/>
              </w:rPr>
              <w:t>，小于</w:t>
            </w:r>
            <w:r>
              <w:rPr>
                <w:rFonts w:ascii="宋体" w:hAnsi="宋体" w:eastAsia="宋体"/>
                <w:bCs/>
                <w:sz w:val="24"/>
                <w:szCs w:val="24"/>
              </w:rPr>
              <w:t>6</w:t>
            </w:r>
            <w:r>
              <w:rPr>
                <w:rFonts w:hint="eastAsia" w:ascii="宋体" w:hAnsi="宋体" w:eastAsia="宋体"/>
                <w:bCs/>
                <w:sz w:val="24"/>
                <w:szCs w:val="24"/>
                <w:lang w:val="en-US" w:eastAsia="zh-CN"/>
              </w:rPr>
              <w:t>5</w:t>
            </w:r>
            <w:r>
              <w:rPr>
                <w:rFonts w:ascii="宋体" w:hAnsi="宋体" w:eastAsia="宋体"/>
                <w:bCs/>
                <w:sz w:val="24"/>
                <w:szCs w:val="24"/>
              </w:rPr>
              <w:t>dB(A)</w:t>
            </w:r>
            <w:r>
              <w:rPr>
                <w:rFonts w:hint="eastAsia" w:ascii="宋体" w:hAnsi="宋体" w:eastAsia="宋体"/>
                <w:bCs/>
                <w:sz w:val="24"/>
                <w:szCs w:val="24"/>
              </w:rPr>
              <w:t>；</w:t>
            </w:r>
            <w:r>
              <w:rPr>
                <w:rFonts w:hint="eastAsia" w:ascii="宋体" w:hAnsi="宋体" w:eastAsia="宋体"/>
                <w:sz w:val="24"/>
                <w:szCs w:val="24"/>
              </w:rPr>
              <w:t>夜间</w:t>
            </w:r>
            <w:r>
              <w:rPr>
                <w:rFonts w:hint="eastAsia" w:ascii="宋体" w:hAnsi="宋体" w:eastAsia="宋体"/>
                <w:sz w:val="24"/>
                <w:szCs w:val="24"/>
                <w:lang w:val="en-US" w:eastAsia="zh-CN"/>
              </w:rPr>
              <w:t>不生产</w:t>
            </w:r>
            <w:r>
              <w:rPr>
                <w:rFonts w:hint="eastAsia" w:ascii="宋体" w:hAnsi="宋体" w:eastAsia="宋体"/>
                <w:bCs/>
                <w:sz w:val="24"/>
                <w:szCs w:val="24"/>
              </w:rPr>
              <w:t>。</w:t>
            </w:r>
            <w:r>
              <w:rPr>
                <w:rFonts w:hint="eastAsia" w:ascii="宋体" w:hAnsi="宋体" w:eastAsia="宋体"/>
                <w:sz w:val="24"/>
                <w:szCs w:val="24"/>
              </w:rPr>
              <w:t>厂界噪声符合《工业企业厂界环境噪声排放标准》（</w:t>
            </w:r>
            <w:r>
              <w:rPr>
                <w:rFonts w:ascii="宋体" w:hAnsi="宋体" w:eastAsia="宋体"/>
                <w:sz w:val="24"/>
                <w:szCs w:val="24"/>
              </w:rPr>
              <w:t>GB12348-2008</w:t>
            </w:r>
            <w:r>
              <w:rPr>
                <w:rFonts w:hint="eastAsia" w:ascii="宋体" w:hAnsi="宋体" w:eastAsia="宋体"/>
                <w:sz w:val="24"/>
                <w:szCs w:val="24"/>
              </w:rPr>
              <w:t>）中</w:t>
            </w:r>
            <w:r>
              <w:rPr>
                <w:rFonts w:hint="eastAsia" w:ascii="宋体" w:hAnsi="宋体" w:eastAsia="宋体"/>
                <w:sz w:val="24"/>
                <w:szCs w:val="24"/>
                <w:lang w:val="en-US" w:eastAsia="zh-CN"/>
              </w:rPr>
              <w:t>3</w:t>
            </w:r>
            <w:r>
              <w:rPr>
                <w:rFonts w:hint="eastAsia" w:ascii="宋体" w:hAnsi="宋体" w:eastAsia="宋体"/>
                <w:sz w:val="24"/>
                <w:szCs w:val="24"/>
              </w:rPr>
              <w:t>类标准要求。</w:t>
            </w:r>
          </w:p>
        </w:tc>
      </w:tr>
    </w:tbl>
    <w:p>
      <w:pPr>
        <w:numPr>
          <w:ilvl w:val="0"/>
          <w:numId w:val="0"/>
        </w:numPr>
        <w:wordWrap w:val="0"/>
        <w:spacing w:before="0" w:after="0" w:line="240" w:lineRule="auto"/>
        <w:ind w:right="0" w:firstLine="0"/>
        <w:jc w:val="center"/>
        <w:rPr>
          <w:rFonts w:hint="default" w:ascii="宋体" w:hAnsi="宋体" w:eastAsia="宋体"/>
          <w:color w:val="000000"/>
          <w:position w:val="0"/>
          <w:sz w:val="24"/>
          <w:szCs w:val="24"/>
        </w:rPr>
        <w:sectPr>
          <w:pgSz w:w="11906" w:h="16838"/>
          <w:pgMar w:top="1440" w:right="1800" w:bottom="1440" w:left="1800" w:header="708" w:footer="708" w:gutter="0"/>
          <w:pgNumType w:fmt="numberInDash"/>
          <w:cols w:space="720" w:num="1"/>
          <w:docGrid w:linePitch="360" w:charSpace="0"/>
        </w:sectPr>
      </w:pPr>
    </w:p>
    <w:p>
      <w:pPr>
        <w:pageBreakBefore w:val="0"/>
        <w:numPr>
          <w:ilvl w:val="0"/>
          <w:numId w:val="0"/>
        </w:numPr>
        <w:autoSpaceDE/>
        <w:autoSpaceDN/>
        <w:bidi w:val="0"/>
        <w:snapToGrid/>
        <w:spacing w:before="0" w:after="0" w:line="360" w:lineRule="auto"/>
        <w:ind w:right="0" w:firstLine="0"/>
        <w:jc w:val="left"/>
        <w:outlineLvl w:val="0"/>
        <w:rPr>
          <w:rFonts w:hint="default" w:ascii="宋体" w:hAnsi="宋体" w:eastAsia="宋体"/>
          <w:b/>
          <w:color w:val="auto"/>
          <w:position w:val="0"/>
          <w:sz w:val="24"/>
          <w:szCs w:val="24"/>
        </w:rPr>
      </w:pPr>
      <w:bookmarkStart w:id="32" w:name="_Toc15741"/>
      <w:r>
        <w:rPr>
          <w:rFonts w:hint="default" w:ascii="宋体" w:hAnsi="宋体" w:eastAsia="宋体"/>
          <w:b/>
          <w:color w:val="auto"/>
          <w:position w:val="0"/>
          <w:sz w:val="24"/>
          <w:szCs w:val="24"/>
        </w:rPr>
        <w:t>表八</w:t>
      </w:r>
      <w:bookmarkEnd w:id="32"/>
    </w:p>
    <w:tbl>
      <w:tblPr>
        <w:tblStyle w:val="38"/>
        <w:tblW w:w="89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82" w:hRule="atLeast"/>
          <w:jc w:val="center"/>
        </w:trPr>
        <w:tc>
          <w:tcPr>
            <w:tcW w:w="8924" w:type="dxa"/>
            <w:vAlign w:val="top"/>
          </w:tcPr>
          <w:p>
            <w:pPr>
              <w:pageBreakBefore w:val="0"/>
              <w:numPr>
                <w:ilvl w:val="0"/>
                <w:numId w:val="0"/>
              </w:numPr>
              <w:autoSpaceDE/>
              <w:autoSpaceDN/>
              <w:bidi w:val="0"/>
              <w:snapToGrid/>
              <w:spacing w:before="0" w:after="0" w:line="360" w:lineRule="auto"/>
              <w:ind w:right="0" w:firstLine="0"/>
              <w:jc w:val="left"/>
              <w:outlineLvl w:val="0"/>
              <w:rPr>
                <w:rFonts w:hint="default" w:ascii="宋体" w:hAnsi="宋体" w:eastAsia="宋体"/>
                <w:b/>
                <w:color w:val="auto"/>
                <w:position w:val="0"/>
                <w:sz w:val="24"/>
                <w:szCs w:val="24"/>
              </w:rPr>
            </w:pPr>
            <w:bookmarkStart w:id="33" w:name="_Toc8777"/>
            <w:bookmarkStart w:id="34" w:name="_Toc21566"/>
            <w:bookmarkStart w:id="35" w:name="_Toc31358"/>
            <w:r>
              <w:rPr>
                <w:rFonts w:hint="default" w:ascii="宋体" w:hAnsi="宋体" w:eastAsia="宋体"/>
                <w:b/>
                <w:color w:val="auto"/>
                <w:position w:val="0"/>
                <w:sz w:val="24"/>
                <w:szCs w:val="24"/>
              </w:rPr>
              <w:t>验收监测结论：</w:t>
            </w:r>
            <w:bookmarkEnd w:id="33"/>
            <w:bookmarkEnd w:id="34"/>
            <w:bookmarkEnd w:id="35"/>
          </w:p>
          <w:p>
            <w:pPr>
              <w:pageBreakBefore w:val="0"/>
              <w:numPr>
                <w:ilvl w:val="0"/>
                <w:numId w:val="2"/>
              </w:numPr>
              <w:autoSpaceDE/>
              <w:autoSpaceDN/>
              <w:bidi w:val="0"/>
              <w:snapToGrid/>
              <w:spacing w:before="0" w:after="0" w:line="360" w:lineRule="auto"/>
              <w:ind w:right="0" w:firstLine="480"/>
              <w:jc w:val="left"/>
              <w:rPr>
                <w:rFonts w:hint="default" w:ascii="宋体" w:hAnsi="宋体" w:eastAsia="宋体"/>
                <w:color w:val="auto"/>
                <w:position w:val="0"/>
                <w:sz w:val="24"/>
                <w:szCs w:val="24"/>
                <w:shd w:val="clear" w:color="000000"/>
              </w:rPr>
            </w:pPr>
            <w:r>
              <w:rPr>
                <w:rFonts w:hint="eastAsia" w:ascii="宋体" w:hAnsi="宋体" w:eastAsia="宋体"/>
                <w:color w:val="auto"/>
                <w:position w:val="0"/>
                <w:sz w:val="24"/>
                <w:szCs w:val="24"/>
                <w:lang w:val="en-US" w:eastAsia="zh-CN"/>
              </w:rPr>
              <w:t>鄄城龙欣宝典发制品有限公司</w:t>
            </w:r>
            <w:r>
              <w:rPr>
                <w:rFonts w:hint="eastAsia" w:ascii="Times New Roman" w:hAnsi="宋体" w:eastAsia="宋体" w:cs="宋体"/>
                <w:color w:val="auto"/>
                <w:position w:val="0"/>
                <w:sz w:val="24"/>
                <w:szCs w:val="24"/>
                <w:lang w:val="en-US" w:eastAsia="zh-CN"/>
              </w:rPr>
              <w:t>年产800万件人发制品项目(二期）年产200吨发制品</w:t>
            </w:r>
            <w:r>
              <w:rPr>
                <w:rFonts w:hint="eastAsia" w:ascii="宋体" w:hAnsi="宋体" w:eastAsia="宋体"/>
                <w:color w:val="auto"/>
                <w:position w:val="0"/>
                <w:sz w:val="24"/>
                <w:szCs w:val="24"/>
                <w:lang w:eastAsia="zh-CN"/>
              </w:rPr>
              <w:t>建设项目</w:t>
            </w:r>
            <w:r>
              <w:rPr>
                <w:rFonts w:hint="default" w:ascii="宋体" w:hAnsi="宋体" w:eastAsia="宋体"/>
                <w:color w:val="auto"/>
                <w:position w:val="0"/>
                <w:sz w:val="24"/>
                <w:szCs w:val="24"/>
                <w:shd w:val="clear" w:color="000000"/>
              </w:rPr>
              <w:t>建设选址位于</w:t>
            </w:r>
            <w:r>
              <w:rPr>
                <w:rFonts w:hint="eastAsia" w:ascii="宋体" w:hAnsi="宋体" w:eastAsia="宋体"/>
                <w:color w:val="auto"/>
                <w:position w:val="0"/>
                <w:sz w:val="24"/>
                <w:szCs w:val="24"/>
                <w:lang w:val="en-US" w:eastAsia="zh-CN"/>
              </w:rPr>
              <w:t>山东省菏泽市鄄城县永定路东、亿城街南、朱庄村西</w:t>
            </w:r>
            <w:r>
              <w:rPr>
                <w:rFonts w:hint="default" w:ascii="宋体" w:hAnsi="宋体" w:eastAsia="宋体"/>
                <w:color w:val="auto"/>
                <w:position w:val="0"/>
                <w:sz w:val="24"/>
                <w:szCs w:val="24"/>
                <w:shd w:val="clear" w:color="000000"/>
              </w:rPr>
              <w:t>，20</w:t>
            </w:r>
            <w:r>
              <w:rPr>
                <w:rFonts w:hint="eastAsia" w:ascii="宋体" w:hAnsi="宋体" w:eastAsia="宋体"/>
                <w:color w:val="auto"/>
                <w:position w:val="0"/>
                <w:sz w:val="24"/>
                <w:szCs w:val="24"/>
                <w:shd w:val="clear" w:color="000000"/>
                <w:lang w:val="en-US" w:eastAsia="zh-CN"/>
              </w:rPr>
              <w:t>20</w:t>
            </w:r>
            <w:r>
              <w:rPr>
                <w:rFonts w:hint="default" w:ascii="宋体" w:hAnsi="宋体" w:eastAsia="宋体"/>
                <w:color w:val="auto"/>
                <w:position w:val="0"/>
                <w:sz w:val="24"/>
                <w:szCs w:val="24"/>
                <w:shd w:val="clear" w:color="000000"/>
              </w:rPr>
              <w:t>年0</w:t>
            </w:r>
            <w:r>
              <w:rPr>
                <w:rFonts w:hint="eastAsia" w:ascii="宋体" w:hAnsi="宋体" w:eastAsia="宋体"/>
                <w:color w:val="auto"/>
                <w:position w:val="0"/>
                <w:sz w:val="24"/>
                <w:szCs w:val="24"/>
                <w:shd w:val="clear" w:color="000000"/>
                <w:lang w:val="en-US" w:eastAsia="zh-CN"/>
              </w:rPr>
              <w:t>7</w:t>
            </w:r>
            <w:r>
              <w:rPr>
                <w:rFonts w:hint="default" w:ascii="宋体" w:hAnsi="宋体" w:eastAsia="宋体"/>
                <w:color w:val="auto"/>
                <w:position w:val="0"/>
                <w:sz w:val="24"/>
                <w:szCs w:val="24"/>
                <w:shd w:val="clear" w:color="000000"/>
              </w:rPr>
              <w:t>月，</w:t>
            </w:r>
            <w:r>
              <w:rPr>
                <w:rFonts w:hint="eastAsia" w:ascii="宋体" w:hAnsi="宋体" w:eastAsia="宋体"/>
                <w:color w:val="auto"/>
                <w:position w:val="0"/>
                <w:sz w:val="24"/>
                <w:szCs w:val="24"/>
                <w:lang w:val="en-US" w:eastAsia="zh-CN"/>
              </w:rPr>
              <w:t>鄄城龙欣宝典发制品有限公司</w:t>
            </w:r>
            <w:r>
              <w:rPr>
                <w:rFonts w:hint="default" w:ascii="宋体" w:hAnsi="宋体" w:eastAsia="宋体"/>
                <w:color w:val="auto"/>
                <w:position w:val="0"/>
                <w:sz w:val="24"/>
                <w:szCs w:val="24"/>
                <w:shd w:val="clear" w:color="000000"/>
              </w:rPr>
              <w:t>根据《中华人民共和国环境影响评价法》及《建设项目环境保护管理条例》中相关规定，委托</w:t>
            </w:r>
            <w:r>
              <w:rPr>
                <w:rFonts w:hint="eastAsia" w:ascii="Times New Roman" w:hAnsi="宋体" w:eastAsia="宋体"/>
                <w:color w:val="auto"/>
                <w:position w:val="0"/>
                <w:sz w:val="24"/>
                <w:szCs w:val="24"/>
                <w:lang w:val="en-US" w:eastAsia="zh-CN"/>
              </w:rPr>
              <w:t>山东省宏略环保科技有限公司</w:t>
            </w:r>
            <w:r>
              <w:rPr>
                <w:rFonts w:hint="default" w:ascii="宋体" w:hAnsi="宋体" w:eastAsia="宋体"/>
                <w:color w:val="auto"/>
                <w:position w:val="0"/>
                <w:sz w:val="24"/>
                <w:szCs w:val="24"/>
                <w:shd w:val="clear" w:color="000000"/>
              </w:rPr>
              <w:t>编制完成了《</w:t>
            </w:r>
            <w:r>
              <w:rPr>
                <w:rFonts w:hint="eastAsia" w:ascii="宋体" w:hAnsi="宋体" w:eastAsia="宋体"/>
                <w:color w:val="auto"/>
                <w:position w:val="0"/>
                <w:sz w:val="24"/>
                <w:szCs w:val="24"/>
                <w:lang w:val="en-US" w:eastAsia="zh-CN"/>
              </w:rPr>
              <w:t>鄄城龙欣宝典发制品有限公司</w:t>
            </w:r>
            <w:r>
              <w:rPr>
                <w:rFonts w:hint="eastAsia" w:ascii="Times New Roman" w:hAnsi="宋体" w:eastAsia="宋体" w:cs="宋体"/>
                <w:color w:val="auto"/>
                <w:position w:val="0"/>
                <w:sz w:val="24"/>
                <w:szCs w:val="24"/>
                <w:lang w:val="en-US" w:eastAsia="zh-CN"/>
              </w:rPr>
              <w:t>年产800万件人发制品项目</w:t>
            </w:r>
            <w:r>
              <w:rPr>
                <w:rFonts w:hint="default" w:ascii="宋体" w:hAnsi="宋体" w:eastAsia="宋体"/>
                <w:color w:val="auto"/>
                <w:position w:val="0"/>
                <w:sz w:val="24"/>
                <w:szCs w:val="24"/>
                <w:shd w:val="clear" w:color="000000"/>
              </w:rPr>
              <w:t>环境影响报告表》，报告表得出本项目符合产业政策、选址合理，采用适当的污染防治措施，污染物达标排放，从环保角度而言建设可行。</w:t>
            </w:r>
          </w:p>
          <w:p>
            <w:pPr>
              <w:pageBreakBefore w:val="0"/>
              <w:numPr>
                <w:ilvl w:val="0"/>
                <w:numId w:val="2"/>
              </w:numPr>
              <w:autoSpaceDE/>
              <w:autoSpaceDN/>
              <w:bidi w:val="0"/>
              <w:snapToGrid/>
              <w:spacing w:before="0" w:after="0" w:line="360" w:lineRule="auto"/>
              <w:ind w:right="0" w:firstLine="480"/>
              <w:jc w:val="left"/>
              <w:rPr>
                <w:rFonts w:hint="default" w:ascii="宋体" w:hAnsi="宋体" w:eastAsia="宋体"/>
                <w:color w:val="auto"/>
                <w:position w:val="0"/>
                <w:sz w:val="24"/>
                <w:szCs w:val="24"/>
                <w:shd w:val="clear" w:color="000000"/>
              </w:rPr>
            </w:pPr>
            <w:r>
              <w:rPr>
                <w:rFonts w:hint="default" w:ascii="宋体" w:hAnsi="宋体" w:eastAsia="宋体"/>
                <w:color w:val="auto"/>
                <w:position w:val="0"/>
                <w:sz w:val="24"/>
                <w:szCs w:val="24"/>
                <w:shd w:val="clear" w:color="000000"/>
              </w:rPr>
              <w:t>20</w:t>
            </w:r>
            <w:r>
              <w:rPr>
                <w:rFonts w:hint="eastAsia" w:ascii="宋体" w:hAnsi="宋体" w:eastAsia="宋体"/>
                <w:color w:val="auto"/>
                <w:position w:val="0"/>
                <w:sz w:val="24"/>
                <w:szCs w:val="24"/>
                <w:shd w:val="clear" w:color="000000"/>
                <w:lang w:val="en-US" w:eastAsia="zh-CN"/>
              </w:rPr>
              <w:t>20</w:t>
            </w:r>
            <w:r>
              <w:rPr>
                <w:rFonts w:hint="default" w:ascii="宋体" w:hAnsi="宋体" w:eastAsia="宋体"/>
                <w:color w:val="auto"/>
                <w:position w:val="0"/>
                <w:sz w:val="24"/>
                <w:szCs w:val="24"/>
                <w:shd w:val="clear" w:color="000000"/>
              </w:rPr>
              <w:t>年</w:t>
            </w:r>
            <w:r>
              <w:rPr>
                <w:rFonts w:hint="eastAsia" w:ascii="宋体" w:hAnsi="宋体" w:eastAsia="宋体"/>
                <w:color w:val="auto"/>
                <w:position w:val="0"/>
                <w:sz w:val="24"/>
                <w:szCs w:val="24"/>
                <w:shd w:val="clear" w:color="000000"/>
                <w:lang w:val="en-US" w:eastAsia="zh-CN"/>
              </w:rPr>
              <w:t>08</w:t>
            </w:r>
            <w:r>
              <w:rPr>
                <w:rFonts w:hint="default" w:ascii="宋体" w:hAnsi="宋体" w:eastAsia="宋体"/>
                <w:color w:val="auto"/>
                <w:position w:val="0"/>
                <w:sz w:val="24"/>
                <w:szCs w:val="24"/>
                <w:shd w:val="clear" w:color="000000"/>
              </w:rPr>
              <w:t>月</w:t>
            </w:r>
            <w:r>
              <w:rPr>
                <w:rFonts w:hint="eastAsia" w:ascii="宋体" w:hAnsi="宋体" w:eastAsia="宋体"/>
                <w:color w:val="auto"/>
                <w:position w:val="0"/>
                <w:sz w:val="24"/>
                <w:szCs w:val="24"/>
                <w:shd w:val="clear" w:color="000000"/>
                <w:lang w:val="en-US" w:eastAsia="zh-CN"/>
              </w:rPr>
              <w:t>27</w:t>
            </w:r>
            <w:r>
              <w:rPr>
                <w:rFonts w:hint="default" w:ascii="宋体" w:hAnsi="宋体" w:eastAsia="宋体"/>
                <w:color w:val="auto"/>
                <w:position w:val="0"/>
                <w:sz w:val="24"/>
                <w:szCs w:val="24"/>
                <w:shd w:val="clear" w:color="000000"/>
              </w:rPr>
              <w:t>日，</w:t>
            </w:r>
            <w:r>
              <w:rPr>
                <w:rFonts w:hint="default" w:ascii="Times New Roman" w:hAnsi="Times New Roman" w:cs="Times New Roman"/>
                <w:color w:val="auto"/>
                <w:spacing w:val="-6"/>
                <w:sz w:val="24"/>
                <w:szCs w:val="24"/>
                <w:lang w:val="en-US" w:eastAsia="zh-CN"/>
              </w:rPr>
              <w:t>鄄城县</w:t>
            </w:r>
            <w:r>
              <w:rPr>
                <w:rFonts w:hint="eastAsia" w:ascii="Times New Roman" w:hAnsi="Times New Roman" w:cs="Times New Roman"/>
                <w:color w:val="auto"/>
                <w:spacing w:val="-6"/>
                <w:sz w:val="24"/>
                <w:szCs w:val="24"/>
                <w:lang w:val="en-US" w:eastAsia="zh-CN"/>
              </w:rPr>
              <w:t>审批服务局</w:t>
            </w:r>
            <w:r>
              <w:rPr>
                <w:rFonts w:hint="default" w:ascii="宋体" w:hAnsi="宋体" w:eastAsia="宋体"/>
                <w:color w:val="auto"/>
                <w:position w:val="0"/>
                <w:sz w:val="24"/>
                <w:szCs w:val="24"/>
                <w:shd w:val="clear" w:color="000000"/>
              </w:rPr>
              <w:t>以</w:t>
            </w:r>
            <w:r>
              <w:rPr>
                <w:rFonts w:hint="eastAsia" w:ascii="宋体" w:hAnsi="宋体" w:eastAsia="宋体"/>
                <w:color w:val="auto"/>
                <w:position w:val="0"/>
                <w:sz w:val="24"/>
                <w:szCs w:val="24"/>
                <w:shd w:val="clear" w:color="000000"/>
                <w:lang w:val="en-US" w:eastAsia="zh-CN"/>
              </w:rPr>
              <w:t>鄄行审社［2020］1号</w:t>
            </w:r>
            <w:r>
              <w:rPr>
                <w:rFonts w:hint="default" w:ascii="宋体" w:hAnsi="宋体" w:eastAsia="宋体"/>
                <w:color w:val="auto"/>
                <w:position w:val="0"/>
                <w:sz w:val="24"/>
                <w:szCs w:val="24"/>
                <w:shd w:val="clear" w:color="000000"/>
              </w:rPr>
              <w:t>文件对本项目环评文件予以批复，同意项目开工建设。</w:t>
            </w:r>
          </w:p>
          <w:p>
            <w:pPr>
              <w:pageBreakBefore w:val="0"/>
              <w:numPr>
                <w:ilvl w:val="0"/>
                <w:numId w:val="0"/>
              </w:numPr>
              <w:autoSpaceDE/>
              <w:autoSpaceDN/>
              <w:bidi w:val="0"/>
              <w:snapToGrid/>
              <w:spacing w:before="0" w:after="0" w:line="360" w:lineRule="auto"/>
              <w:ind w:right="0" w:firstLine="480"/>
              <w:jc w:val="left"/>
              <w:rPr>
                <w:rFonts w:hint="default" w:ascii="宋体" w:hAnsi="宋体" w:eastAsia="宋体"/>
                <w:color w:val="auto"/>
                <w:position w:val="0"/>
                <w:sz w:val="24"/>
                <w:szCs w:val="24"/>
                <w:shd w:val="clear" w:color="000000"/>
              </w:rPr>
            </w:pPr>
            <w:r>
              <w:rPr>
                <w:rFonts w:hint="default" w:ascii="宋体" w:hAnsi="宋体" w:eastAsia="宋体"/>
                <w:color w:val="auto"/>
                <w:position w:val="0"/>
                <w:sz w:val="24"/>
                <w:szCs w:val="24"/>
                <w:shd w:val="clear" w:color="000000"/>
              </w:rPr>
              <w:t>3</w:t>
            </w:r>
            <w:r>
              <w:rPr>
                <w:rFonts w:hint="default" w:ascii="宋体" w:hAnsi="宋体" w:eastAsia="宋体"/>
                <w:color w:val="C00000"/>
                <w:position w:val="0"/>
                <w:sz w:val="24"/>
                <w:szCs w:val="24"/>
                <w:shd w:val="clear" w:color="000000"/>
              </w:rPr>
              <w:t>、</w:t>
            </w:r>
            <w:r>
              <w:rPr>
                <w:rFonts w:hint="default" w:ascii="宋体" w:hAnsi="宋体" w:eastAsia="宋体"/>
                <w:color w:val="auto"/>
                <w:position w:val="0"/>
                <w:sz w:val="24"/>
                <w:szCs w:val="24"/>
                <w:shd w:val="clear" w:color="000000"/>
              </w:rPr>
              <w:t>该项目实际总投资</w:t>
            </w:r>
            <w:r>
              <w:rPr>
                <w:rFonts w:hint="eastAsia" w:ascii="宋体" w:hAnsi="宋体" w:eastAsia="宋体"/>
                <w:color w:val="auto"/>
                <w:position w:val="0"/>
                <w:sz w:val="24"/>
                <w:szCs w:val="24"/>
                <w:shd w:val="clear" w:color="000000"/>
                <w:lang w:val="en-US" w:eastAsia="zh-CN"/>
              </w:rPr>
              <w:t>200</w:t>
            </w:r>
            <w:r>
              <w:rPr>
                <w:rFonts w:hint="default" w:ascii="宋体" w:hAnsi="宋体" w:eastAsia="宋体"/>
                <w:color w:val="auto"/>
                <w:position w:val="0"/>
                <w:sz w:val="24"/>
                <w:szCs w:val="24"/>
                <w:shd w:val="clear" w:color="000000"/>
              </w:rPr>
              <w:t>万元，其中环保投资</w:t>
            </w:r>
            <w:r>
              <w:rPr>
                <w:rFonts w:hint="eastAsia" w:ascii="宋体" w:hAnsi="宋体" w:eastAsia="宋体"/>
                <w:color w:val="auto"/>
                <w:position w:val="0"/>
                <w:sz w:val="24"/>
                <w:szCs w:val="24"/>
                <w:shd w:val="clear" w:color="000000"/>
                <w:lang w:val="en-US" w:eastAsia="zh-CN"/>
              </w:rPr>
              <w:t>20</w:t>
            </w:r>
            <w:r>
              <w:rPr>
                <w:rFonts w:hint="default" w:ascii="宋体" w:hAnsi="宋体" w:eastAsia="宋体"/>
                <w:color w:val="auto"/>
                <w:position w:val="0"/>
                <w:sz w:val="24"/>
                <w:szCs w:val="24"/>
                <w:shd w:val="clear" w:color="000000"/>
              </w:rPr>
              <w:t>万元，占总投资的</w:t>
            </w:r>
            <w:r>
              <w:rPr>
                <w:rFonts w:hint="eastAsia" w:ascii="宋体" w:hAnsi="宋体" w:eastAsia="宋体"/>
                <w:color w:val="auto"/>
                <w:position w:val="0"/>
                <w:sz w:val="24"/>
                <w:szCs w:val="24"/>
                <w:shd w:val="clear" w:color="000000"/>
                <w:lang w:val="en-US" w:eastAsia="zh-CN"/>
              </w:rPr>
              <w:t>10</w:t>
            </w:r>
            <w:r>
              <w:rPr>
                <w:rFonts w:hint="default" w:ascii="宋体" w:hAnsi="宋体" w:eastAsia="宋体"/>
                <w:color w:val="auto"/>
                <w:position w:val="0"/>
                <w:sz w:val="24"/>
                <w:szCs w:val="24"/>
                <w:shd w:val="clear" w:color="000000"/>
              </w:rPr>
              <w:t>%。</w:t>
            </w:r>
          </w:p>
          <w:p>
            <w:pPr>
              <w:pageBreakBefore w:val="0"/>
              <w:numPr>
                <w:ilvl w:val="0"/>
                <w:numId w:val="0"/>
              </w:numPr>
              <w:autoSpaceDE/>
              <w:autoSpaceDN/>
              <w:bidi w:val="0"/>
              <w:snapToGrid/>
              <w:spacing w:before="0" w:after="0" w:line="360" w:lineRule="auto"/>
              <w:ind w:right="0" w:firstLine="480"/>
              <w:jc w:val="left"/>
              <w:rPr>
                <w:rFonts w:hint="default" w:ascii="宋体" w:hAnsi="宋体" w:eastAsia="宋体"/>
                <w:color w:val="auto"/>
                <w:position w:val="0"/>
                <w:sz w:val="24"/>
                <w:szCs w:val="24"/>
                <w:shd w:val="clear" w:color="000000"/>
              </w:rPr>
            </w:pPr>
            <w:r>
              <w:rPr>
                <w:rFonts w:hint="default" w:ascii="宋体" w:hAnsi="宋体" w:eastAsia="宋体"/>
                <w:color w:val="auto"/>
                <w:position w:val="0"/>
                <w:sz w:val="24"/>
                <w:szCs w:val="24"/>
                <w:shd w:val="clear" w:color="000000"/>
              </w:rPr>
              <w:t>4、</w:t>
            </w:r>
            <w:r>
              <w:rPr>
                <w:rFonts w:hint="eastAsia" w:ascii="宋体" w:hAnsi="宋体" w:eastAsia="宋体"/>
                <w:color w:val="auto"/>
                <w:position w:val="0"/>
                <w:sz w:val="24"/>
                <w:szCs w:val="24"/>
                <w:lang w:val="en-US" w:eastAsia="zh-CN"/>
              </w:rPr>
              <w:t>鄄城龙欣宝典发制品有限公司</w:t>
            </w:r>
            <w:r>
              <w:rPr>
                <w:rFonts w:hint="eastAsia" w:ascii="Times New Roman" w:hAnsi="宋体" w:eastAsia="宋体" w:cs="宋体"/>
                <w:color w:val="auto"/>
                <w:position w:val="0"/>
                <w:sz w:val="24"/>
                <w:szCs w:val="24"/>
                <w:lang w:val="en-US" w:eastAsia="zh-CN"/>
              </w:rPr>
              <w:t>年产800万件人发制品项目(二期）年产200吨发制品</w:t>
            </w:r>
            <w:r>
              <w:rPr>
                <w:rFonts w:hint="default" w:ascii="宋体" w:hAnsi="宋体" w:eastAsia="宋体"/>
                <w:color w:val="auto"/>
                <w:position w:val="0"/>
                <w:sz w:val="24"/>
                <w:szCs w:val="24"/>
                <w:shd w:val="clear" w:color="000000"/>
              </w:rPr>
              <w:t>。</w:t>
            </w:r>
          </w:p>
          <w:p>
            <w:pPr>
              <w:pageBreakBefore w:val="0"/>
              <w:numPr>
                <w:ilvl w:val="0"/>
                <w:numId w:val="0"/>
              </w:numPr>
              <w:autoSpaceDE/>
              <w:autoSpaceDN/>
              <w:bidi w:val="0"/>
              <w:snapToGrid/>
              <w:spacing w:before="0" w:after="0" w:line="360" w:lineRule="auto"/>
              <w:ind w:right="0" w:firstLine="480"/>
              <w:jc w:val="left"/>
              <w:rPr>
                <w:rFonts w:hint="default" w:ascii="宋体" w:hAnsi="宋体" w:eastAsia="宋体"/>
                <w:color w:val="auto"/>
                <w:position w:val="0"/>
                <w:sz w:val="24"/>
                <w:szCs w:val="24"/>
                <w:shd w:val="clear" w:color="000000"/>
              </w:rPr>
            </w:pPr>
            <w:r>
              <w:rPr>
                <w:rFonts w:hint="default" w:ascii="宋体" w:hAnsi="宋体" w:eastAsia="宋体"/>
                <w:color w:val="auto"/>
                <w:position w:val="0"/>
                <w:sz w:val="24"/>
                <w:szCs w:val="24"/>
                <w:shd w:val="clear" w:color="000000"/>
              </w:rPr>
              <w:t>5、该项目环保设施建设情况如下：</w:t>
            </w:r>
          </w:p>
          <w:p>
            <w:pPr>
              <w:pStyle w:val="45"/>
              <w:spacing w:line="360" w:lineRule="auto"/>
              <w:rPr>
                <w:rFonts w:hint="default" w:eastAsia="宋体"/>
                <w:lang w:val="en-US" w:eastAsia="zh-CN"/>
              </w:rPr>
            </w:pPr>
            <w:r>
              <w:rPr>
                <w:rFonts w:hint="eastAsia"/>
                <w:color w:val="auto"/>
                <w:position w:val="0"/>
                <w:sz w:val="24"/>
                <w:szCs w:val="24"/>
                <w:shd w:val="clear" w:color="000000"/>
                <w:lang w:val="en-US" w:eastAsia="zh-CN"/>
              </w:rPr>
              <w:t xml:space="preserve">    6、</w:t>
            </w:r>
            <w:r>
              <w:rPr>
                <w:rFonts w:hint="default" w:ascii="Times New Roman" w:hAnsi="宋体" w:eastAsia="宋体" w:cs="宋体"/>
                <w:b w:val="0"/>
                <w:color w:val="auto"/>
                <w:w w:val="100"/>
                <w:position w:val="0"/>
                <w:sz w:val="24"/>
                <w:szCs w:val="24"/>
                <w:shd w:val="clear"/>
                <w:lang w:val="en-US" w:eastAsia="zh-CN"/>
              </w:rPr>
              <w:t>经核实，本项目周边100米范围内无学校、医院、常住居民区等敏感点，能够满足项目卫生防护距离的要求。</w:t>
            </w:r>
          </w:p>
          <w:p>
            <w:pPr>
              <w:pageBreakBefore w:val="0"/>
              <w:numPr>
                <w:ilvl w:val="0"/>
                <w:numId w:val="0"/>
              </w:numPr>
              <w:autoSpaceDE/>
              <w:autoSpaceDN/>
              <w:bidi w:val="0"/>
              <w:snapToGrid/>
              <w:spacing w:before="0" w:after="0" w:line="360" w:lineRule="auto"/>
              <w:ind w:right="0" w:firstLine="48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zh-CN"/>
              </w:rPr>
              <w:t>、该项目环保设施建设情况</w:t>
            </w:r>
            <w:r>
              <w:rPr>
                <w:rFonts w:hint="default" w:ascii="Times New Roman" w:hAnsi="Times New Roman" w:eastAsia="宋体" w:cs="Times New Roman"/>
                <w:color w:val="auto"/>
                <w:sz w:val="24"/>
                <w:szCs w:val="24"/>
                <w:lang w:val="en-US" w:eastAsia="zh-CN"/>
              </w:rPr>
              <w:t>如下：</w:t>
            </w:r>
          </w:p>
          <w:p>
            <w:pPr>
              <w:pageBreakBefore w:val="0"/>
              <w:numPr>
                <w:ilvl w:val="0"/>
                <w:numId w:val="0"/>
              </w:numPr>
              <w:autoSpaceDE/>
              <w:autoSpaceDN/>
              <w:bidi w:val="0"/>
              <w:snapToGrid/>
              <w:spacing w:before="0" w:after="0" w:line="360" w:lineRule="auto"/>
              <w:ind w:right="0" w:firstLine="480"/>
              <w:jc w:val="left"/>
              <w:rPr>
                <w:rFonts w:hint="default" w:ascii="宋体" w:hAnsi="宋体" w:eastAsia="宋体"/>
                <w:color w:val="auto"/>
                <w:position w:val="0"/>
                <w:sz w:val="24"/>
                <w:szCs w:val="24"/>
              </w:rPr>
            </w:pPr>
            <w:r>
              <w:rPr>
                <w:rFonts w:hint="default" w:ascii="宋体" w:hAnsi="宋体" w:eastAsia="宋体"/>
                <w:color w:val="auto"/>
                <w:position w:val="0"/>
                <w:sz w:val="24"/>
                <w:szCs w:val="24"/>
              </w:rPr>
              <w:t>生活废水设置化粪池</w:t>
            </w:r>
            <w:r>
              <w:rPr>
                <w:rFonts w:hint="eastAsia" w:ascii="宋体" w:hAnsi="宋体" w:eastAsia="宋体"/>
                <w:color w:val="auto"/>
                <w:position w:val="0"/>
                <w:sz w:val="24"/>
                <w:szCs w:val="24"/>
                <w:lang w:eastAsia="zh-CN"/>
              </w:rPr>
              <w:t>，</w:t>
            </w:r>
            <w:r>
              <w:rPr>
                <w:rFonts w:hint="eastAsia" w:ascii="宋体" w:hAnsi="宋体" w:eastAsia="宋体"/>
                <w:color w:val="auto"/>
                <w:position w:val="0"/>
                <w:sz w:val="24"/>
                <w:szCs w:val="24"/>
                <w:lang w:val="en-US" w:eastAsia="zh-CN"/>
              </w:rPr>
              <w:t>污水处理站，废气处理装置</w:t>
            </w:r>
            <w:r>
              <w:rPr>
                <w:rFonts w:hint="default" w:ascii="宋体" w:hAnsi="宋体" w:eastAsia="宋体"/>
                <w:color w:val="auto"/>
                <w:position w:val="0"/>
                <w:sz w:val="24"/>
                <w:szCs w:val="24"/>
              </w:rPr>
              <w:t>，已建设完成。基础减震、隔声设施、生活垃圾收集等工程。</w:t>
            </w:r>
          </w:p>
          <w:p>
            <w:pPr>
              <w:pageBreakBefore w:val="0"/>
              <w:numPr>
                <w:ilvl w:val="0"/>
                <w:numId w:val="0"/>
              </w:numPr>
              <w:autoSpaceDE/>
              <w:autoSpaceDN/>
              <w:bidi w:val="0"/>
              <w:snapToGrid/>
              <w:spacing w:before="0" w:after="0" w:line="360" w:lineRule="auto"/>
              <w:ind w:right="0" w:firstLine="480"/>
              <w:jc w:val="left"/>
              <w:rPr>
                <w:rFonts w:hint="default" w:ascii="宋体" w:hAnsi="宋体" w:eastAsia="宋体"/>
                <w:color w:val="auto"/>
                <w:position w:val="0"/>
                <w:sz w:val="24"/>
                <w:szCs w:val="24"/>
              </w:rPr>
            </w:pPr>
            <w:r>
              <w:rPr>
                <w:rFonts w:hint="eastAsia" w:ascii="宋体" w:hAnsi="宋体" w:eastAsia="宋体"/>
                <w:color w:val="auto"/>
                <w:position w:val="0"/>
                <w:sz w:val="24"/>
                <w:szCs w:val="24"/>
                <w:lang w:val="en-US" w:eastAsia="zh-CN"/>
              </w:rPr>
              <w:t>8</w:t>
            </w:r>
            <w:r>
              <w:rPr>
                <w:rFonts w:hint="default" w:ascii="宋体" w:hAnsi="宋体" w:eastAsia="宋体"/>
                <w:color w:val="auto"/>
                <w:position w:val="0"/>
                <w:sz w:val="24"/>
                <w:szCs w:val="24"/>
              </w:rPr>
              <w:t>、验收监测结果综述：</w:t>
            </w:r>
          </w:p>
          <w:p>
            <w:pPr>
              <w:pageBreakBefore w:val="0"/>
              <w:numPr>
                <w:ilvl w:val="0"/>
                <w:numId w:val="0"/>
              </w:numPr>
              <w:autoSpaceDE/>
              <w:autoSpaceDN/>
              <w:bidi w:val="0"/>
              <w:snapToGrid/>
              <w:spacing w:before="0" w:after="0" w:line="360" w:lineRule="auto"/>
              <w:ind w:right="0" w:firstLine="480"/>
              <w:jc w:val="left"/>
              <w:rPr>
                <w:rFonts w:hint="default" w:ascii="宋体" w:hAnsi="宋体" w:eastAsia="宋体"/>
                <w:color w:val="auto"/>
                <w:position w:val="0"/>
                <w:sz w:val="24"/>
                <w:szCs w:val="24"/>
              </w:rPr>
            </w:pPr>
            <w:r>
              <w:rPr>
                <w:rFonts w:hint="default" w:ascii="宋体" w:hAnsi="宋体" w:eastAsia="宋体"/>
                <w:color w:val="auto"/>
                <w:position w:val="0"/>
                <w:sz w:val="24"/>
                <w:szCs w:val="24"/>
              </w:rPr>
              <w:t>(1)废气</w:t>
            </w:r>
          </w:p>
          <w:p>
            <w:pPr>
              <w:pageBreakBefore w:val="0"/>
              <w:numPr>
                <w:ilvl w:val="0"/>
                <w:numId w:val="0"/>
              </w:numPr>
              <w:tabs>
                <w:tab w:val="left" w:pos="1785"/>
              </w:tabs>
              <w:autoSpaceDE/>
              <w:autoSpaceDN/>
              <w:bidi w:val="0"/>
              <w:snapToGrid w:val="0"/>
              <w:spacing w:before="0" w:after="0" w:line="360" w:lineRule="auto"/>
              <w:ind w:right="0" w:rightChars="0" w:firstLine="480" w:firstLineChars="200"/>
              <w:jc w:val="both"/>
              <w:rPr>
                <w:rFonts w:hint="default" w:ascii="Times New Roman" w:hAnsi="Times New Roman" w:eastAsia="Times New Roman"/>
                <w:b w:val="0"/>
                <w:color w:val="auto"/>
                <w:position w:val="0"/>
                <w:sz w:val="24"/>
                <w:szCs w:val="24"/>
              </w:rPr>
            </w:pPr>
            <w:r>
              <w:rPr>
                <w:rFonts w:hint="eastAsia" w:ascii="Times New Roman" w:hAnsi="Times New Roman" w:eastAsia="宋体"/>
                <w:b w:val="0"/>
                <w:color w:val="auto"/>
                <w:position w:val="0"/>
                <w:sz w:val="24"/>
                <w:szCs w:val="24"/>
                <w:lang w:val="en-US" w:eastAsia="zh-CN"/>
              </w:rPr>
              <w:t>有</w:t>
            </w:r>
            <w:r>
              <w:rPr>
                <w:rFonts w:hint="default" w:ascii="Times New Roman" w:hAnsi="Times New Roman" w:eastAsia="Times New Roman"/>
                <w:b w:val="0"/>
                <w:color w:val="auto"/>
                <w:position w:val="0"/>
                <w:sz w:val="24"/>
                <w:szCs w:val="24"/>
              </w:rPr>
              <w:t>组织废气排放监测结果</w:t>
            </w:r>
          </w:p>
          <w:p>
            <w:pPr>
              <w:pageBreakBefore w:val="0"/>
              <w:numPr>
                <w:ilvl w:val="0"/>
                <w:numId w:val="0"/>
              </w:numPr>
              <w:autoSpaceDE/>
              <w:autoSpaceDN/>
              <w:bidi w:val="0"/>
              <w:snapToGrid/>
              <w:spacing w:before="0" w:after="0" w:line="360" w:lineRule="auto"/>
              <w:ind w:right="0" w:firstLine="480"/>
              <w:jc w:val="left"/>
              <w:rPr>
                <w:rFonts w:hint="eastAsia" w:ascii="宋体" w:hAnsi="宋体" w:eastAsia="宋体"/>
                <w:color w:val="auto"/>
                <w:position w:val="0"/>
                <w:sz w:val="24"/>
                <w:szCs w:val="24"/>
                <w:lang w:val="en-US" w:eastAsia="zh-CN"/>
              </w:rPr>
            </w:pPr>
            <w:r>
              <w:rPr>
                <w:rFonts w:hint="default" w:ascii="宋体" w:hAnsi="宋体" w:eastAsia="宋体"/>
                <w:color w:val="auto"/>
                <w:position w:val="0"/>
                <w:sz w:val="24"/>
                <w:szCs w:val="24"/>
                <w:lang w:val="en-US" w:eastAsia="zh-CN"/>
              </w:rPr>
              <w:t>经监测，</w:t>
            </w:r>
            <w:r>
              <w:rPr>
                <w:rFonts w:hint="eastAsia" w:ascii="宋体" w:hAnsi="宋体" w:eastAsia="宋体"/>
                <w:color w:val="auto"/>
                <w:position w:val="0"/>
                <w:sz w:val="24"/>
                <w:szCs w:val="24"/>
                <w:lang w:val="en-US" w:eastAsia="zh-CN"/>
              </w:rPr>
              <w:t>泡酸中和</w:t>
            </w:r>
            <w:r>
              <w:rPr>
                <w:rFonts w:hint="default" w:ascii="宋体" w:hAnsi="宋体" w:eastAsia="宋体"/>
                <w:color w:val="auto"/>
                <w:position w:val="0"/>
                <w:sz w:val="24"/>
                <w:szCs w:val="24"/>
                <w:lang w:val="en-US" w:eastAsia="zh-CN"/>
              </w:rPr>
              <w:t>有组织</w:t>
            </w:r>
            <w:r>
              <w:rPr>
                <w:rFonts w:hint="eastAsia" w:ascii="宋体" w:hAnsi="宋体" w:eastAsia="宋体"/>
                <w:color w:val="auto"/>
                <w:position w:val="0"/>
                <w:sz w:val="24"/>
                <w:szCs w:val="24"/>
                <w:lang w:val="en-US" w:eastAsia="zh-CN"/>
              </w:rPr>
              <w:t>硫酸雾</w:t>
            </w:r>
            <w:r>
              <w:rPr>
                <w:rFonts w:hint="default" w:ascii="宋体" w:hAnsi="宋体" w:eastAsia="宋体"/>
                <w:color w:val="auto"/>
                <w:position w:val="0"/>
                <w:sz w:val="24"/>
                <w:szCs w:val="24"/>
                <w:lang w:val="en-US" w:eastAsia="zh-CN"/>
              </w:rPr>
              <w:t>排放最大浓度</w:t>
            </w:r>
            <w:r>
              <w:rPr>
                <w:rFonts w:hint="eastAsia" w:ascii="宋体" w:hAnsi="宋体" w:eastAsia="宋体"/>
                <w:color w:val="auto"/>
                <w:position w:val="0"/>
                <w:sz w:val="24"/>
                <w:szCs w:val="24"/>
                <w:lang w:val="en-US" w:eastAsia="zh-CN"/>
              </w:rPr>
              <w:t>分别</w:t>
            </w:r>
            <w:r>
              <w:rPr>
                <w:rFonts w:hint="default" w:ascii="宋体" w:hAnsi="宋体" w:eastAsia="宋体"/>
                <w:color w:val="auto"/>
                <w:position w:val="0"/>
                <w:sz w:val="24"/>
                <w:szCs w:val="24"/>
                <w:lang w:val="en-US" w:eastAsia="zh-CN"/>
              </w:rPr>
              <w:t>为</w:t>
            </w:r>
            <w:r>
              <w:rPr>
                <w:rFonts w:hint="eastAsia" w:ascii="宋体" w:hAnsi="宋体" w:eastAsia="宋体"/>
                <w:color w:val="auto"/>
                <w:position w:val="0"/>
                <w:sz w:val="24"/>
                <w:szCs w:val="24"/>
                <w:lang w:val="en-US" w:eastAsia="zh-CN"/>
              </w:rPr>
              <w:t>8.17</w:t>
            </w:r>
            <w:r>
              <w:rPr>
                <w:rFonts w:hint="default" w:ascii="宋体" w:hAnsi="宋体" w:eastAsia="宋体"/>
                <w:color w:val="auto"/>
                <w:position w:val="0"/>
                <w:sz w:val="24"/>
                <w:szCs w:val="24"/>
                <w:lang w:val="en-US" w:eastAsia="zh-CN"/>
              </w:rPr>
              <w:t>mg/m3，</w:t>
            </w:r>
            <w:r>
              <w:rPr>
                <w:rFonts w:hint="eastAsia" w:ascii="宋体" w:hAnsi="宋体" w:eastAsia="宋体"/>
                <w:color w:val="auto"/>
                <w:position w:val="0"/>
                <w:sz w:val="24"/>
                <w:szCs w:val="24"/>
                <w:lang w:val="en-US" w:eastAsia="zh-CN"/>
              </w:rPr>
              <w:t>排放速率为0.0466kg/h《大气污染物综合排放标准》（GB16297-1996）表2中二级标准要求</w:t>
            </w:r>
            <w:r>
              <w:rPr>
                <w:rFonts w:hint="default" w:ascii="宋体" w:hAnsi="宋体" w:eastAsia="宋体"/>
                <w:color w:val="auto"/>
                <w:position w:val="0"/>
                <w:sz w:val="24"/>
                <w:szCs w:val="24"/>
                <w:lang w:val="en-US" w:eastAsia="zh-CN"/>
              </w:rPr>
              <w:t>。（</w:t>
            </w:r>
            <w:r>
              <w:rPr>
                <w:rFonts w:hint="eastAsia" w:ascii="宋体" w:hAnsi="宋体" w:eastAsia="宋体"/>
                <w:color w:val="auto"/>
                <w:position w:val="0"/>
                <w:sz w:val="24"/>
                <w:szCs w:val="24"/>
                <w:lang w:val="en-US" w:eastAsia="zh-CN"/>
              </w:rPr>
              <w:t>硫酸雾</w:t>
            </w:r>
            <w:r>
              <w:rPr>
                <w:rFonts w:hint="default" w:ascii="宋体" w:hAnsi="宋体" w:eastAsia="宋体"/>
                <w:color w:val="auto"/>
                <w:position w:val="0"/>
                <w:sz w:val="24"/>
                <w:szCs w:val="24"/>
                <w:lang w:val="en-US" w:eastAsia="zh-CN"/>
              </w:rPr>
              <w:t>：</w:t>
            </w:r>
            <w:r>
              <w:rPr>
                <w:rFonts w:hint="eastAsia" w:ascii="宋体" w:hAnsi="宋体" w:eastAsia="宋体"/>
                <w:color w:val="auto"/>
                <w:position w:val="0"/>
                <w:sz w:val="24"/>
                <w:szCs w:val="24"/>
                <w:lang w:val="en-US" w:eastAsia="zh-CN"/>
              </w:rPr>
              <w:t>45</w:t>
            </w:r>
            <w:r>
              <w:rPr>
                <w:rFonts w:hint="default" w:ascii="宋体" w:hAnsi="宋体" w:eastAsia="宋体"/>
                <w:color w:val="auto"/>
                <w:position w:val="0"/>
                <w:sz w:val="24"/>
                <w:szCs w:val="24"/>
                <w:lang w:val="en-US" w:eastAsia="zh-CN"/>
              </w:rPr>
              <w:t>mg/m³</w:t>
            </w:r>
            <w:r>
              <w:rPr>
                <w:rFonts w:hint="eastAsia" w:ascii="宋体" w:hAnsi="宋体" w:eastAsia="宋体"/>
                <w:color w:val="auto"/>
                <w:position w:val="0"/>
                <w:sz w:val="24"/>
                <w:szCs w:val="24"/>
                <w:lang w:val="en-US" w:eastAsia="zh-CN"/>
              </w:rPr>
              <w:t>）。</w:t>
            </w:r>
          </w:p>
          <w:p>
            <w:pPr>
              <w:pageBreakBefore w:val="0"/>
              <w:numPr>
                <w:ilvl w:val="0"/>
                <w:numId w:val="0"/>
              </w:numPr>
              <w:autoSpaceDE/>
              <w:autoSpaceDN/>
              <w:bidi w:val="0"/>
              <w:snapToGrid/>
              <w:spacing w:before="0" w:after="0" w:line="360" w:lineRule="auto"/>
              <w:ind w:right="0" w:firstLine="480"/>
              <w:jc w:val="left"/>
              <w:rPr>
                <w:rFonts w:hint="eastAsia" w:ascii="宋体" w:hAnsi="宋体" w:eastAsia="宋体"/>
                <w:color w:val="auto"/>
                <w:position w:val="0"/>
                <w:sz w:val="24"/>
                <w:szCs w:val="24"/>
                <w:lang w:val="en-US" w:eastAsia="zh-CN"/>
              </w:rPr>
            </w:pPr>
            <w:r>
              <w:rPr>
                <w:rFonts w:hint="eastAsia" w:ascii="宋体" w:hAnsi="宋体" w:eastAsia="宋体"/>
                <w:color w:val="auto"/>
                <w:position w:val="0"/>
                <w:sz w:val="24"/>
                <w:szCs w:val="24"/>
                <w:lang w:val="en-US" w:eastAsia="zh-CN"/>
              </w:rPr>
              <w:t>中和浸泡有组织氨最大</w:t>
            </w:r>
            <w:r>
              <w:rPr>
                <w:rFonts w:hint="default" w:ascii="宋体" w:hAnsi="宋体" w:eastAsia="宋体"/>
                <w:color w:val="auto"/>
                <w:position w:val="0"/>
                <w:sz w:val="24"/>
                <w:szCs w:val="24"/>
                <w:lang w:val="en-US" w:eastAsia="zh-CN"/>
              </w:rPr>
              <w:t>排</w:t>
            </w:r>
            <w:r>
              <w:rPr>
                <w:rFonts w:hint="eastAsia" w:ascii="宋体" w:hAnsi="宋体" w:eastAsia="宋体"/>
                <w:color w:val="auto"/>
                <w:position w:val="0"/>
                <w:sz w:val="24"/>
                <w:szCs w:val="24"/>
                <w:lang w:val="en-US" w:eastAsia="zh-CN"/>
              </w:rPr>
              <w:t>速率</w:t>
            </w:r>
            <w:r>
              <w:rPr>
                <w:rFonts w:hint="default" w:ascii="宋体" w:hAnsi="宋体" w:eastAsia="宋体"/>
                <w:color w:val="auto"/>
                <w:position w:val="0"/>
                <w:sz w:val="24"/>
                <w:szCs w:val="24"/>
                <w:lang w:val="en-US" w:eastAsia="zh-CN"/>
              </w:rPr>
              <w:t>为</w:t>
            </w:r>
            <w:r>
              <w:rPr>
                <w:rFonts w:hint="eastAsia" w:ascii="宋体" w:hAnsi="宋体" w:eastAsia="宋体"/>
                <w:color w:val="auto"/>
                <w:position w:val="0"/>
                <w:sz w:val="24"/>
                <w:szCs w:val="24"/>
                <w:lang w:val="en-US" w:eastAsia="zh-CN"/>
              </w:rPr>
              <w:t>0.00553kg</w:t>
            </w:r>
            <w:r>
              <w:rPr>
                <w:rFonts w:hint="default" w:ascii="宋体" w:hAnsi="宋体" w:eastAsia="宋体"/>
                <w:color w:val="auto"/>
                <w:position w:val="0"/>
                <w:sz w:val="24"/>
                <w:szCs w:val="24"/>
                <w:lang w:val="en-US" w:eastAsia="zh-CN"/>
              </w:rPr>
              <w:t>/</w:t>
            </w:r>
            <w:r>
              <w:rPr>
                <w:rFonts w:hint="eastAsia" w:ascii="宋体" w:hAnsi="宋体" w:eastAsia="宋体"/>
                <w:color w:val="auto"/>
                <w:position w:val="0"/>
                <w:sz w:val="24"/>
                <w:szCs w:val="24"/>
                <w:lang w:val="en-US" w:eastAsia="zh-CN"/>
              </w:rPr>
              <w:t>h《恶臭污染物排放标准》（GB14554-93）二级新建标准要求。（氨排放速率小于等于4.9kg</w:t>
            </w:r>
            <w:r>
              <w:rPr>
                <w:rFonts w:hint="default" w:ascii="宋体" w:hAnsi="宋体" w:eastAsia="宋体"/>
                <w:color w:val="auto"/>
                <w:position w:val="0"/>
                <w:sz w:val="24"/>
                <w:szCs w:val="24"/>
                <w:lang w:val="en-US" w:eastAsia="zh-CN"/>
              </w:rPr>
              <w:t>/</w:t>
            </w:r>
            <w:r>
              <w:rPr>
                <w:rFonts w:hint="eastAsia" w:ascii="宋体" w:hAnsi="宋体" w:eastAsia="宋体"/>
                <w:color w:val="auto"/>
                <w:position w:val="0"/>
                <w:sz w:val="24"/>
                <w:szCs w:val="24"/>
                <w:lang w:val="en-US" w:eastAsia="zh-CN"/>
              </w:rPr>
              <w:t>h）</w:t>
            </w:r>
          </w:p>
          <w:p>
            <w:pPr>
              <w:pageBreakBefore w:val="0"/>
              <w:numPr>
                <w:ilvl w:val="0"/>
                <w:numId w:val="0"/>
              </w:numPr>
              <w:autoSpaceDE/>
              <w:autoSpaceDN/>
              <w:bidi w:val="0"/>
              <w:snapToGrid/>
              <w:spacing w:before="0" w:after="0" w:line="360" w:lineRule="auto"/>
              <w:ind w:right="0" w:firstLine="480"/>
              <w:jc w:val="left"/>
              <w:rPr>
                <w:rFonts w:hint="eastAsia" w:ascii="宋体" w:hAnsi="宋体" w:eastAsia="宋体"/>
                <w:color w:val="auto"/>
                <w:position w:val="0"/>
                <w:sz w:val="24"/>
                <w:szCs w:val="24"/>
                <w:lang w:val="en-US" w:eastAsia="zh-CN"/>
              </w:rPr>
            </w:pPr>
            <w:r>
              <w:rPr>
                <w:rFonts w:hint="eastAsia" w:ascii="宋体" w:hAnsi="宋体" w:eastAsia="宋体"/>
                <w:color w:val="auto"/>
                <w:position w:val="0"/>
                <w:sz w:val="24"/>
                <w:szCs w:val="24"/>
                <w:lang w:val="en-US" w:eastAsia="zh-CN"/>
              </w:rPr>
              <w:t xml:space="preserve">   污水处理臭气排放分别为硫化氢：0.00578 kg</w:t>
            </w:r>
            <w:r>
              <w:rPr>
                <w:rFonts w:hint="default" w:ascii="宋体" w:hAnsi="宋体" w:eastAsia="宋体"/>
                <w:color w:val="auto"/>
                <w:position w:val="0"/>
                <w:sz w:val="24"/>
                <w:szCs w:val="24"/>
                <w:lang w:val="en-US" w:eastAsia="zh-CN"/>
              </w:rPr>
              <w:t>/</w:t>
            </w:r>
            <w:r>
              <w:rPr>
                <w:rFonts w:hint="eastAsia" w:ascii="宋体" w:hAnsi="宋体" w:eastAsia="宋体"/>
                <w:color w:val="auto"/>
                <w:position w:val="0"/>
                <w:sz w:val="24"/>
                <w:szCs w:val="24"/>
                <w:lang w:val="en-US" w:eastAsia="zh-CN"/>
              </w:rPr>
              <w:t>h；氨：0.0141kg</w:t>
            </w:r>
            <w:r>
              <w:rPr>
                <w:rFonts w:hint="default" w:ascii="宋体" w:hAnsi="宋体" w:eastAsia="宋体"/>
                <w:color w:val="auto"/>
                <w:position w:val="0"/>
                <w:sz w:val="24"/>
                <w:szCs w:val="24"/>
                <w:lang w:val="en-US" w:eastAsia="zh-CN"/>
              </w:rPr>
              <w:t>/</w:t>
            </w:r>
            <w:r>
              <w:rPr>
                <w:rFonts w:hint="eastAsia" w:ascii="宋体" w:hAnsi="宋体" w:eastAsia="宋体"/>
                <w:color w:val="auto"/>
                <w:position w:val="0"/>
                <w:sz w:val="24"/>
                <w:szCs w:val="24"/>
                <w:lang w:val="en-US" w:eastAsia="zh-CN"/>
              </w:rPr>
              <w:t>h；臭气浓度为741无量纲，满足《恶臭污染物排放标准》（GB14554-93）二级新建标准要求。（臭气浓度≤2000、硫化氢≤0.33kg/h、氨≤4.9kg</w:t>
            </w:r>
            <w:r>
              <w:rPr>
                <w:rFonts w:hint="default" w:ascii="宋体" w:hAnsi="宋体" w:eastAsia="宋体"/>
                <w:color w:val="auto"/>
                <w:position w:val="0"/>
                <w:sz w:val="24"/>
                <w:szCs w:val="24"/>
                <w:lang w:val="en-US" w:eastAsia="zh-CN"/>
              </w:rPr>
              <w:t>/</w:t>
            </w:r>
            <w:r>
              <w:rPr>
                <w:rFonts w:hint="eastAsia" w:ascii="宋体" w:hAnsi="宋体" w:eastAsia="宋体"/>
                <w:color w:val="auto"/>
                <w:position w:val="0"/>
                <w:sz w:val="24"/>
                <w:szCs w:val="24"/>
                <w:lang w:val="en-US" w:eastAsia="zh-CN"/>
              </w:rPr>
              <w:t xml:space="preserve">h）。  </w:t>
            </w:r>
          </w:p>
          <w:p>
            <w:pPr>
              <w:pageBreakBefore w:val="0"/>
              <w:numPr>
                <w:ilvl w:val="0"/>
                <w:numId w:val="0"/>
              </w:numPr>
              <w:autoSpaceDE/>
              <w:autoSpaceDN/>
              <w:bidi w:val="0"/>
              <w:snapToGrid/>
              <w:spacing w:before="0" w:after="0" w:line="360" w:lineRule="auto"/>
              <w:ind w:right="0" w:firstLine="480"/>
              <w:jc w:val="left"/>
              <w:rPr>
                <w:rFonts w:hint="default" w:ascii="宋体" w:hAnsi="宋体" w:eastAsia="宋体"/>
                <w:color w:val="auto"/>
                <w:position w:val="0"/>
                <w:sz w:val="24"/>
                <w:szCs w:val="24"/>
                <w:lang w:val="en-US" w:eastAsia="zh-CN"/>
              </w:rPr>
            </w:pPr>
            <w:r>
              <w:rPr>
                <w:rFonts w:hint="eastAsia" w:ascii="宋体" w:hAnsi="宋体" w:eastAsia="宋体"/>
                <w:color w:val="auto"/>
                <w:position w:val="0"/>
                <w:sz w:val="24"/>
                <w:szCs w:val="24"/>
                <w:lang w:val="en-US" w:eastAsia="zh-CN"/>
              </w:rPr>
              <w:t xml:space="preserve"> 无组织氨排放浓度为0.194mg/m³，无组织臭气浓度为15无量纲，无组织硫化氢为0.025mg/m³满足《恶臭污染物排放标准》（GB14554-93）二级新建标准（臭气浓度≤20、硫化氢≤0.06mg/m³、氨≤1.5mg/m³）无组织硫酸雾最大排放浓度为0.194mg/m³ ，满足</w:t>
            </w:r>
            <w:r>
              <w:rPr>
                <w:rFonts w:hint="default" w:ascii="宋体" w:hAnsi="宋体" w:eastAsia="宋体"/>
                <w:color w:val="auto"/>
                <w:position w:val="0"/>
                <w:sz w:val="24"/>
                <w:szCs w:val="24"/>
                <w:lang w:val="en-US" w:eastAsia="zh-CN"/>
              </w:rPr>
              <w:t>《大气污染物综合排放标准》（GB16297-1996）表2二级标准无组织排放监控浓度限值</w:t>
            </w:r>
            <w:r>
              <w:rPr>
                <w:rFonts w:hint="eastAsia" w:ascii="宋体" w:hAnsi="宋体" w:eastAsia="宋体"/>
                <w:color w:val="auto"/>
                <w:position w:val="0"/>
                <w:sz w:val="24"/>
                <w:szCs w:val="24"/>
                <w:lang w:val="en-US" w:eastAsia="zh-CN"/>
              </w:rPr>
              <w:t>1.2mg/m³</w:t>
            </w:r>
          </w:p>
          <w:p>
            <w:pPr>
              <w:pStyle w:val="45"/>
              <w:numPr>
                <w:ilvl w:val="0"/>
                <w:numId w:val="0"/>
              </w:numPr>
              <w:ind w:left="480" w:leftChars="0"/>
              <w:rPr>
                <w:rFonts w:hint="eastAsia" w:ascii="Times New Roman"/>
                <w:color w:val="auto"/>
                <w:position w:val="0"/>
                <w:sz w:val="24"/>
                <w:szCs w:val="24"/>
                <w:lang w:val="en-US" w:eastAsia="zh-CN"/>
              </w:rPr>
            </w:pPr>
            <w:r>
              <w:rPr>
                <w:rFonts w:hint="eastAsia" w:ascii="Times New Roman"/>
                <w:color w:val="auto"/>
                <w:position w:val="0"/>
                <w:sz w:val="24"/>
                <w:szCs w:val="24"/>
                <w:lang w:val="en-US" w:eastAsia="zh-CN"/>
              </w:rPr>
              <w:t>（2）废水</w:t>
            </w:r>
          </w:p>
          <w:p>
            <w:pPr>
              <w:pageBreakBefore w:val="0"/>
              <w:numPr>
                <w:ilvl w:val="0"/>
                <w:numId w:val="0"/>
              </w:numPr>
              <w:autoSpaceDE/>
              <w:autoSpaceDN/>
              <w:bidi w:val="0"/>
              <w:snapToGrid/>
              <w:spacing w:before="0" w:after="0" w:line="360" w:lineRule="auto"/>
              <w:ind w:right="0" w:firstLine="480" w:firstLineChars="200"/>
              <w:jc w:val="both"/>
              <w:rPr>
                <w:rFonts w:hint="eastAsia" w:ascii="Times New Roman" w:hAnsi="Times New Roman"/>
                <w:color w:val="auto"/>
                <w:position w:val="0"/>
                <w:sz w:val="24"/>
                <w:szCs w:val="24"/>
                <w:lang w:val="en-US" w:eastAsia="zh-CN"/>
              </w:rPr>
            </w:pPr>
            <w:r>
              <w:rPr>
                <w:rFonts w:hint="eastAsia" w:ascii="Times New Roman" w:hAnsi="Times New Roman" w:eastAsia="Times New Roman"/>
                <w:color w:val="auto"/>
                <w:position w:val="0"/>
                <w:sz w:val="24"/>
                <w:szCs w:val="24"/>
                <w:lang w:val="en-US" w:eastAsia="zh-CN"/>
              </w:rPr>
              <w:t>污水外排口CODcr</w:t>
            </w:r>
            <w:r>
              <w:rPr>
                <w:rFonts w:hint="default" w:ascii="Times New Roman" w:hAnsi="Times New Roman" w:eastAsia="Times New Roman"/>
                <w:color w:val="auto"/>
                <w:position w:val="0"/>
                <w:sz w:val="24"/>
                <w:szCs w:val="24"/>
              </w:rPr>
              <w:t>的</w:t>
            </w:r>
            <w:r>
              <w:rPr>
                <w:rFonts w:hint="eastAsia" w:ascii="Times New Roman" w:hAnsi="Times New Roman" w:eastAsia="宋体"/>
                <w:color w:val="auto"/>
                <w:position w:val="0"/>
                <w:sz w:val="24"/>
                <w:szCs w:val="24"/>
                <w:lang w:val="en-US" w:eastAsia="zh-CN"/>
              </w:rPr>
              <w:t>平均值排</w:t>
            </w:r>
            <w:r>
              <w:rPr>
                <w:rFonts w:hint="default" w:ascii="Times New Roman" w:hAnsi="Times New Roman" w:eastAsia="Times New Roman"/>
                <w:color w:val="auto"/>
                <w:position w:val="0"/>
                <w:sz w:val="24"/>
                <w:szCs w:val="24"/>
              </w:rPr>
              <w:t>放浓度为</w:t>
            </w:r>
            <w:r>
              <w:rPr>
                <w:rFonts w:hint="eastAsia" w:ascii="Times New Roman" w:hAnsi="Times New Roman" w:eastAsia="宋体"/>
                <w:color w:val="auto"/>
                <w:position w:val="0"/>
                <w:sz w:val="24"/>
                <w:szCs w:val="24"/>
                <w:lang w:val="en-US" w:eastAsia="zh-CN"/>
              </w:rPr>
              <w:t>155</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L；SS</w:t>
            </w:r>
            <w:r>
              <w:rPr>
                <w:rFonts w:hint="default" w:ascii="Times New Roman" w:hAnsi="Times New Roman" w:eastAsia="Times New Roman"/>
                <w:color w:val="auto"/>
                <w:position w:val="0"/>
                <w:sz w:val="24"/>
                <w:szCs w:val="24"/>
              </w:rPr>
              <w:t>的</w:t>
            </w:r>
            <w:r>
              <w:rPr>
                <w:rFonts w:hint="eastAsia" w:ascii="Times New Roman" w:hAnsi="Times New Roman" w:eastAsia="宋体"/>
                <w:color w:val="auto"/>
                <w:position w:val="0"/>
                <w:sz w:val="24"/>
                <w:szCs w:val="24"/>
                <w:lang w:val="en-US" w:eastAsia="zh-CN"/>
              </w:rPr>
              <w:t>平均值排</w:t>
            </w:r>
            <w:r>
              <w:rPr>
                <w:rFonts w:hint="default" w:ascii="Times New Roman" w:hAnsi="Times New Roman" w:eastAsia="Times New Roman"/>
                <w:color w:val="auto"/>
                <w:position w:val="0"/>
                <w:sz w:val="24"/>
                <w:szCs w:val="24"/>
              </w:rPr>
              <w:t>放浓度为</w:t>
            </w:r>
            <w:r>
              <w:rPr>
                <w:rFonts w:hint="eastAsia" w:ascii="Times New Roman" w:hAnsi="Times New Roman" w:eastAsia="宋体"/>
                <w:color w:val="auto"/>
                <w:position w:val="0"/>
                <w:sz w:val="24"/>
                <w:szCs w:val="24"/>
                <w:lang w:val="en-US" w:eastAsia="zh-CN"/>
              </w:rPr>
              <w:t>137</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L；氨氮</w:t>
            </w:r>
            <w:r>
              <w:rPr>
                <w:rFonts w:hint="default" w:ascii="Times New Roman" w:hAnsi="Times New Roman" w:eastAsia="Times New Roman"/>
                <w:color w:val="auto"/>
                <w:position w:val="0"/>
                <w:sz w:val="24"/>
                <w:szCs w:val="24"/>
              </w:rPr>
              <w:t>的</w:t>
            </w:r>
            <w:r>
              <w:rPr>
                <w:rFonts w:hint="eastAsia" w:ascii="Times New Roman" w:hAnsi="Times New Roman" w:eastAsia="宋体"/>
                <w:color w:val="auto"/>
                <w:position w:val="0"/>
                <w:sz w:val="24"/>
                <w:szCs w:val="24"/>
                <w:lang w:val="en-US" w:eastAsia="zh-CN"/>
              </w:rPr>
              <w:t>平均值排</w:t>
            </w:r>
            <w:r>
              <w:rPr>
                <w:rFonts w:hint="default" w:ascii="Times New Roman" w:hAnsi="Times New Roman" w:eastAsia="Times New Roman"/>
                <w:color w:val="auto"/>
                <w:position w:val="0"/>
                <w:sz w:val="24"/>
                <w:szCs w:val="24"/>
              </w:rPr>
              <w:t>放浓度为</w:t>
            </w:r>
            <w:r>
              <w:rPr>
                <w:rFonts w:hint="eastAsia" w:ascii="Times New Roman" w:hAnsi="Times New Roman" w:eastAsia="宋体"/>
                <w:color w:val="auto"/>
                <w:position w:val="0"/>
                <w:sz w:val="24"/>
                <w:szCs w:val="24"/>
                <w:lang w:val="en-US" w:eastAsia="zh-CN"/>
              </w:rPr>
              <w:t>8</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w:t>
            </w:r>
            <w:r>
              <w:rPr>
                <w:rFonts w:hint="eastAsia" w:ascii="Times New Roman" w:hAnsi="Times New Roman"/>
                <w:color w:val="auto"/>
                <w:position w:val="0"/>
                <w:sz w:val="24"/>
                <w:szCs w:val="24"/>
                <w:lang w:val="en-US" w:eastAsia="zh-CN"/>
              </w:rPr>
              <w:t>总磷</w:t>
            </w:r>
            <w:r>
              <w:rPr>
                <w:rFonts w:hint="default" w:ascii="Times New Roman" w:hAnsi="Times New Roman" w:eastAsia="Times New Roman"/>
                <w:color w:val="auto"/>
                <w:position w:val="0"/>
                <w:sz w:val="24"/>
                <w:szCs w:val="24"/>
              </w:rPr>
              <w:t>的</w:t>
            </w:r>
            <w:r>
              <w:rPr>
                <w:rFonts w:hint="eastAsia" w:ascii="Times New Roman" w:hAnsi="Times New Roman" w:eastAsia="宋体"/>
                <w:color w:val="auto"/>
                <w:position w:val="0"/>
                <w:sz w:val="24"/>
                <w:szCs w:val="24"/>
                <w:lang w:val="en-US" w:eastAsia="zh-CN"/>
              </w:rPr>
              <w:t>平均值排</w:t>
            </w:r>
            <w:r>
              <w:rPr>
                <w:rFonts w:hint="default" w:ascii="Times New Roman" w:hAnsi="Times New Roman" w:eastAsia="Times New Roman"/>
                <w:color w:val="auto"/>
                <w:position w:val="0"/>
                <w:sz w:val="24"/>
                <w:szCs w:val="24"/>
              </w:rPr>
              <w:t>放浓度为</w:t>
            </w:r>
            <w:r>
              <w:rPr>
                <w:rFonts w:hint="eastAsia" w:ascii="Times New Roman" w:hAnsi="Times New Roman" w:eastAsia="宋体"/>
                <w:color w:val="auto"/>
                <w:position w:val="0"/>
                <w:sz w:val="24"/>
                <w:szCs w:val="24"/>
                <w:lang w:val="en-US" w:eastAsia="zh-CN"/>
              </w:rPr>
              <w:t>7.58</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L；总氮</w:t>
            </w:r>
            <w:r>
              <w:rPr>
                <w:rFonts w:hint="eastAsia" w:ascii="Times New Roman" w:hAnsi="Times New Roman" w:eastAsia="宋体"/>
                <w:color w:val="auto"/>
                <w:position w:val="0"/>
                <w:sz w:val="24"/>
                <w:szCs w:val="24"/>
                <w:lang w:val="en-US" w:eastAsia="zh-CN"/>
              </w:rPr>
              <w:t>平均值排</w:t>
            </w:r>
            <w:r>
              <w:rPr>
                <w:rFonts w:hint="default" w:ascii="Times New Roman" w:hAnsi="Times New Roman" w:eastAsia="Times New Roman"/>
                <w:color w:val="auto"/>
                <w:position w:val="0"/>
                <w:sz w:val="24"/>
                <w:szCs w:val="24"/>
              </w:rPr>
              <w:t>放浓度为</w:t>
            </w:r>
            <w:r>
              <w:rPr>
                <w:rFonts w:hint="eastAsia" w:ascii="Times New Roman" w:hAnsi="Times New Roman" w:eastAsia="宋体"/>
                <w:color w:val="auto"/>
                <w:position w:val="0"/>
                <w:sz w:val="24"/>
                <w:szCs w:val="24"/>
                <w:lang w:eastAsia="zh-CN"/>
              </w:rPr>
              <w:t>：</w:t>
            </w:r>
            <w:r>
              <w:rPr>
                <w:rFonts w:hint="eastAsia" w:ascii="Times New Roman" w:hAnsi="Times New Roman" w:eastAsia="宋体"/>
                <w:color w:val="auto"/>
                <w:position w:val="0"/>
                <w:sz w:val="24"/>
                <w:szCs w:val="24"/>
                <w:lang w:val="en-US" w:eastAsia="zh-CN"/>
              </w:rPr>
              <w:t>13.2</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w:t>
            </w:r>
            <w:r>
              <w:rPr>
                <w:rFonts w:hint="eastAsia" w:ascii="Times New Roman" w:hAnsi="Times New Roman"/>
                <w:color w:val="auto"/>
                <w:position w:val="0"/>
                <w:sz w:val="24"/>
                <w:szCs w:val="24"/>
                <w:lang w:val="en-US" w:eastAsia="zh-CN"/>
              </w:rPr>
              <w:t>PH值</w:t>
            </w:r>
            <w:r>
              <w:rPr>
                <w:rFonts w:hint="default" w:ascii="Times New Roman" w:hAnsi="Times New Roman" w:eastAsia="Times New Roman"/>
                <w:color w:val="auto"/>
                <w:position w:val="0"/>
                <w:sz w:val="24"/>
                <w:szCs w:val="24"/>
              </w:rPr>
              <w:t>为</w:t>
            </w:r>
            <w:r>
              <w:rPr>
                <w:rFonts w:hint="eastAsia" w:ascii="Times New Roman" w:hAnsi="Times New Roman" w:eastAsia="宋体"/>
                <w:color w:val="auto"/>
                <w:position w:val="0"/>
                <w:sz w:val="24"/>
                <w:szCs w:val="24"/>
                <w:lang w:val="en-US" w:eastAsia="zh-CN"/>
              </w:rPr>
              <w:t>7.22-7.69</w:t>
            </w:r>
            <w:r>
              <w:rPr>
                <w:rFonts w:hint="eastAsia" w:ascii="Times New Roman" w:hAnsi="Times New Roman"/>
                <w:color w:val="auto"/>
                <w:position w:val="0"/>
                <w:sz w:val="24"/>
                <w:szCs w:val="24"/>
                <w:lang w:val="en-US" w:eastAsia="zh-CN"/>
              </w:rPr>
              <w:t>；阴离子表面活性剂</w:t>
            </w:r>
            <w:r>
              <w:rPr>
                <w:rFonts w:hint="eastAsia" w:ascii="Times New Roman" w:hAnsi="Times New Roman" w:eastAsia="宋体"/>
                <w:color w:val="auto"/>
                <w:position w:val="0"/>
                <w:sz w:val="24"/>
                <w:szCs w:val="24"/>
                <w:lang w:val="en-US" w:eastAsia="zh-CN"/>
              </w:rPr>
              <w:t>平均值排</w:t>
            </w:r>
            <w:r>
              <w:rPr>
                <w:rFonts w:hint="default" w:ascii="Times New Roman" w:hAnsi="Times New Roman" w:eastAsia="Times New Roman"/>
                <w:color w:val="auto"/>
                <w:position w:val="0"/>
                <w:sz w:val="24"/>
                <w:szCs w:val="24"/>
              </w:rPr>
              <w:t>放浓度为</w:t>
            </w:r>
            <w:r>
              <w:rPr>
                <w:rFonts w:hint="eastAsia" w:ascii="Times New Roman" w:hAnsi="Times New Roman" w:eastAsia="宋体"/>
                <w:color w:val="auto"/>
                <w:position w:val="0"/>
                <w:sz w:val="24"/>
                <w:szCs w:val="24"/>
                <w:lang w:val="en-US" w:eastAsia="zh-CN"/>
              </w:rPr>
              <w:t>0.064</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L；五日生化需氧量</w:t>
            </w:r>
            <w:r>
              <w:rPr>
                <w:rFonts w:hint="eastAsia" w:ascii="Times New Roman" w:hAnsi="Times New Roman" w:eastAsia="宋体"/>
                <w:color w:val="auto"/>
                <w:position w:val="0"/>
                <w:sz w:val="24"/>
                <w:szCs w:val="24"/>
                <w:lang w:val="en-US" w:eastAsia="zh-CN"/>
              </w:rPr>
              <w:t>平均值排</w:t>
            </w:r>
            <w:r>
              <w:rPr>
                <w:rFonts w:hint="default" w:ascii="Times New Roman" w:hAnsi="Times New Roman" w:eastAsia="Times New Roman"/>
                <w:color w:val="auto"/>
                <w:position w:val="0"/>
                <w:sz w:val="24"/>
                <w:szCs w:val="24"/>
              </w:rPr>
              <w:t>放浓度</w:t>
            </w:r>
            <w:r>
              <w:rPr>
                <w:rFonts w:hint="eastAsia" w:ascii="Times New Roman" w:hAnsi="Times New Roman" w:eastAsia="Times New Roman"/>
                <w:color w:val="auto"/>
                <w:position w:val="0"/>
                <w:sz w:val="24"/>
                <w:szCs w:val="24"/>
                <w:lang w:val="en-US" w:eastAsia="zh-CN"/>
              </w:rPr>
              <w:t>为：27.9</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w:t>
            </w:r>
            <w:r>
              <w:rPr>
                <w:rFonts w:hint="default" w:ascii="Times New Roman" w:hAnsi="Times New Roman" w:eastAsia="Times New Roman"/>
                <w:color w:val="auto"/>
                <w:position w:val="0"/>
                <w:sz w:val="24"/>
                <w:szCs w:val="24"/>
              </w:rPr>
              <w:t>均满足</w:t>
            </w:r>
            <w:r>
              <w:rPr>
                <w:rFonts w:hint="default" w:ascii="Times New Roman" w:hAnsi="宋体" w:eastAsia="宋体"/>
                <w:color w:val="auto"/>
                <w:position w:val="0"/>
                <w:sz w:val="24"/>
                <w:szCs w:val="24"/>
              </w:rPr>
              <w:t>《污水排入下城镇水道水质标准》（GB/T31962-2015）表1中B等级标准。</w:t>
            </w:r>
            <w:r>
              <w:rPr>
                <w:rFonts w:hint="eastAsia" w:ascii="Times New Roman" w:hAnsi="Times New Roman" w:eastAsia="Times New Roman"/>
                <w:color w:val="auto"/>
                <w:position w:val="0"/>
                <w:sz w:val="24"/>
                <w:szCs w:val="24"/>
                <w:lang w:val="en-US" w:eastAsia="zh-CN"/>
              </w:rPr>
              <w:t>（CODcr≤500mg/L</w:t>
            </w:r>
            <w:r>
              <w:rPr>
                <w:rFonts w:hint="default" w:ascii="Times New Roman" w:hAnsi="Times New Roman" w:eastAsia="Times New Roman"/>
                <w:color w:val="auto"/>
                <w:position w:val="0"/>
                <w:sz w:val="24"/>
                <w:szCs w:val="24"/>
              </w:rPr>
              <w:t>、</w:t>
            </w:r>
            <w:r>
              <w:rPr>
                <w:rFonts w:hint="eastAsia" w:ascii="Times New Roman" w:hAnsi="Times New Roman" w:eastAsia="宋体"/>
                <w:color w:val="auto"/>
                <w:position w:val="0"/>
                <w:sz w:val="24"/>
                <w:szCs w:val="24"/>
                <w:lang w:val="en-US" w:eastAsia="zh-CN"/>
              </w:rPr>
              <w:t>BOD5</w:t>
            </w:r>
            <w:r>
              <w:rPr>
                <w:rFonts w:hint="eastAsia" w:ascii="Times New Roman" w:hAnsi="Times New Roman" w:eastAsia="Times New Roman"/>
                <w:color w:val="auto"/>
                <w:position w:val="0"/>
                <w:sz w:val="24"/>
                <w:szCs w:val="24"/>
                <w:lang w:val="en-US" w:eastAsia="zh-CN"/>
              </w:rPr>
              <w:t>≤350mg/L、SS≤400mg/L、氨氮≤45mg/L</w:t>
            </w:r>
            <w:r>
              <w:rPr>
                <w:rFonts w:hint="eastAsia" w:ascii="Times New Roman" w:hAnsi="Times New Roman"/>
                <w:color w:val="auto"/>
                <w:position w:val="0"/>
                <w:sz w:val="24"/>
                <w:szCs w:val="24"/>
                <w:lang w:val="en-US" w:eastAsia="zh-CN"/>
              </w:rPr>
              <w:t>、总磷</w:t>
            </w:r>
            <w:r>
              <w:rPr>
                <w:rFonts w:hint="eastAsia" w:ascii="Times New Roman" w:hAnsi="Times New Roman" w:eastAsia="Times New Roman"/>
                <w:color w:val="auto"/>
                <w:position w:val="0"/>
                <w:sz w:val="24"/>
                <w:szCs w:val="24"/>
                <w:lang w:val="en-US" w:eastAsia="zh-CN"/>
              </w:rPr>
              <w:t>≤</w:t>
            </w:r>
            <w:r>
              <w:rPr>
                <w:rFonts w:hint="eastAsia" w:ascii="Times New Roman" w:hAnsi="Times New Roman"/>
                <w:color w:val="auto"/>
                <w:position w:val="0"/>
                <w:sz w:val="24"/>
                <w:szCs w:val="24"/>
                <w:lang w:val="en-US" w:eastAsia="zh-CN"/>
              </w:rPr>
              <w:t>8</w:t>
            </w:r>
            <w:r>
              <w:rPr>
                <w:rFonts w:hint="eastAsia" w:ascii="Times New Roman" w:hAnsi="Times New Roman" w:eastAsia="Times New Roman"/>
                <w:color w:val="auto"/>
                <w:position w:val="0"/>
                <w:sz w:val="24"/>
                <w:szCs w:val="24"/>
                <w:lang w:val="en-US" w:eastAsia="zh-CN"/>
              </w:rPr>
              <w:t>mg/L</w:t>
            </w:r>
            <w:r>
              <w:rPr>
                <w:rFonts w:hint="eastAsia" w:ascii="Times New Roman" w:hAnsi="Times New Roman"/>
                <w:color w:val="auto"/>
                <w:position w:val="0"/>
                <w:sz w:val="24"/>
                <w:szCs w:val="24"/>
                <w:lang w:val="en-US" w:eastAsia="zh-CN"/>
              </w:rPr>
              <w:t>、PH值6.5~9.5、阴离子表面活性剂</w:t>
            </w:r>
            <w:r>
              <w:rPr>
                <w:rFonts w:hint="eastAsia" w:ascii="Times New Roman" w:hAnsi="Times New Roman" w:eastAsia="Times New Roman"/>
                <w:color w:val="auto"/>
                <w:position w:val="0"/>
                <w:sz w:val="24"/>
                <w:szCs w:val="24"/>
                <w:lang w:val="en-US" w:eastAsia="zh-CN"/>
              </w:rPr>
              <w:t>≤20mg/L、总氮≤70mg/L）</w:t>
            </w:r>
            <w:r>
              <w:rPr>
                <w:rFonts w:hint="default" w:ascii="Times New Roman" w:hAnsi="Times New Roman" w:eastAsia="Times New Roman"/>
                <w:color w:val="auto"/>
                <w:position w:val="0"/>
                <w:sz w:val="24"/>
                <w:szCs w:val="24"/>
              </w:rPr>
              <w:t>。</w:t>
            </w:r>
            <w:r>
              <w:rPr>
                <w:rFonts w:hint="eastAsia" w:ascii="Times New Roman" w:hAnsi="Times New Roman" w:eastAsia="Times New Roman"/>
                <w:color w:val="auto"/>
                <w:position w:val="0"/>
                <w:sz w:val="24"/>
                <w:szCs w:val="24"/>
                <w:lang w:val="en-US" w:eastAsia="zh-CN"/>
              </w:rPr>
              <w:t>能够实现达标排放。</w:t>
            </w:r>
          </w:p>
          <w:p>
            <w:pPr>
              <w:pStyle w:val="73"/>
              <w:pageBreakBefore w:val="0"/>
              <w:numPr>
                <w:ilvl w:val="0"/>
                <w:numId w:val="0"/>
              </w:numPr>
              <w:autoSpaceDE/>
              <w:autoSpaceDN/>
              <w:bidi w:val="0"/>
              <w:snapToGrid/>
              <w:spacing w:before="0" w:after="160" w:line="360" w:lineRule="auto"/>
              <w:ind w:right="0" w:firstLine="480"/>
              <w:jc w:val="both"/>
              <w:rPr>
                <w:rFonts w:hint="default" w:ascii="Times New Roman" w:hAnsi="Times New Roman" w:eastAsia="Times New Roman"/>
                <w:color w:val="auto"/>
                <w:position w:val="0"/>
                <w:sz w:val="24"/>
                <w:szCs w:val="24"/>
              </w:rPr>
            </w:pPr>
            <w:r>
              <w:rPr>
                <w:rFonts w:hint="eastAsia" w:ascii="Times New Roman" w:hAnsi="Times New Roman"/>
                <w:color w:val="auto"/>
                <w:position w:val="0"/>
                <w:sz w:val="24"/>
                <w:szCs w:val="24"/>
                <w:lang w:eastAsia="zh-CN"/>
              </w:rPr>
              <w:t>（</w:t>
            </w:r>
            <w:r>
              <w:rPr>
                <w:rFonts w:hint="eastAsia" w:ascii="Times New Roman" w:hAnsi="Times New Roman"/>
                <w:color w:val="auto"/>
                <w:position w:val="0"/>
                <w:sz w:val="24"/>
                <w:szCs w:val="24"/>
                <w:lang w:val="en-US" w:eastAsia="zh-CN"/>
              </w:rPr>
              <w:t>3</w:t>
            </w:r>
            <w:r>
              <w:rPr>
                <w:rFonts w:hint="eastAsia" w:ascii="Times New Roman" w:hAnsi="Times New Roman"/>
                <w:color w:val="auto"/>
                <w:position w:val="0"/>
                <w:sz w:val="24"/>
                <w:szCs w:val="24"/>
                <w:lang w:eastAsia="zh-CN"/>
              </w:rPr>
              <w:t>）</w:t>
            </w:r>
            <w:r>
              <w:rPr>
                <w:rFonts w:hint="default" w:ascii="Times New Roman" w:hAnsi="Times New Roman" w:eastAsia="Times New Roman"/>
                <w:color w:val="auto"/>
                <w:position w:val="0"/>
                <w:sz w:val="24"/>
                <w:szCs w:val="24"/>
              </w:rPr>
              <w:t xml:space="preserve">噪声         </w:t>
            </w:r>
          </w:p>
          <w:p>
            <w:pPr>
              <w:pStyle w:val="73"/>
              <w:pageBreakBefore w:val="0"/>
              <w:numPr>
                <w:ilvl w:val="0"/>
                <w:numId w:val="0"/>
              </w:numPr>
              <w:autoSpaceDE/>
              <w:autoSpaceDN/>
              <w:bidi w:val="0"/>
              <w:snapToGrid/>
              <w:spacing w:before="0" w:after="160" w:line="360" w:lineRule="auto"/>
              <w:ind w:right="0" w:firstLine="480"/>
              <w:jc w:val="both"/>
              <w:rPr>
                <w:rFonts w:hint="default" w:ascii="Times New Roman" w:hAnsi="Times New Roman" w:eastAsia="Times New Roman"/>
                <w:color w:val="auto"/>
                <w:position w:val="0"/>
                <w:sz w:val="24"/>
                <w:szCs w:val="24"/>
              </w:rPr>
            </w:pPr>
            <w:r>
              <w:rPr>
                <w:rFonts w:hint="default" w:ascii="Times New Roman" w:hAnsi="Times New Roman" w:eastAsia="Times New Roman"/>
                <w:color w:val="auto"/>
                <w:position w:val="0"/>
                <w:sz w:val="24"/>
                <w:szCs w:val="24"/>
              </w:rPr>
              <w:t>经监测，</w:t>
            </w:r>
            <w:r>
              <w:rPr>
                <w:rFonts w:hint="eastAsia" w:ascii="宋体" w:hAnsi="宋体" w:eastAsia="宋体"/>
                <w:sz w:val="24"/>
                <w:szCs w:val="24"/>
              </w:rPr>
              <w:t>厂界昼间噪声最高值为</w:t>
            </w:r>
            <w:r>
              <w:rPr>
                <w:rFonts w:hint="eastAsia" w:ascii="宋体" w:hAnsi="宋体" w:eastAsia="宋体"/>
                <w:sz w:val="24"/>
                <w:szCs w:val="24"/>
                <w:lang w:val="en-US" w:eastAsia="zh-CN"/>
              </w:rPr>
              <w:t>58</w:t>
            </w:r>
            <w:r>
              <w:rPr>
                <w:rFonts w:ascii="宋体" w:hAnsi="宋体" w:eastAsia="宋体"/>
                <w:bCs/>
                <w:sz w:val="24"/>
                <w:szCs w:val="24"/>
              </w:rPr>
              <w:t>dB(A)</w:t>
            </w:r>
            <w:r>
              <w:rPr>
                <w:rFonts w:hint="eastAsia" w:ascii="宋体" w:hAnsi="宋体" w:eastAsia="宋体"/>
                <w:bCs/>
                <w:sz w:val="24"/>
                <w:szCs w:val="24"/>
              </w:rPr>
              <w:t>，小于</w:t>
            </w:r>
            <w:r>
              <w:rPr>
                <w:rFonts w:ascii="宋体" w:hAnsi="宋体" w:eastAsia="宋体"/>
                <w:bCs/>
                <w:sz w:val="24"/>
                <w:szCs w:val="24"/>
              </w:rPr>
              <w:t>6</w:t>
            </w:r>
            <w:r>
              <w:rPr>
                <w:rFonts w:hint="eastAsia" w:ascii="宋体" w:hAnsi="宋体" w:eastAsia="宋体"/>
                <w:bCs/>
                <w:sz w:val="24"/>
                <w:szCs w:val="24"/>
                <w:lang w:val="en-US" w:eastAsia="zh-CN"/>
              </w:rPr>
              <w:t>5</w:t>
            </w:r>
            <w:r>
              <w:rPr>
                <w:rFonts w:ascii="宋体" w:hAnsi="宋体" w:eastAsia="宋体"/>
                <w:bCs/>
                <w:sz w:val="24"/>
                <w:szCs w:val="24"/>
              </w:rPr>
              <w:t>dB(A)</w:t>
            </w:r>
            <w:r>
              <w:rPr>
                <w:rFonts w:hint="eastAsia" w:ascii="宋体" w:hAnsi="宋体" w:eastAsia="宋体"/>
                <w:bCs/>
                <w:sz w:val="24"/>
                <w:szCs w:val="24"/>
              </w:rPr>
              <w:t>；</w:t>
            </w:r>
            <w:r>
              <w:rPr>
                <w:rFonts w:hint="eastAsia" w:ascii="宋体" w:hAnsi="宋体" w:eastAsia="宋体"/>
                <w:sz w:val="24"/>
                <w:szCs w:val="24"/>
              </w:rPr>
              <w:t>夜间</w:t>
            </w:r>
            <w:r>
              <w:rPr>
                <w:rFonts w:hint="eastAsia" w:ascii="宋体" w:hAnsi="宋体" w:eastAsia="宋体"/>
                <w:sz w:val="24"/>
                <w:szCs w:val="24"/>
                <w:lang w:val="en-US" w:eastAsia="zh-CN"/>
              </w:rPr>
              <w:t>不生产</w:t>
            </w:r>
            <w:r>
              <w:rPr>
                <w:rFonts w:hint="eastAsia" w:ascii="宋体" w:hAnsi="宋体" w:eastAsia="宋体"/>
                <w:bCs/>
                <w:sz w:val="24"/>
                <w:szCs w:val="24"/>
              </w:rPr>
              <w:t>。</w:t>
            </w:r>
            <w:r>
              <w:rPr>
                <w:rFonts w:hint="default" w:ascii="Times New Roman" w:hAnsi="Times New Roman" w:eastAsia="Times New Roman"/>
                <w:color w:val="auto"/>
                <w:position w:val="0"/>
                <w:sz w:val="24"/>
                <w:szCs w:val="24"/>
              </w:rPr>
              <w:t>，满足《工业企业厂界环境噪声排放标准》（GB12348-2008）中的</w:t>
            </w:r>
            <w:r>
              <w:rPr>
                <w:rFonts w:hint="eastAsia" w:ascii="Times New Roman" w:hAnsi="Times New Roman" w:eastAsia="宋体"/>
                <w:color w:val="auto"/>
                <w:position w:val="0"/>
                <w:sz w:val="24"/>
                <w:szCs w:val="24"/>
                <w:lang w:val="en-US" w:eastAsia="zh-CN"/>
              </w:rPr>
              <w:t>3</w:t>
            </w:r>
            <w:r>
              <w:rPr>
                <w:rFonts w:hint="default" w:ascii="Times New Roman" w:hAnsi="Times New Roman" w:eastAsia="Times New Roman"/>
                <w:color w:val="auto"/>
                <w:position w:val="0"/>
                <w:sz w:val="24"/>
                <w:szCs w:val="24"/>
              </w:rPr>
              <w:t>类标准要求。</w:t>
            </w:r>
          </w:p>
          <w:p>
            <w:pPr>
              <w:pageBreakBefore w:val="0"/>
              <w:numPr>
                <w:ilvl w:val="0"/>
                <w:numId w:val="0"/>
              </w:numPr>
              <w:autoSpaceDE w:val="0"/>
              <w:autoSpaceDN w:val="0"/>
              <w:bidi w:val="0"/>
              <w:snapToGrid w:val="0"/>
              <w:spacing w:before="0" w:after="0" w:line="360" w:lineRule="auto"/>
              <w:ind w:right="0" w:firstLine="480"/>
              <w:jc w:val="left"/>
              <w:rPr>
                <w:rFonts w:hint="default" w:ascii="Times New Roman" w:hAnsi="Times New Roman" w:eastAsia="Times New Roman"/>
                <w:color w:val="auto"/>
                <w:position w:val="0"/>
                <w:sz w:val="24"/>
                <w:szCs w:val="24"/>
              </w:rPr>
            </w:pPr>
            <w:r>
              <w:rPr>
                <w:rFonts w:hint="eastAsia" w:ascii="Times New Roman" w:hAnsi="Times New Roman" w:eastAsia="宋体"/>
                <w:color w:val="auto"/>
                <w:position w:val="0"/>
                <w:sz w:val="24"/>
                <w:szCs w:val="24"/>
                <w:lang w:eastAsia="zh-CN"/>
              </w:rPr>
              <w:t>（</w:t>
            </w:r>
            <w:r>
              <w:rPr>
                <w:rFonts w:hint="eastAsia" w:ascii="Times New Roman" w:hAnsi="Times New Roman" w:eastAsia="宋体"/>
                <w:color w:val="auto"/>
                <w:position w:val="0"/>
                <w:sz w:val="24"/>
                <w:szCs w:val="24"/>
                <w:lang w:val="en-US" w:eastAsia="zh-CN"/>
              </w:rPr>
              <w:t>4</w:t>
            </w:r>
            <w:r>
              <w:rPr>
                <w:rFonts w:hint="eastAsia" w:ascii="Times New Roman" w:hAnsi="Times New Roman" w:eastAsia="宋体"/>
                <w:color w:val="auto"/>
                <w:position w:val="0"/>
                <w:sz w:val="24"/>
                <w:szCs w:val="24"/>
                <w:lang w:eastAsia="zh-CN"/>
              </w:rPr>
              <w:t>）</w:t>
            </w:r>
            <w:r>
              <w:rPr>
                <w:rFonts w:hint="default" w:ascii="Times New Roman" w:hAnsi="Times New Roman" w:eastAsia="Times New Roman"/>
                <w:color w:val="auto"/>
                <w:position w:val="0"/>
                <w:sz w:val="24"/>
                <w:szCs w:val="24"/>
              </w:rPr>
              <w:t>固废</w:t>
            </w:r>
          </w:p>
          <w:p>
            <w:pPr>
              <w:numPr>
                <w:ilvl w:val="0"/>
                <w:numId w:val="0"/>
              </w:numPr>
              <w:autoSpaceDE/>
              <w:autoSpaceDN/>
              <w:snapToGrid w:val="0"/>
              <w:spacing w:before="0" w:after="0" w:line="360" w:lineRule="auto"/>
              <w:ind w:right="0" w:firstLine="480"/>
              <w:jc w:val="both"/>
              <w:rPr>
                <w:rFonts w:hint="default" w:ascii="Times New Roman" w:hAnsi="Times New Roman" w:eastAsia="Times New Roman" w:cs="宋体"/>
                <w:color w:val="auto"/>
                <w:w w:val="100"/>
                <w:position w:val="0"/>
                <w:sz w:val="24"/>
                <w:szCs w:val="24"/>
                <w:shd w:val="clear"/>
              </w:rPr>
            </w:pPr>
            <w:r>
              <w:rPr>
                <w:rFonts w:hint="default" w:ascii="Times New Roman" w:hAnsi="Times New Roman" w:eastAsia="Times New Roman" w:cs="宋体"/>
                <w:color w:val="auto"/>
                <w:w w:val="100"/>
                <w:position w:val="0"/>
                <w:sz w:val="24"/>
                <w:szCs w:val="24"/>
                <w:shd w:val="clear"/>
                <w:lang w:val="en-US" w:eastAsia="zh-CN"/>
              </w:rPr>
              <w:t>经核实，</w:t>
            </w:r>
            <w:r>
              <w:rPr>
                <w:rFonts w:hint="default" w:ascii="Times New Roman" w:hAnsi="Times New Roman" w:eastAsia="Times New Roman" w:cs="宋体"/>
                <w:color w:val="auto"/>
                <w:w w:val="100"/>
                <w:position w:val="0"/>
                <w:sz w:val="24"/>
                <w:szCs w:val="24"/>
                <w:shd w:val="clear"/>
                <w:lang w:val="zh-CN" w:eastAsia="zh-CN"/>
              </w:rPr>
              <w:t>下脚料、废包装物收集后外售综合利用;污水处理站污泥交由污泥处置单位进行安全处置。化学试剂桶、废润滑油/桶、废活性炭属于危险废物，须交由有相关资质的单位进行处理，并执行联单转移制度;生活垃圾收集后由环卫部门统</w:t>
            </w:r>
            <w:r>
              <w:rPr>
                <w:rFonts w:hint="eastAsia" w:ascii="Times New Roman" w:hAnsi="Times New Roman" w:eastAsia="Times New Roman" w:cs="宋体"/>
                <w:color w:val="auto"/>
                <w:w w:val="100"/>
                <w:position w:val="0"/>
                <w:sz w:val="24"/>
                <w:szCs w:val="24"/>
                <w:shd w:val="clear"/>
                <w:lang w:val="en-US" w:eastAsia="zh-CN"/>
              </w:rPr>
              <w:t>一</w:t>
            </w:r>
            <w:r>
              <w:rPr>
                <w:rFonts w:hint="default" w:ascii="Times New Roman" w:hAnsi="Times New Roman" w:eastAsia="Times New Roman" w:cs="宋体"/>
                <w:color w:val="auto"/>
                <w:w w:val="100"/>
                <w:position w:val="0"/>
                <w:sz w:val="24"/>
                <w:szCs w:val="24"/>
                <w:shd w:val="clear"/>
                <w:lang w:val="zh-CN" w:eastAsia="zh-CN"/>
              </w:rPr>
              <w:t>处理</w:t>
            </w:r>
            <w:r>
              <w:rPr>
                <w:rFonts w:hint="eastAsia" w:ascii="Times New Roman" w:hAnsi="Times New Roman" w:eastAsia="Times New Roman" w:cs="宋体"/>
                <w:color w:val="auto"/>
                <w:w w:val="100"/>
                <w:position w:val="0"/>
                <w:sz w:val="24"/>
                <w:szCs w:val="24"/>
                <w:shd w:val="clear"/>
                <w:lang w:val="zh-CN" w:eastAsia="zh-CN"/>
              </w:rPr>
              <w:t>。</w:t>
            </w:r>
          </w:p>
          <w:p>
            <w:pPr>
              <w:pStyle w:val="7"/>
              <w:pageBreakBefore w:val="0"/>
              <w:numPr>
                <w:ilvl w:val="0"/>
                <w:numId w:val="0"/>
              </w:numPr>
              <w:autoSpaceDE/>
              <w:autoSpaceDN/>
              <w:bidi w:val="0"/>
              <w:snapToGrid w:val="0"/>
              <w:spacing w:before="0" w:after="0" w:line="360" w:lineRule="auto"/>
              <w:ind w:right="0" w:firstLine="480"/>
              <w:jc w:val="left"/>
              <w:outlineLvl w:val="1"/>
              <w:rPr>
                <w:rFonts w:hint="default" w:ascii="宋体" w:hAnsi="宋体" w:eastAsia="宋体"/>
                <w:b w:val="0"/>
                <w:color w:val="auto"/>
                <w:position w:val="0"/>
                <w:sz w:val="24"/>
                <w:szCs w:val="24"/>
              </w:rPr>
            </w:pPr>
            <w:r>
              <w:rPr>
                <w:rFonts w:hint="eastAsia" w:ascii="宋体" w:hAnsi="宋体" w:eastAsia="宋体"/>
                <w:b w:val="0"/>
                <w:color w:val="auto"/>
                <w:position w:val="0"/>
                <w:sz w:val="24"/>
                <w:szCs w:val="24"/>
                <w:lang w:val="en-US" w:eastAsia="zh-CN"/>
              </w:rPr>
              <w:t>9</w:t>
            </w:r>
            <w:r>
              <w:rPr>
                <w:rFonts w:hint="default" w:ascii="宋体" w:hAnsi="宋体" w:eastAsia="宋体"/>
                <w:b w:val="0"/>
                <w:color w:val="auto"/>
                <w:position w:val="0"/>
                <w:sz w:val="24"/>
                <w:szCs w:val="24"/>
              </w:rPr>
              <w:t>、验收监测期间工况调查</w:t>
            </w:r>
          </w:p>
          <w:p>
            <w:pPr>
              <w:pageBreakBefore w:val="0"/>
              <w:numPr>
                <w:ilvl w:val="0"/>
                <w:numId w:val="0"/>
              </w:numPr>
              <w:autoSpaceDE/>
              <w:autoSpaceDN/>
              <w:bidi w:val="0"/>
              <w:snapToGrid w:val="0"/>
              <w:spacing w:before="0" w:after="0" w:line="360" w:lineRule="auto"/>
              <w:ind w:right="0" w:firstLine="480"/>
              <w:jc w:val="left"/>
              <w:rPr>
                <w:rFonts w:hint="default" w:ascii="Times New Roman" w:hAnsi="Times New Roman" w:eastAsia="Times New Roman"/>
                <w:color w:val="auto"/>
                <w:position w:val="0"/>
                <w:sz w:val="24"/>
                <w:szCs w:val="24"/>
              </w:rPr>
            </w:pPr>
            <w:r>
              <w:rPr>
                <w:rFonts w:hint="default" w:ascii="Times New Roman" w:hAnsi="Times New Roman" w:eastAsia="Times New Roman"/>
                <w:color w:val="auto"/>
                <w:position w:val="0"/>
                <w:sz w:val="24"/>
                <w:szCs w:val="24"/>
              </w:rPr>
              <w:t>通过调查，验收监测期间，</w:t>
            </w:r>
            <w:r>
              <w:rPr>
                <w:rFonts w:hint="eastAsia" w:ascii="宋体" w:hAnsi="宋体" w:eastAsia="宋体"/>
                <w:color w:val="auto"/>
                <w:position w:val="0"/>
                <w:sz w:val="24"/>
                <w:szCs w:val="24"/>
                <w:lang w:val="en-US" w:eastAsia="zh-CN"/>
              </w:rPr>
              <w:t>鄄城龙欣宝典发制品有限公司</w:t>
            </w:r>
            <w:r>
              <w:rPr>
                <w:rFonts w:hint="eastAsia" w:ascii="Times New Roman" w:hAnsi="宋体" w:eastAsia="宋体" w:cs="宋体"/>
                <w:color w:val="auto"/>
                <w:position w:val="0"/>
                <w:sz w:val="24"/>
                <w:szCs w:val="24"/>
                <w:lang w:val="en-US" w:eastAsia="zh-CN"/>
              </w:rPr>
              <w:t>年产800万件人发制品项目 （二期）年产200吨发制品</w:t>
            </w:r>
            <w:r>
              <w:rPr>
                <w:rFonts w:hint="default" w:ascii="Times New Roman" w:hAnsi="Times New Roman" w:eastAsia="Times New Roman"/>
                <w:color w:val="auto"/>
                <w:position w:val="0"/>
                <w:sz w:val="24"/>
                <w:szCs w:val="24"/>
              </w:rPr>
              <w:t>工况较稳定，该项目在现场</w:t>
            </w:r>
            <w:r>
              <w:rPr>
                <w:rFonts w:hint="eastAsia" w:ascii="Times New Roman" w:hAnsi="Times New Roman" w:eastAsia="宋体"/>
                <w:color w:val="auto"/>
                <w:position w:val="0"/>
                <w:sz w:val="24"/>
                <w:szCs w:val="24"/>
                <w:lang w:val="en-US" w:eastAsia="zh-CN"/>
              </w:rPr>
              <w:t>正常生产</w:t>
            </w:r>
            <w:r>
              <w:rPr>
                <w:rFonts w:hint="default" w:ascii="Times New Roman" w:hAnsi="Times New Roman" w:eastAsia="Times New Roman"/>
                <w:color w:val="auto"/>
                <w:position w:val="0"/>
                <w:sz w:val="24"/>
                <w:szCs w:val="24"/>
              </w:rPr>
              <w:t>，符合验收监测对工况的要求。因此本次监测期间的工况为有效工况，监测结果具有代表性，能够作为该项目竣工环境保护验收依据。</w:t>
            </w:r>
          </w:p>
          <w:p>
            <w:pPr>
              <w:pStyle w:val="7"/>
              <w:pageBreakBefore w:val="0"/>
              <w:numPr>
                <w:ilvl w:val="0"/>
                <w:numId w:val="0"/>
              </w:numPr>
              <w:autoSpaceDE/>
              <w:autoSpaceDN/>
              <w:bidi w:val="0"/>
              <w:snapToGrid w:val="0"/>
              <w:spacing w:before="0" w:after="0" w:line="360" w:lineRule="auto"/>
              <w:ind w:right="0" w:firstLine="480"/>
              <w:jc w:val="left"/>
              <w:outlineLvl w:val="1"/>
              <w:rPr>
                <w:rFonts w:hint="default" w:ascii="Times New Roman" w:hAnsi="Times New Roman" w:eastAsia="Times New Roman"/>
                <w:b w:val="0"/>
                <w:color w:val="auto"/>
                <w:position w:val="0"/>
                <w:sz w:val="28"/>
                <w:szCs w:val="28"/>
              </w:rPr>
            </w:pPr>
            <w:bookmarkStart w:id="36" w:name="_Toc920"/>
            <w:bookmarkStart w:id="37" w:name="_Toc9405"/>
            <w:bookmarkStart w:id="38" w:name="_Toc30208"/>
            <w:bookmarkStart w:id="39" w:name="_Toc5585"/>
            <w:r>
              <w:rPr>
                <w:rFonts w:hint="eastAsia" w:ascii="Times New Roman" w:hAnsi="Times New Roman" w:eastAsia="宋体"/>
                <w:b w:val="0"/>
                <w:color w:val="auto"/>
                <w:position w:val="0"/>
                <w:sz w:val="24"/>
                <w:szCs w:val="24"/>
                <w:lang w:val="en-US" w:eastAsia="zh-CN"/>
              </w:rPr>
              <w:t>10</w:t>
            </w:r>
            <w:r>
              <w:rPr>
                <w:rFonts w:hint="default" w:ascii="Times New Roman" w:hAnsi="Times New Roman" w:eastAsia="Times New Roman"/>
                <w:b w:val="0"/>
                <w:color w:val="auto"/>
                <w:position w:val="0"/>
                <w:sz w:val="24"/>
                <w:szCs w:val="24"/>
              </w:rPr>
              <w:t>、总量控制</w:t>
            </w:r>
            <w:bookmarkEnd w:id="36"/>
            <w:bookmarkEnd w:id="37"/>
            <w:bookmarkEnd w:id="38"/>
            <w:bookmarkEnd w:id="39"/>
          </w:p>
          <w:p>
            <w:pPr>
              <w:pStyle w:val="45"/>
              <w:keepNext w:val="0"/>
              <w:keepLines w:val="0"/>
              <w:pageBreakBefore w:val="0"/>
              <w:numPr>
                <w:ilvl w:val="0"/>
                <w:numId w:val="0"/>
              </w:numPr>
              <w:kinsoku/>
              <w:overflowPunct/>
              <w:topLinePunct w:val="0"/>
              <w:autoSpaceDE w:val="0"/>
              <w:autoSpaceDN w:val="0"/>
              <w:bidi w:val="0"/>
              <w:adjustRightInd/>
              <w:snapToGrid/>
              <w:spacing w:before="0" w:line="360" w:lineRule="auto"/>
              <w:ind w:right="0" w:firstLine="480" w:firstLineChars="200"/>
              <w:jc w:val="both"/>
              <w:textAlignment w:val="auto"/>
              <w:rPr>
                <w:rFonts w:hint="default" w:ascii="Times New Roman" w:hAnsi="宋体" w:eastAsia="宋体" w:cs="宋体"/>
                <w:b w:val="0"/>
                <w:color w:val="auto"/>
                <w:w w:val="100"/>
                <w:position w:val="0"/>
                <w:sz w:val="24"/>
                <w:szCs w:val="24"/>
                <w:shd w:val="clear"/>
                <w:lang w:val="zh-CN" w:eastAsia="zh-CN"/>
              </w:rPr>
            </w:pPr>
            <w:bookmarkStart w:id="40" w:name="_Toc27216"/>
            <w:bookmarkStart w:id="41" w:name="_Toc15793"/>
            <w:bookmarkStart w:id="42" w:name="_Toc3753"/>
            <w:bookmarkStart w:id="43" w:name="_Toc10603"/>
            <w:r>
              <w:rPr>
                <w:rFonts w:hint="default" w:ascii="Times New Roman" w:hAnsi="宋体" w:eastAsia="宋体" w:cs="宋体"/>
                <w:b w:val="0"/>
                <w:color w:val="auto"/>
                <w:w w:val="100"/>
                <w:position w:val="0"/>
                <w:sz w:val="24"/>
                <w:szCs w:val="24"/>
                <w:shd w:val="clear"/>
                <w:lang w:val="zh-CN" w:eastAsia="zh-CN"/>
              </w:rPr>
              <w:t>项目运营期无S</w:t>
            </w:r>
            <w:r>
              <w:rPr>
                <w:rFonts w:hint="default" w:ascii="Times New Roman" w:hAnsi="宋体" w:eastAsia="宋体" w:cs="宋体"/>
                <w:b w:val="0"/>
                <w:color w:val="auto"/>
                <w:w w:val="100"/>
                <w:position w:val="0"/>
                <w:sz w:val="24"/>
                <w:szCs w:val="24"/>
                <w:shd w:val="clear"/>
                <w:lang w:val="en-US" w:eastAsia="zh-CN"/>
              </w:rPr>
              <w:t>O</w:t>
            </w:r>
            <w:r>
              <w:rPr>
                <w:rFonts w:hint="default" w:ascii="Times New Roman" w:hAnsi="宋体" w:eastAsia="宋体" w:cs="宋体"/>
                <w:b w:val="0"/>
                <w:color w:val="auto"/>
                <w:w w:val="100"/>
                <w:position w:val="0"/>
                <w:sz w:val="24"/>
                <w:szCs w:val="24"/>
                <w:shd w:val="clear"/>
                <w:lang w:val="en-US" w:eastAsia="en-US"/>
              </w:rPr>
              <w:t>2</w:t>
            </w:r>
            <w:r>
              <w:rPr>
                <w:rFonts w:hint="default" w:ascii="Times New Roman" w:hAnsi="宋体" w:eastAsia="宋体" w:cs="宋体"/>
                <w:b w:val="0"/>
                <w:color w:val="auto"/>
                <w:w w:val="100"/>
                <w:position w:val="0"/>
                <w:sz w:val="24"/>
                <w:szCs w:val="24"/>
                <w:shd w:val="clear"/>
                <w:lang w:val="zh-CN" w:eastAsia="zh-CN"/>
              </w:rPr>
              <w:t>和NOx产生，因此不考虑对其S</w:t>
            </w:r>
            <w:r>
              <w:rPr>
                <w:rFonts w:hint="default" w:ascii="Times New Roman" w:hAnsi="宋体" w:eastAsia="宋体" w:cs="宋体"/>
                <w:b w:val="0"/>
                <w:color w:val="auto"/>
                <w:w w:val="100"/>
                <w:position w:val="0"/>
                <w:sz w:val="24"/>
                <w:szCs w:val="24"/>
                <w:shd w:val="clear"/>
                <w:lang w:val="en-US" w:eastAsia="en-US"/>
              </w:rPr>
              <w:t>02</w:t>
            </w:r>
            <w:r>
              <w:rPr>
                <w:rFonts w:hint="default" w:ascii="Times New Roman" w:hAnsi="宋体" w:eastAsia="宋体" w:cs="宋体"/>
                <w:b w:val="0"/>
                <w:color w:val="auto"/>
                <w:w w:val="100"/>
                <w:position w:val="0"/>
                <w:sz w:val="24"/>
                <w:szCs w:val="24"/>
                <w:shd w:val="clear"/>
                <w:lang w:val="zh-CN" w:eastAsia="zh-CN"/>
              </w:rPr>
              <w:t>和NOx总置进行控制。</w:t>
            </w:r>
          </w:p>
          <w:p>
            <w:pPr>
              <w:pStyle w:val="45"/>
              <w:keepNext w:val="0"/>
              <w:keepLines w:val="0"/>
              <w:pageBreakBefore w:val="0"/>
              <w:numPr>
                <w:ilvl w:val="0"/>
                <w:numId w:val="0"/>
              </w:numPr>
              <w:kinsoku/>
              <w:overflowPunct/>
              <w:topLinePunct w:val="0"/>
              <w:autoSpaceDE w:val="0"/>
              <w:autoSpaceDN w:val="0"/>
              <w:bidi w:val="0"/>
              <w:adjustRightInd/>
              <w:snapToGrid/>
              <w:spacing w:before="0" w:line="360" w:lineRule="auto"/>
              <w:ind w:right="0" w:firstLine="480" w:firstLineChars="200"/>
              <w:jc w:val="both"/>
              <w:textAlignment w:val="auto"/>
              <w:rPr>
                <w:rFonts w:hint="default" w:ascii="Times New Roman" w:hAnsi="宋体" w:eastAsia="宋体" w:cs="宋体"/>
                <w:b w:val="0"/>
                <w:color w:val="auto"/>
                <w:w w:val="100"/>
                <w:position w:val="0"/>
                <w:sz w:val="24"/>
                <w:szCs w:val="24"/>
                <w:shd w:val="clear"/>
                <w:lang w:val="zh-CN" w:eastAsia="zh-CN"/>
              </w:rPr>
            </w:pPr>
            <w:r>
              <w:rPr>
                <w:rFonts w:hint="default" w:ascii="Times New Roman" w:hAnsi="宋体" w:eastAsia="宋体" w:cs="宋体"/>
                <w:b w:val="0"/>
                <w:color w:val="auto"/>
                <w:w w:val="100"/>
                <w:position w:val="0"/>
                <w:sz w:val="24"/>
                <w:szCs w:val="24"/>
                <w:shd w:val="clear"/>
                <w:lang w:val="zh-CN" w:eastAsia="zh-CN"/>
              </w:rPr>
              <w:t>建设项目废水经厂区污水处理站预处理达《污水排入城镇下水道水质标准》 (GB</w:t>
            </w:r>
            <w:r>
              <w:rPr>
                <w:rFonts w:hint="default" w:ascii="Times New Roman" w:hAnsi="宋体" w:eastAsia="宋体" w:cs="宋体"/>
                <w:b w:val="0"/>
                <w:color w:val="auto"/>
                <w:w w:val="100"/>
                <w:position w:val="0"/>
                <w:sz w:val="24"/>
                <w:szCs w:val="24"/>
                <w:shd w:val="clear"/>
                <w:lang w:val="en-US" w:eastAsia="zh-CN"/>
              </w:rPr>
              <w:t>/T</w:t>
            </w:r>
            <w:r>
              <w:rPr>
                <w:rFonts w:hint="default" w:ascii="Times New Roman" w:hAnsi="宋体" w:eastAsia="宋体" w:cs="宋体"/>
                <w:b w:val="0"/>
                <w:color w:val="auto"/>
                <w:w w:val="100"/>
                <w:position w:val="0"/>
                <w:sz w:val="24"/>
                <w:szCs w:val="24"/>
                <w:shd w:val="clear"/>
                <w:lang w:val="zh-CN" w:eastAsia="zh-CN"/>
              </w:rPr>
              <w:t xml:space="preserve"> </w:t>
            </w:r>
            <w:r>
              <w:rPr>
                <w:rFonts w:hint="default" w:ascii="Times New Roman" w:hAnsi="宋体" w:eastAsia="宋体" w:cs="宋体"/>
                <w:b w:val="0"/>
                <w:color w:val="auto"/>
                <w:w w:val="100"/>
                <w:position w:val="0"/>
                <w:sz w:val="24"/>
                <w:szCs w:val="24"/>
                <w:shd w:val="clear"/>
                <w:lang w:val="en-US" w:eastAsia="en-US"/>
              </w:rPr>
              <w:t>31962-2015)</w:t>
            </w:r>
            <w:r>
              <w:rPr>
                <w:rFonts w:hint="default" w:ascii="Times New Roman" w:hAnsi="宋体" w:eastAsia="宋体" w:cs="宋体"/>
                <w:b w:val="0"/>
                <w:color w:val="auto"/>
                <w:w w:val="100"/>
                <w:position w:val="0"/>
                <w:sz w:val="24"/>
                <w:szCs w:val="24"/>
                <w:shd w:val="clear"/>
                <w:lang w:val="zh-CN" w:eastAsia="zh-CN"/>
              </w:rPr>
              <w:t>表</w:t>
            </w:r>
            <w:r>
              <w:rPr>
                <w:rFonts w:hint="default" w:ascii="Times New Roman" w:hAnsi="宋体" w:eastAsia="宋体" w:cs="宋体"/>
                <w:b w:val="0"/>
                <w:color w:val="auto"/>
                <w:w w:val="100"/>
                <w:position w:val="0"/>
                <w:sz w:val="24"/>
                <w:szCs w:val="24"/>
                <w:shd w:val="clear"/>
                <w:lang w:val="en-US" w:eastAsia="en-US"/>
              </w:rPr>
              <w:t>1</w:t>
            </w:r>
            <w:r>
              <w:rPr>
                <w:rFonts w:hint="default" w:ascii="Times New Roman" w:hAnsi="宋体" w:eastAsia="宋体" w:cs="宋体"/>
                <w:b w:val="0"/>
                <w:color w:val="auto"/>
                <w:w w:val="100"/>
                <w:position w:val="0"/>
                <w:sz w:val="24"/>
                <w:szCs w:val="24"/>
                <w:shd w:val="clear"/>
                <w:lang w:val="zh-CN" w:eastAsia="zh-CN"/>
              </w:rPr>
              <w:t>中B等级标准及污水处理厂接管要求，经市政污水管网排至</w:t>
            </w:r>
            <w:r>
              <w:rPr>
                <w:rFonts w:hint="eastAsia" w:ascii="Times New Roman" w:hAnsi="宋体" w:eastAsia="宋体" w:cs="宋体"/>
                <w:b w:val="0"/>
                <w:color w:val="auto"/>
                <w:w w:val="100"/>
                <w:position w:val="0"/>
                <w:sz w:val="24"/>
                <w:szCs w:val="24"/>
                <w:shd w:val="clear"/>
                <w:lang w:val="en-US" w:eastAsia="zh-CN"/>
              </w:rPr>
              <w:t>鄄城县</w:t>
            </w:r>
            <w:r>
              <w:rPr>
                <w:rFonts w:hint="eastAsia" w:ascii="Times New Roman" w:cs="宋体"/>
                <w:b w:val="0"/>
                <w:color w:val="auto"/>
                <w:w w:val="100"/>
                <w:position w:val="0"/>
                <w:sz w:val="24"/>
                <w:szCs w:val="24"/>
                <w:shd w:val="clear"/>
                <w:lang w:val="en-US" w:eastAsia="zh-CN"/>
              </w:rPr>
              <w:t>第二</w:t>
            </w:r>
            <w:r>
              <w:rPr>
                <w:rFonts w:hint="eastAsia" w:ascii="Times New Roman" w:hAnsi="宋体" w:eastAsia="宋体" w:cs="宋体"/>
                <w:b w:val="0"/>
                <w:color w:val="auto"/>
                <w:w w:val="100"/>
                <w:position w:val="0"/>
                <w:sz w:val="24"/>
                <w:szCs w:val="24"/>
                <w:shd w:val="clear"/>
                <w:lang w:val="en-US" w:eastAsia="zh-CN"/>
              </w:rPr>
              <w:t>污水处理厂</w:t>
            </w:r>
            <w:r>
              <w:rPr>
                <w:rFonts w:hint="default" w:ascii="Times New Roman" w:hAnsi="宋体" w:eastAsia="宋体" w:cs="宋体"/>
                <w:b w:val="0"/>
                <w:color w:val="auto"/>
                <w:w w:val="100"/>
                <w:position w:val="0"/>
                <w:sz w:val="24"/>
                <w:szCs w:val="24"/>
                <w:shd w:val="clear"/>
                <w:lang w:val="zh-CN" w:eastAsia="zh-CN"/>
              </w:rPr>
              <w:t>。本项目产生的COD</w:t>
            </w:r>
            <w:r>
              <w:rPr>
                <w:rFonts w:hint="default" w:ascii="Times New Roman" w:hAnsi="宋体" w:eastAsia="宋体" w:cs="宋体"/>
                <w:b w:val="0"/>
                <w:color w:val="auto"/>
                <w:w w:val="100"/>
                <w:position w:val="0"/>
                <w:sz w:val="24"/>
                <w:szCs w:val="24"/>
                <w:shd w:val="clear"/>
                <w:lang w:val="en-US" w:eastAsia="en-US"/>
              </w:rPr>
              <w:t>、</w:t>
            </w:r>
            <w:r>
              <w:rPr>
                <w:rFonts w:hint="default" w:ascii="Times New Roman" w:hAnsi="宋体" w:eastAsia="宋体" w:cs="宋体"/>
                <w:b w:val="0"/>
                <w:color w:val="auto"/>
                <w:w w:val="100"/>
                <w:position w:val="0"/>
                <w:sz w:val="24"/>
                <w:szCs w:val="24"/>
                <w:shd w:val="clear"/>
                <w:lang w:val="zh-CN" w:eastAsia="zh-CN"/>
              </w:rPr>
              <w:t>氨氮已包含在</w:t>
            </w:r>
            <w:r>
              <w:rPr>
                <w:rFonts w:hint="eastAsia" w:ascii="Times New Roman" w:hAnsi="宋体" w:eastAsia="宋体" w:cs="宋体"/>
                <w:b w:val="0"/>
                <w:color w:val="auto"/>
                <w:w w:val="100"/>
                <w:position w:val="0"/>
                <w:sz w:val="24"/>
                <w:szCs w:val="24"/>
                <w:shd w:val="clear"/>
                <w:lang w:val="en-US" w:eastAsia="zh-CN"/>
              </w:rPr>
              <w:t>鄄城县</w:t>
            </w:r>
            <w:r>
              <w:rPr>
                <w:rFonts w:hint="eastAsia" w:ascii="Times New Roman" w:cs="宋体"/>
                <w:b w:val="0"/>
                <w:color w:val="auto"/>
                <w:w w:val="100"/>
                <w:position w:val="0"/>
                <w:sz w:val="24"/>
                <w:szCs w:val="24"/>
                <w:shd w:val="clear"/>
                <w:lang w:val="en-US" w:eastAsia="zh-CN"/>
              </w:rPr>
              <w:t>第二</w:t>
            </w:r>
            <w:r>
              <w:rPr>
                <w:rFonts w:hint="eastAsia" w:ascii="Times New Roman" w:hAnsi="宋体" w:eastAsia="宋体" w:cs="宋体"/>
                <w:b w:val="0"/>
                <w:color w:val="auto"/>
                <w:w w:val="100"/>
                <w:position w:val="0"/>
                <w:sz w:val="24"/>
                <w:szCs w:val="24"/>
                <w:shd w:val="clear"/>
                <w:lang w:val="en-US" w:eastAsia="zh-CN"/>
              </w:rPr>
              <w:t>污水处理厂</w:t>
            </w:r>
            <w:r>
              <w:rPr>
                <w:rFonts w:hint="default" w:ascii="Times New Roman" w:hAnsi="宋体" w:eastAsia="宋体" w:cs="宋体"/>
                <w:b w:val="0"/>
                <w:color w:val="auto"/>
                <w:w w:val="100"/>
                <w:position w:val="0"/>
                <w:sz w:val="24"/>
                <w:szCs w:val="24"/>
                <w:shd w:val="clear"/>
                <w:lang w:val="zh-CN" w:eastAsia="zh-CN"/>
              </w:rPr>
              <w:t>总量控制指标内，且污水处理厂尚有一定污水处理余量，因此本项目不需新増COD</w:t>
            </w:r>
            <w:r>
              <w:rPr>
                <w:rFonts w:hint="default" w:ascii="Times New Roman" w:hAnsi="宋体" w:eastAsia="宋体" w:cs="宋体"/>
                <w:b w:val="0"/>
                <w:color w:val="auto"/>
                <w:w w:val="100"/>
                <w:position w:val="0"/>
                <w:sz w:val="24"/>
                <w:szCs w:val="24"/>
                <w:shd w:val="clear"/>
                <w:lang w:val="en-US" w:eastAsia="en-US"/>
              </w:rPr>
              <w:t>、</w:t>
            </w:r>
            <w:r>
              <w:rPr>
                <w:rFonts w:hint="default" w:ascii="Times New Roman" w:hAnsi="宋体" w:eastAsia="宋体" w:cs="宋体"/>
                <w:b w:val="0"/>
                <w:color w:val="auto"/>
                <w:w w:val="100"/>
                <w:position w:val="0"/>
                <w:sz w:val="24"/>
                <w:szCs w:val="24"/>
                <w:shd w:val="clear"/>
                <w:lang w:val="zh-CN" w:eastAsia="zh-CN"/>
              </w:rPr>
              <w:t>氨氮总量控制指标。因此，本项目无需申请总量控制指标。</w:t>
            </w:r>
          </w:p>
          <w:p>
            <w:pPr>
              <w:pStyle w:val="7"/>
              <w:pageBreakBefore w:val="0"/>
              <w:numPr>
                <w:ilvl w:val="0"/>
                <w:numId w:val="0"/>
              </w:numPr>
              <w:autoSpaceDE/>
              <w:autoSpaceDN/>
              <w:bidi w:val="0"/>
              <w:snapToGrid w:val="0"/>
              <w:spacing w:before="0" w:after="0" w:line="360" w:lineRule="auto"/>
              <w:ind w:right="0" w:firstLine="480"/>
              <w:jc w:val="left"/>
              <w:outlineLvl w:val="1"/>
              <w:rPr>
                <w:rFonts w:hint="default" w:ascii="Times New Roman" w:hAnsi="Times New Roman" w:eastAsia="Times New Roman"/>
                <w:b w:val="0"/>
                <w:color w:val="auto"/>
                <w:position w:val="0"/>
                <w:sz w:val="24"/>
                <w:szCs w:val="24"/>
              </w:rPr>
            </w:pPr>
            <w:r>
              <w:rPr>
                <w:rFonts w:hint="eastAsia" w:ascii="Times New Roman" w:hAnsi="Times New Roman" w:eastAsia="宋体"/>
                <w:b w:val="0"/>
                <w:color w:val="auto"/>
                <w:position w:val="0"/>
                <w:sz w:val="24"/>
                <w:szCs w:val="24"/>
                <w:lang w:val="en-US" w:eastAsia="zh-CN"/>
              </w:rPr>
              <w:t>11</w:t>
            </w:r>
            <w:r>
              <w:rPr>
                <w:rFonts w:hint="default" w:ascii="Times New Roman" w:hAnsi="Times New Roman" w:eastAsia="Times New Roman"/>
                <w:b w:val="0"/>
                <w:color w:val="auto"/>
                <w:position w:val="0"/>
                <w:sz w:val="24"/>
                <w:szCs w:val="24"/>
              </w:rPr>
              <w:t>、验收总结论</w:t>
            </w:r>
            <w:bookmarkEnd w:id="40"/>
            <w:bookmarkEnd w:id="41"/>
            <w:bookmarkEnd w:id="42"/>
            <w:bookmarkEnd w:id="43"/>
          </w:p>
          <w:p>
            <w:pPr>
              <w:pStyle w:val="74"/>
              <w:pageBreakBefore w:val="0"/>
              <w:numPr>
                <w:ilvl w:val="0"/>
                <w:numId w:val="0"/>
              </w:numPr>
              <w:autoSpaceDE/>
              <w:autoSpaceDN/>
              <w:bidi w:val="0"/>
              <w:snapToGrid w:val="0"/>
              <w:spacing w:before="0" w:after="0" w:line="360" w:lineRule="auto"/>
              <w:ind w:right="0" w:firstLine="470"/>
              <w:jc w:val="both"/>
              <w:rPr>
                <w:rFonts w:hint="default" w:ascii="Times New Roman" w:hAnsi="Times New Roman" w:eastAsia="Times New Roman"/>
                <w:color w:val="auto"/>
                <w:position w:val="0"/>
                <w:sz w:val="24"/>
                <w:szCs w:val="24"/>
              </w:rPr>
            </w:pPr>
            <w:r>
              <w:rPr>
                <w:rFonts w:hint="default" w:ascii="Times New Roman" w:hAnsi="Times New Roman" w:eastAsia="Times New Roman"/>
                <w:color w:val="auto"/>
                <w:position w:val="0"/>
                <w:sz w:val="24"/>
                <w:szCs w:val="24"/>
              </w:rPr>
              <w:t>该项目建设方严格遵守《中华人民共和国环境影响评价法》和《建设项目环境保护管理条例》中的有关规定，各项环保审批手续齐全，环评报告表以及</w:t>
            </w:r>
            <w:r>
              <w:rPr>
                <w:rFonts w:hint="eastAsia" w:eastAsia="宋体"/>
                <w:color w:val="auto"/>
                <w:position w:val="0"/>
                <w:sz w:val="24"/>
                <w:szCs w:val="24"/>
                <w:lang w:val="en-US" w:eastAsia="zh-CN"/>
              </w:rPr>
              <w:t>鄄城县行政审批服务</w:t>
            </w:r>
            <w:r>
              <w:rPr>
                <w:rFonts w:hint="default" w:ascii="Times New Roman" w:hAnsi="Times New Roman" w:eastAsia="Times New Roman"/>
                <w:color w:val="auto"/>
                <w:position w:val="0"/>
                <w:sz w:val="24"/>
                <w:szCs w:val="24"/>
              </w:rPr>
              <w:t>局对该项目环评批复中要求建设的各项环保措施均已得到落实。</w:t>
            </w:r>
          </w:p>
          <w:p>
            <w:pPr>
              <w:pStyle w:val="73"/>
              <w:pageBreakBefore w:val="0"/>
              <w:numPr>
                <w:ilvl w:val="0"/>
                <w:numId w:val="0"/>
              </w:numPr>
              <w:autoSpaceDE/>
              <w:autoSpaceDN/>
              <w:bidi w:val="0"/>
              <w:snapToGrid/>
              <w:spacing w:before="0" w:after="160" w:line="360" w:lineRule="auto"/>
              <w:ind w:right="0" w:firstLine="480"/>
              <w:jc w:val="both"/>
              <w:rPr>
                <w:rFonts w:hint="default" w:ascii="宋体" w:hAnsi="宋体" w:eastAsia="宋体"/>
                <w:color w:val="auto"/>
                <w:position w:val="0"/>
                <w:sz w:val="24"/>
                <w:szCs w:val="24"/>
              </w:rPr>
            </w:pPr>
            <w:r>
              <w:rPr>
                <w:rFonts w:hint="default" w:ascii="Times New Roman" w:hAnsi="Times New Roman" w:eastAsia="Times New Roman"/>
                <w:color w:val="auto"/>
                <w:position w:val="0"/>
                <w:sz w:val="24"/>
                <w:szCs w:val="24"/>
              </w:rPr>
              <w:t>监测期间的运行负荷符合验收规定，监测数据有效。监测期间，所监测的项目均满足有关标准或文件要求，废气中污染物排放浓度或排放速率均满足有关标准要求，固体废物贮存及处置合理、得当。</w:t>
            </w:r>
            <w:r>
              <w:rPr>
                <w:rFonts w:hint="default" w:ascii="Calibri" w:hAnsi="Times New Roman" w:eastAsia="Times New Roman"/>
                <w:color w:val="auto"/>
                <w:position w:val="0"/>
                <w:sz w:val="24"/>
                <w:szCs w:val="24"/>
              </w:rPr>
              <w:t>本项目满足竣工环境保护验收条件。</w:t>
            </w:r>
          </w:p>
        </w:tc>
      </w:tr>
    </w:tbl>
    <w:p>
      <w:pPr>
        <w:pStyle w:val="25"/>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sectPr>
          <w:footerReference r:id="rId5" w:type="default"/>
          <w:pgSz w:w="11850" w:h="16783"/>
          <w:pgMar w:top="1440" w:right="1800" w:bottom="1440" w:left="1800" w:header="851" w:footer="992" w:gutter="0"/>
          <w:pgNumType w:fmt="numberInDash"/>
          <w:cols w:space="720" w:num="1"/>
          <w:docGrid w:type="lines" w:linePitch="312" w:charSpace="0"/>
        </w:sectPr>
      </w:pPr>
    </w:p>
    <w:p>
      <w:pPr>
        <w:spacing w:after="0" w:line="300" w:lineRule="exact"/>
        <w:jc w:val="center"/>
        <w:rPr>
          <w:rFonts w:eastAsia="黑体"/>
          <w:b/>
          <w:color w:val="000000"/>
          <w:sz w:val="21"/>
          <w:szCs w:val="21"/>
        </w:rPr>
      </w:pPr>
      <w:bookmarkStart w:id="44" w:name="_Toc16880"/>
      <w:r>
        <w:rPr>
          <w:rFonts w:eastAsia="黑体"/>
          <w:b/>
          <w:color w:val="000000"/>
          <w:sz w:val="21"/>
          <w:szCs w:val="21"/>
        </w:rPr>
        <w:t>建设项目竣工环境保护</w:t>
      </w:r>
      <w:r>
        <w:rPr>
          <w:rFonts w:hint="eastAsia" w:eastAsia="黑体"/>
          <w:b/>
          <w:color w:val="000000"/>
          <w:sz w:val="21"/>
          <w:szCs w:val="21"/>
        </w:rPr>
        <w:t>“</w:t>
      </w:r>
      <w:r>
        <w:rPr>
          <w:rFonts w:eastAsia="黑体"/>
          <w:b/>
          <w:color w:val="000000"/>
          <w:sz w:val="21"/>
          <w:szCs w:val="21"/>
        </w:rPr>
        <w:t>三同时</w:t>
      </w:r>
      <w:r>
        <w:rPr>
          <w:rFonts w:hint="eastAsia" w:eastAsia="黑体"/>
          <w:b/>
          <w:color w:val="000000"/>
          <w:sz w:val="21"/>
          <w:szCs w:val="21"/>
        </w:rPr>
        <w:t>”</w:t>
      </w:r>
      <w:r>
        <w:rPr>
          <w:rFonts w:eastAsia="黑体"/>
          <w:b/>
          <w:color w:val="000000"/>
          <w:sz w:val="21"/>
          <w:szCs w:val="21"/>
        </w:rPr>
        <w:t>验收登记表</w:t>
      </w:r>
    </w:p>
    <w:p>
      <w:pPr>
        <w:spacing w:after="0"/>
        <w:rPr>
          <w:rFonts w:ascii="宋体" w:hAnsi="宋体" w:eastAsia="宋体"/>
          <w:b/>
          <w:color w:val="000000"/>
          <w:sz w:val="21"/>
          <w:szCs w:val="21"/>
        </w:rPr>
      </w:pPr>
      <w:r>
        <w:rPr>
          <w:rFonts w:ascii="宋体" w:hAnsi="宋体" w:eastAsia="宋体"/>
          <w:b/>
          <w:color w:val="000000"/>
          <w:sz w:val="21"/>
          <w:szCs w:val="21"/>
        </w:rPr>
        <w:t>填表单位（盖章）</w:t>
      </w:r>
      <w:r>
        <w:rPr>
          <w:rFonts w:ascii="宋体" w:hAnsi="宋体" w:eastAsia="宋体"/>
          <w:b/>
          <w:color w:val="000000"/>
          <w:kern w:val="2"/>
          <w:sz w:val="21"/>
          <w:szCs w:val="21"/>
        </w:rPr>
        <w:t>：</w:t>
      </w:r>
      <w:r>
        <w:rPr>
          <w:rFonts w:ascii="宋体" w:hAnsi="宋体" w:eastAsia="宋体"/>
          <w:b/>
          <w:color w:val="000000"/>
          <w:sz w:val="21"/>
          <w:szCs w:val="21"/>
        </w:rPr>
        <w:t xml:space="preserve">                  填表人（签字）：                              项目经办人（签字）：</w:t>
      </w:r>
    </w:p>
    <w:p>
      <w:pPr>
        <w:rPr>
          <w:rFonts w:hint="default" w:ascii="宋体" w:hAnsi="宋体" w:eastAsia="宋体"/>
          <w:b w:val="0"/>
          <w:color w:val="auto"/>
          <w:position w:val="0"/>
          <w:sz w:val="24"/>
          <w:szCs w:val="24"/>
        </w:rPr>
      </w:pPr>
    </w:p>
    <w:bookmarkEnd w:id="44"/>
    <w:tbl>
      <w:tblPr>
        <w:tblStyle w:val="38"/>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261"/>
        <w:gridCol w:w="535"/>
        <w:gridCol w:w="828"/>
        <w:gridCol w:w="1337"/>
        <w:gridCol w:w="900"/>
        <w:gridCol w:w="900"/>
        <w:gridCol w:w="540"/>
        <w:gridCol w:w="540"/>
        <w:gridCol w:w="1080"/>
        <w:gridCol w:w="1080"/>
        <w:gridCol w:w="1980"/>
        <w:gridCol w:w="1157"/>
        <w:gridCol w:w="463"/>
        <w:gridCol w:w="781"/>
        <w:gridCol w:w="1019"/>
        <w:gridCol w:w="83"/>
        <w:gridCol w:w="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0" w:type="dxa"/>
            <w:vMerge w:val="restart"/>
            <w:noWrap w:val="0"/>
            <w:tcMar>
              <w:left w:w="57" w:type="dxa"/>
              <w:right w:w="57" w:type="dxa"/>
            </w:tcMar>
            <w:textDirection w:val="tbRlV"/>
            <w:vAlign w:val="center"/>
          </w:tcPr>
          <w:p>
            <w:pPr>
              <w:spacing w:after="0"/>
              <w:ind w:left="113" w:right="113"/>
              <w:jc w:val="center"/>
              <w:rPr>
                <w:b/>
                <w:color w:val="000000"/>
                <w:kern w:val="2"/>
                <w:sz w:val="15"/>
                <w:szCs w:val="15"/>
              </w:rPr>
            </w:pPr>
            <w:r>
              <w:rPr>
                <w:b/>
                <w:color w:val="000000"/>
                <w:kern w:val="2"/>
                <w:sz w:val="15"/>
                <w:szCs w:val="15"/>
              </w:rPr>
              <w:t>建设项目</w:t>
            </w:r>
          </w:p>
        </w:tc>
        <w:tc>
          <w:tcPr>
            <w:tcW w:w="1964" w:type="dxa"/>
            <w:gridSpan w:val="3"/>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项目名称</w:t>
            </w:r>
          </w:p>
        </w:tc>
        <w:tc>
          <w:tcPr>
            <w:tcW w:w="5045" w:type="dxa"/>
            <w:gridSpan w:val="6"/>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鄄城龙欣宝典发制品有限公司年产800万件人发制品项目 （二期）</w:t>
            </w:r>
          </w:p>
        </w:tc>
        <w:tc>
          <w:tcPr>
            <w:tcW w:w="216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项目代码</w:t>
            </w:r>
          </w:p>
        </w:tc>
        <w:tc>
          <w:tcPr>
            <w:tcW w:w="1980" w:type="dxa"/>
            <w:noWrap w:val="0"/>
            <w:tcMar>
              <w:left w:w="57" w:type="dxa"/>
              <w:right w:w="57" w:type="dxa"/>
            </w:tcMar>
            <w:vAlign w:val="top"/>
          </w:tcPr>
          <w:p>
            <w:pPr>
              <w:spacing w:after="0"/>
              <w:rPr>
                <w:rFonts w:hint="default" w:ascii="宋体" w:hAnsi="宋体" w:eastAsia="宋体" w:cs="宋体"/>
                <w:color w:val="auto"/>
                <w:position w:val="0"/>
                <w:sz w:val="18"/>
                <w:szCs w:val="18"/>
                <w:lang w:val="en-US" w:eastAsia="zh-CN"/>
              </w:rPr>
            </w:pPr>
          </w:p>
        </w:tc>
        <w:tc>
          <w:tcPr>
            <w:tcW w:w="1620" w:type="dxa"/>
            <w:gridSpan w:val="2"/>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建设地点</w:t>
            </w:r>
          </w:p>
        </w:tc>
        <w:tc>
          <w:tcPr>
            <w:tcW w:w="2677" w:type="dxa"/>
            <w:gridSpan w:val="4"/>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山东省菏泽市鄄城县永定路东、亿城街南、朱庄村西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0" w:type="dxa"/>
            <w:vMerge w:val="continue"/>
            <w:noWrap w:val="0"/>
            <w:tcMar>
              <w:left w:w="57" w:type="dxa"/>
              <w:right w:w="57" w:type="dxa"/>
            </w:tcMar>
            <w:vAlign w:val="center"/>
          </w:tcPr>
          <w:p>
            <w:pPr>
              <w:spacing w:after="0"/>
              <w:rPr>
                <w:color w:val="000000"/>
                <w:kern w:val="2"/>
                <w:sz w:val="15"/>
                <w:szCs w:val="15"/>
              </w:rPr>
            </w:pPr>
          </w:p>
        </w:tc>
        <w:tc>
          <w:tcPr>
            <w:tcW w:w="1964" w:type="dxa"/>
            <w:gridSpan w:val="3"/>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行业类别（分类管理名录）</w:t>
            </w:r>
          </w:p>
        </w:tc>
        <w:tc>
          <w:tcPr>
            <w:tcW w:w="5045" w:type="dxa"/>
            <w:gridSpan w:val="6"/>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其他工艺美术品制造C2439</w:t>
            </w:r>
          </w:p>
        </w:tc>
        <w:tc>
          <w:tcPr>
            <w:tcW w:w="216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建设性质</w:t>
            </w:r>
          </w:p>
        </w:tc>
        <w:tc>
          <w:tcPr>
            <w:tcW w:w="3600" w:type="dxa"/>
            <w:gridSpan w:val="3"/>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■新建  □ 改扩建  □技术改造</w:t>
            </w:r>
          </w:p>
        </w:tc>
        <w:tc>
          <w:tcPr>
            <w:tcW w:w="1800" w:type="dxa"/>
            <w:gridSpan w:val="2"/>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项目厂区中心经度/纬度</w:t>
            </w:r>
          </w:p>
        </w:tc>
        <w:tc>
          <w:tcPr>
            <w:tcW w:w="877" w:type="dxa"/>
            <w:gridSpan w:val="2"/>
            <w:noWrap w:val="0"/>
            <w:tcMar>
              <w:left w:w="57" w:type="dxa"/>
              <w:right w:w="57" w:type="dxa"/>
            </w:tcMar>
            <w:vAlign w:val="top"/>
          </w:tcPr>
          <w:p>
            <w:pPr>
              <w:spacing w:after="0"/>
              <w:rPr>
                <w:rFonts w:hint="default" w:ascii="宋体" w:hAnsi="宋体" w:eastAsia="宋体" w:cs="宋体"/>
                <w:color w:val="auto"/>
                <w:position w:val="0"/>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30" w:type="dxa"/>
            <w:vMerge w:val="continue"/>
            <w:noWrap w:val="0"/>
            <w:tcMar>
              <w:left w:w="57" w:type="dxa"/>
              <w:right w:w="57" w:type="dxa"/>
            </w:tcMar>
            <w:vAlign w:val="center"/>
          </w:tcPr>
          <w:p>
            <w:pPr>
              <w:spacing w:after="0"/>
              <w:rPr>
                <w:color w:val="000000"/>
                <w:kern w:val="2"/>
                <w:sz w:val="15"/>
                <w:szCs w:val="15"/>
              </w:rPr>
            </w:pPr>
          </w:p>
        </w:tc>
        <w:tc>
          <w:tcPr>
            <w:tcW w:w="1964" w:type="dxa"/>
            <w:gridSpan w:val="3"/>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设计生产能力</w:t>
            </w:r>
          </w:p>
        </w:tc>
        <w:tc>
          <w:tcPr>
            <w:tcW w:w="5045" w:type="dxa"/>
            <w:gridSpan w:val="6"/>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 xml:space="preserve">年产800万件人发制品项目 </w:t>
            </w:r>
          </w:p>
        </w:tc>
        <w:tc>
          <w:tcPr>
            <w:tcW w:w="2160" w:type="dxa"/>
            <w:gridSpan w:val="2"/>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实际生产能力</w:t>
            </w:r>
          </w:p>
        </w:tc>
        <w:tc>
          <w:tcPr>
            <w:tcW w:w="19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年产200吨发制品</w:t>
            </w:r>
          </w:p>
        </w:tc>
        <w:tc>
          <w:tcPr>
            <w:tcW w:w="1620" w:type="dxa"/>
            <w:gridSpan w:val="2"/>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环评单位</w:t>
            </w:r>
          </w:p>
        </w:tc>
        <w:tc>
          <w:tcPr>
            <w:tcW w:w="2677" w:type="dxa"/>
            <w:gridSpan w:val="4"/>
            <w:noWrap w:val="0"/>
            <w:tcMar>
              <w:left w:w="57" w:type="dxa"/>
              <w:right w:w="57" w:type="dxa"/>
            </w:tcMar>
            <w:vAlign w:val="top"/>
          </w:tcPr>
          <w:p>
            <w:pPr>
              <w:spacing w:after="0"/>
              <w:rPr>
                <w:rFonts w:hint="default"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山东省宏略环保科技有限公司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0" w:type="dxa"/>
            <w:vMerge w:val="continue"/>
            <w:noWrap w:val="0"/>
            <w:tcMar>
              <w:left w:w="57" w:type="dxa"/>
              <w:right w:w="57" w:type="dxa"/>
            </w:tcMar>
            <w:vAlign w:val="center"/>
          </w:tcPr>
          <w:p>
            <w:pPr>
              <w:spacing w:after="0"/>
              <w:rPr>
                <w:color w:val="000000"/>
                <w:kern w:val="2"/>
                <w:sz w:val="15"/>
                <w:szCs w:val="15"/>
              </w:rPr>
            </w:pPr>
          </w:p>
        </w:tc>
        <w:tc>
          <w:tcPr>
            <w:tcW w:w="1964" w:type="dxa"/>
            <w:gridSpan w:val="3"/>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环评文件审批机关</w:t>
            </w:r>
          </w:p>
        </w:tc>
        <w:tc>
          <w:tcPr>
            <w:tcW w:w="5045" w:type="dxa"/>
            <w:gridSpan w:val="6"/>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r>
              <w:rPr>
                <w:rFonts w:hint="default" w:ascii="宋体" w:hAnsi="宋体" w:eastAsia="宋体" w:cs="宋体"/>
                <w:color w:val="auto"/>
                <w:position w:val="0"/>
                <w:sz w:val="18"/>
                <w:szCs w:val="18"/>
                <w:lang w:val="en-US" w:eastAsia="zh-CN"/>
              </w:rPr>
              <w:t>鄄城县</w:t>
            </w:r>
            <w:r>
              <w:rPr>
                <w:rFonts w:hint="eastAsia" w:ascii="宋体" w:hAnsi="宋体" w:eastAsia="宋体" w:cs="宋体"/>
                <w:color w:val="auto"/>
                <w:position w:val="0"/>
                <w:sz w:val="18"/>
                <w:szCs w:val="18"/>
                <w:lang w:val="en-US" w:eastAsia="zh-CN"/>
              </w:rPr>
              <w:t>审批服务局</w:t>
            </w:r>
          </w:p>
        </w:tc>
        <w:tc>
          <w:tcPr>
            <w:tcW w:w="216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审批文号</w:t>
            </w:r>
          </w:p>
        </w:tc>
        <w:tc>
          <w:tcPr>
            <w:tcW w:w="1980" w:type="dxa"/>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鄄行审社</w:t>
            </w:r>
            <w:r>
              <w:rPr>
                <w:rFonts w:hint="default" w:ascii="宋体" w:hAnsi="宋体" w:eastAsia="宋体" w:cs="宋体"/>
                <w:color w:val="auto"/>
                <w:position w:val="0"/>
                <w:sz w:val="18"/>
                <w:szCs w:val="18"/>
                <w:lang w:val="en-US" w:eastAsia="zh-CN"/>
              </w:rPr>
              <w:t>[20</w:t>
            </w:r>
            <w:r>
              <w:rPr>
                <w:rFonts w:hint="eastAsia" w:ascii="宋体" w:hAnsi="宋体" w:eastAsia="宋体" w:cs="宋体"/>
                <w:color w:val="auto"/>
                <w:position w:val="0"/>
                <w:sz w:val="18"/>
                <w:szCs w:val="18"/>
                <w:lang w:val="en-US" w:eastAsia="zh-CN"/>
              </w:rPr>
              <w:t>20</w:t>
            </w:r>
            <w:r>
              <w:rPr>
                <w:rFonts w:hint="default" w:ascii="宋体" w:hAnsi="宋体" w:eastAsia="宋体" w:cs="宋体"/>
                <w:color w:val="auto"/>
                <w:position w:val="0"/>
                <w:sz w:val="18"/>
                <w:szCs w:val="18"/>
                <w:lang w:val="en-US" w:eastAsia="zh-CN"/>
              </w:rPr>
              <w:t>]</w:t>
            </w:r>
            <w:r>
              <w:rPr>
                <w:rFonts w:hint="eastAsia" w:ascii="宋体" w:hAnsi="宋体" w:eastAsia="宋体" w:cs="宋体"/>
                <w:color w:val="auto"/>
                <w:position w:val="0"/>
                <w:sz w:val="18"/>
                <w:szCs w:val="18"/>
                <w:lang w:val="en-US" w:eastAsia="zh-CN"/>
              </w:rPr>
              <w:t>01</w:t>
            </w:r>
            <w:r>
              <w:rPr>
                <w:rFonts w:hint="default" w:ascii="宋体" w:hAnsi="宋体" w:eastAsia="宋体" w:cs="宋体"/>
                <w:color w:val="auto"/>
                <w:position w:val="0"/>
                <w:sz w:val="18"/>
                <w:szCs w:val="18"/>
                <w:lang w:val="en-US" w:eastAsia="zh-CN"/>
              </w:rPr>
              <w:t>号</w:t>
            </w:r>
          </w:p>
        </w:tc>
        <w:tc>
          <w:tcPr>
            <w:tcW w:w="162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环评文件类型</w:t>
            </w:r>
          </w:p>
        </w:tc>
        <w:tc>
          <w:tcPr>
            <w:tcW w:w="2677" w:type="dxa"/>
            <w:gridSpan w:val="4"/>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环评报告表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0" w:type="dxa"/>
            <w:vMerge w:val="continue"/>
            <w:noWrap w:val="0"/>
            <w:tcMar>
              <w:left w:w="57" w:type="dxa"/>
              <w:right w:w="57" w:type="dxa"/>
            </w:tcMar>
            <w:vAlign w:val="center"/>
          </w:tcPr>
          <w:p>
            <w:pPr>
              <w:spacing w:after="0"/>
              <w:rPr>
                <w:color w:val="000000"/>
                <w:kern w:val="2"/>
                <w:sz w:val="15"/>
                <w:szCs w:val="15"/>
              </w:rPr>
            </w:pPr>
          </w:p>
        </w:tc>
        <w:tc>
          <w:tcPr>
            <w:tcW w:w="1964" w:type="dxa"/>
            <w:gridSpan w:val="3"/>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开工日期</w:t>
            </w:r>
          </w:p>
        </w:tc>
        <w:tc>
          <w:tcPr>
            <w:tcW w:w="5045" w:type="dxa"/>
            <w:gridSpan w:val="6"/>
            <w:noWrap w:val="0"/>
            <w:tcMar>
              <w:left w:w="57" w:type="dxa"/>
              <w:right w:w="57" w:type="dxa"/>
            </w:tcMar>
            <w:vAlign w:val="center"/>
          </w:tcPr>
          <w:p>
            <w:pPr>
              <w:spacing w:after="0"/>
              <w:rPr>
                <w:rFonts w:hint="default"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2020.9</w:t>
            </w:r>
          </w:p>
        </w:tc>
        <w:tc>
          <w:tcPr>
            <w:tcW w:w="216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竣工日期</w:t>
            </w:r>
          </w:p>
        </w:tc>
        <w:tc>
          <w:tcPr>
            <w:tcW w:w="1980" w:type="dxa"/>
            <w:noWrap w:val="0"/>
            <w:tcMar>
              <w:left w:w="57" w:type="dxa"/>
              <w:right w:w="57" w:type="dxa"/>
            </w:tcMar>
            <w:vAlign w:val="center"/>
          </w:tcPr>
          <w:p>
            <w:pPr>
              <w:spacing w:after="0"/>
              <w:rPr>
                <w:rFonts w:hint="default"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2021.1</w:t>
            </w:r>
          </w:p>
        </w:tc>
        <w:tc>
          <w:tcPr>
            <w:tcW w:w="162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排污许可证申领时间</w:t>
            </w:r>
          </w:p>
        </w:tc>
        <w:tc>
          <w:tcPr>
            <w:tcW w:w="2677" w:type="dxa"/>
            <w:gridSpan w:val="4"/>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jc w:val="center"/>
        </w:trPr>
        <w:tc>
          <w:tcPr>
            <w:tcW w:w="430" w:type="dxa"/>
            <w:vMerge w:val="continue"/>
            <w:noWrap w:val="0"/>
            <w:tcMar>
              <w:left w:w="57" w:type="dxa"/>
              <w:right w:w="57" w:type="dxa"/>
            </w:tcMar>
            <w:vAlign w:val="center"/>
          </w:tcPr>
          <w:p>
            <w:pPr>
              <w:spacing w:after="0"/>
              <w:rPr>
                <w:color w:val="000000"/>
                <w:kern w:val="2"/>
                <w:sz w:val="15"/>
                <w:szCs w:val="15"/>
              </w:rPr>
            </w:pPr>
          </w:p>
        </w:tc>
        <w:tc>
          <w:tcPr>
            <w:tcW w:w="1964" w:type="dxa"/>
            <w:gridSpan w:val="3"/>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环保设施设计单位</w:t>
            </w:r>
          </w:p>
        </w:tc>
        <w:tc>
          <w:tcPr>
            <w:tcW w:w="5045" w:type="dxa"/>
            <w:gridSpan w:val="6"/>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p>
        </w:tc>
        <w:tc>
          <w:tcPr>
            <w:tcW w:w="216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环保设施施工单位</w:t>
            </w:r>
          </w:p>
        </w:tc>
        <w:tc>
          <w:tcPr>
            <w:tcW w:w="1980" w:type="dxa"/>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p>
        </w:tc>
        <w:tc>
          <w:tcPr>
            <w:tcW w:w="162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本工程排污许可证编号</w:t>
            </w:r>
          </w:p>
        </w:tc>
        <w:tc>
          <w:tcPr>
            <w:tcW w:w="2677" w:type="dxa"/>
            <w:gridSpan w:val="4"/>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0" w:type="dxa"/>
            <w:vMerge w:val="continue"/>
            <w:noWrap w:val="0"/>
            <w:tcMar>
              <w:left w:w="57" w:type="dxa"/>
              <w:right w:w="57" w:type="dxa"/>
            </w:tcMar>
            <w:vAlign w:val="center"/>
          </w:tcPr>
          <w:p>
            <w:pPr>
              <w:spacing w:after="0"/>
              <w:rPr>
                <w:color w:val="000000"/>
                <w:kern w:val="2"/>
                <w:sz w:val="15"/>
                <w:szCs w:val="15"/>
              </w:rPr>
            </w:pPr>
          </w:p>
        </w:tc>
        <w:tc>
          <w:tcPr>
            <w:tcW w:w="1964" w:type="dxa"/>
            <w:gridSpan w:val="3"/>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验收单位</w:t>
            </w:r>
          </w:p>
        </w:tc>
        <w:tc>
          <w:tcPr>
            <w:tcW w:w="5045" w:type="dxa"/>
            <w:gridSpan w:val="6"/>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鄄城龙欣宝典发制品有限公司</w:t>
            </w:r>
          </w:p>
        </w:tc>
        <w:tc>
          <w:tcPr>
            <w:tcW w:w="216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环保设施监测单位</w:t>
            </w:r>
          </w:p>
        </w:tc>
        <w:tc>
          <w:tcPr>
            <w:tcW w:w="1980" w:type="dxa"/>
            <w:noWrap w:val="0"/>
            <w:tcMar>
              <w:left w:w="57" w:type="dxa"/>
              <w:right w:w="57" w:type="dxa"/>
            </w:tcMar>
            <w:vAlign w:val="top"/>
          </w:tcPr>
          <w:p>
            <w:pPr>
              <w:spacing w:after="0"/>
              <w:rPr>
                <w:rFonts w:hint="default"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山东嘉敏环境检测有限公司</w:t>
            </w:r>
          </w:p>
        </w:tc>
        <w:tc>
          <w:tcPr>
            <w:tcW w:w="1620" w:type="dxa"/>
            <w:gridSpan w:val="2"/>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验收监测时工况</w:t>
            </w:r>
          </w:p>
        </w:tc>
        <w:tc>
          <w:tcPr>
            <w:tcW w:w="2677" w:type="dxa"/>
            <w:gridSpan w:val="4"/>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430" w:type="dxa"/>
            <w:vMerge w:val="continue"/>
            <w:noWrap w:val="0"/>
            <w:tcMar>
              <w:left w:w="57" w:type="dxa"/>
              <w:right w:w="57" w:type="dxa"/>
            </w:tcMar>
            <w:vAlign w:val="center"/>
          </w:tcPr>
          <w:p>
            <w:pPr>
              <w:spacing w:after="0"/>
              <w:rPr>
                <w:color w:val="000000"/>
                <w:kern w:val="2"/>
                <w:sz w:val="15"/>
                <w:szCs w:val="15"/>
              </w:rPr>
            </w:pPr>
          </w:p>
        </w:tc>
        <w:tc>
          <w:tcPr>
            <w:tcW w:w="1964" w:type="dxa"/>
            <w:gridSpan w:val="3"/>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投资总概算（万元）</w:t>
            </w:r>
          </w:p>
        </w:tc>
        <w:tc>
          <w:tcPr>
            <w:tcW w:w="5045" w:type="dxa"/>
            <w:gridSpan w:val="6"/>
            <w:noWrap w:val="0"/>
            <w:tcMar>
              <w:left w:w="57" w:type="dxa"/>
              <w:right w:w="57" w:type="dxa"/>
            </w:tcMar>
            <w:vAlign w:val="center"/>
          </w:tcPr>
          <w:p>
            <w:pPr>
              <w:spacing w:after="0"/>
              <w:rPr>
                <w:rFonts w:hint="default"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1200</w:t>
            </w:r>
          </w:p>
        </w:tc>
        <w:tc>
          <w:tcPr>
            <w:tcW w:w="216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环保投资总概算（万元）</w:t>
            </w:r>
          </w:p>
        </w:tc>
        <w:tc>
          <w:tcPr>
            <w:tcW w:w="1980" w:type="dxa"/>
            <w:noWrap w:val="0"/>
            <w:tcMar>
              <w:left w:w="57" w:type="dxa"/>
              <w:right w:w="57" w:type="dxa"/>
            </w:tcMar>
            <w:vAlign w:val="center"/>
          </w:tcPr>
          <w:p>
            <w:pPr>
              <w:spacing w:after="0"/>
              <w:rPr>
                <w:rFonts w:hint="default"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120</w:t>
            </w:r>
          </w:p>
        </w:tc>
        <w:tc>
          <w:tcPr>
            <w:tcW w:w="162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所占比例（%）</w:t>
            </w:r>
          </w:p>
        </w:tc>
        <w:tc>
          <w:tcPr>
            <w:tcW w:w="2677" w:type="dxa"/>
            <w:gridSpan w:val="4"/>
            <w:noWrap w:val="0"/>
            <w:tcMar>
              <w:left w:w="57" w:type="dxa"/>
              <w:right w:w="57" w:type="dxa"/>
            </w:tcMar>
            <w:vAlign w:val="center"/>
          </w:tcPr>
          <w:p>
            <w:pPr>
              <w:spacing w:after="0"/>
              <w:rPr>
                <w:rFonts w:hint="default"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0" w:type="dxa"/>
            <w:vMerge w:val="continue"/>
            <w:noWrap w:val="0"/>
            <w:tcMar>
              <w:left w:w="57" w:type="dxa"/>
              <w:right w:w="57" w:type="dxa"/>
            </w:tcMar>
            <w:vAlign w:val="center"/>
          </w:tcPr>
          <w:p>
            <w:pPr>
              <w:spacing w:after="0"/>
              <w:rPr>
                <w:color w:val="000000"/>
                <w:kern w:val="2"/>
                <w:sz w:val="15"/>
                <w:szCs w:val="15"/>
              </w:rPr>
            </w:pPr>
          </w:p>
        </w:tc>
        <w:tc>
          <w:tcPr>
            <w:tcW w:w="1964" w:type="dxa"/>
            <w:gridSpan w:val="3"/>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实际总投资</w:t>
            </w:r>
          </w:p>
        </w:tc>
        <w:tc>
          <w:tcPr>
            <w:tcW w:w="5045" w:type="dxa"/>
            <w:gridSpan w:val="6"/>
            <w:noWrap w:val="0"/>
            <w:tcMar>
              <w:left w:w="57" w:type="dxa"/>
              <w:right w:w="57" w:type="dxa"/>
            </w:tcMar>
            <w:vAlign w:val="top"/>
          </w:tcPr>
          <w:p>
            <w:pPr>
              <w:spacing w:after="0"/>
              <w:rPr>
                <w:rFonts w:hint="default"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200</w:t>
            </w:r>
          </w:p>
        </w:tc>
        <w:tc>
          <w:tcPr>
            <w:tcW w:w="216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实际环保投资（万元）</w:t>
            </w:r>
          </w:p>
        </w:tc>
        <w:tc>
          <w:tcPr>
            <w:tcW w:w="1980" w:type="dxa"/>
            <w:noWrap w:val="0"/>
            <w:tcMar>
              <w:left w:w="57" w:type="dxa"/>
              <w:right w:w="57" w:type="dxa"/>
            </w:tcMar>
            <w:vAlign w:val="top"/>
          </w:tcPr>
          <w:p>
            <w:pPr>
              <w:spacing w:after="0"/>
              <w:rPr>
                <w:rFonts w:hint="default"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20</w:t>
            </w:r>
          </w:p>
        </w:tc>
        <w:tc>
          <w:tcPr>
            <w:tcW w:w="162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所占比例（%）</w:t>
            </w:r>
          </w:p>
        </w:tc>
        <w:tc>
          <w:tcPr>
            <w:tcW w:w="2677" w:type="dxa"/>
            <w:gridSpan w:val="4"/>
            <w:noWrap w:val="0"/>
            <w:tcMar>
              <w:left w:w="57" w:type="dxa"/>
              <w:right w:w="57" w:type="dxa"/>
            </w:tcMar>
            <w:vAlign w:val="top"/>
          </w:tcPr>
          <w:p>
            <w:pPr>
              <w:spacing w:after="0"/>
              <w:rPr>
                <w:rFonts w:hint="default"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0" w:type="dxa"/>
            <w:vMerge w:val="continue"/>
            <w:noWrap w:val="0"/>
            <w:tcMar>
              <w:left w:w="57" w:type="dxa"/>
              <w:right w:w="57" w:type="dxa"/>
            </w:tcMar>
            <w:vAlign w:val="center"/>
          </w:tcPr>
          <w:p>
            <w:pPr>
              <w:spacing w:after="0"/>
              <w:rPr>
                <w:color w:val="000000"/>
                <w:kern w:val="2"/>
                <w:sz w:val="15"/>
                <w:szCs w:val="15"/>
              </w:rPr>
            </w:pPr>
          </w:p>
        </w:tc>
        <w:tc>
          <w:tcPr>
            <w:tcW w:w="1964" w:type="dxa"/>
            <w:gridSpan w:val="3"/>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废水治理（万元）</w:t>
            </w:r>
          </w:p>
        </w:tc>
        <w:tc>
          <w:tcPr>
            <w:tcW w:w="828" w:type="dxa"/>
            <w:noWrap w:val="0"/>
            <w:tcMar>
              <w:left w:w="57" w:type="dxa"/>
              <w:right w:w="57" w:type="dxa"/>
            </w:tcMar>
            <w:vAlign w:val="top"/>
          </w:tcPr>
          <w:p>
            <w:pPr>
              <w:spacing w:after="0"/>
              <w:rPr>
                <w:rFonts w:hint="default" w:ascii="宋体" w:hAnsi="宋体" w:eastAsia="宋体" w:cs="宋体"/>
                <w:color w:val="auto"/>
                <w:position w:val="0"/>
                <w:sz w:val="18"/>
                <w:szCs w:val="18"/>
                <w:lang w:val="en-US" w:eastAsia="zh-CN"/>
              </w:rPr>
            </w:pPr>
          </w:p>
        </w:tc>
        <w:tc>
          <w:tcPr>
            <w:tcW w:w="1337"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900" w:type="dxa"/>
            <w:noWrap w:val="0"/>
            <w:tcMar>
              <w:left w:w="57" w:type="dxa"/>
              <w:right w:w="57" w:type="dxa"/>
            </w:tcMar>
            <w:vAlign w:val="center"/>
          </w:tcPr>
          <w:p>
            <w:pPr>
              <w:spacing w:after="0"/>
              <w:rPr>
                <w:rFonts w:hint="default" w:ascii="宋体" w:hAnsi="宋体" w:eastAsia="宋体" w:cs="宋体"/>
                <w:color w:val="auto"/>
                <w:position w:val="0"/>
                <w:sz w:val="18"/>
                <w:szCs w:val="18"/>
                <w:lang w:val="en-US" w:eastAsia="zh-CN"/>
              </w:rPr>
            </w:pPr>
          </w:p>
        </w:tc>
        <w:tc>
          <w:tcPr>
            <w:tcW w:w="144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噪声治理（万元）</w:t>
            </w:r>
          </w:p>
        </w:tc>
        <w:tc>
          <w:tcPr>
            <w:tcW w:w="54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216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固体废物治理（万元）</w:t>
            </w:r>
          </w:p>
        </w:tc>
        <w:tc>
          <w:tcPr>
            <w:tcW w:w="1980" w:type="dxa"/>
            <w:noWrap w:val="0"/>
            <w:tcMar>
              <w:left w:w="57" w:type="dxa"/>
              <w:right w:w="57" w:type="dxa"/>
            </w:tcMar>
            <w:vAlign w:val="top"/>
          </w:tcPr>
          <w:p>
            <w:pPr>
              <w:spacing w:after="0"/>
              <w:rPr>
                <w:rFonts w:hint="default" w:ascii="宋体" w:hAnsi="宋体" w:eastAsia="宋体" w:cs="宋体"/>
                <w:color w:val="auto"/>
                <w:position w:val="0"/>
                <w:sz w:val="18"/>
                <w:szCs w:val="18"/>
                <w:lang w:val="en-US" w:eastAsia="zh-CN"/>
              </w:rPr>
            </w:pPr>
          </w:p>
        </w:tc>
        <w:tc>
          <w:tcPr>
            <w:tcW w:w="162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绿化及生态（万元）</w:t>
            </w:r>
          </w:p>
        </w:tc>
        <w:tc>
          <w:tcPr>
            <w:tcW w:w="781"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102"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其他（万元）</w:t>
            </w:r>
          </w:p>
        </w:tc>
        <w:tc>
          <w:tcPr>
            <w:tcW w:w="794" w:type="dxa"/>
            <w:noWrap w:val="0"/>
            <w:tcMar>
              <w:left w:w="57" w:type="dxa"/>
              <w:right w:w="57" w:type="dxa"/>
            </w:tcMar>
            <w:vAlign w:val="top"/>
          </w:tcPr>
          <w:p>
            <w:pPr>
              <w:spacing w:after="0"/>
              <w:rPr>
                <w:rFonts w:hint="default" w:ascii="宋体" w:hAnsi="宋体" w:eastAsia="宋体" w:cs="宋体"/>
                <w:color w:val="auto"/>
                <w:position w:val="0"/>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0" w:type="dxa"/>
            <w:vMerge w:val="continue"/>
            <w:noWrap w:val="0"/>
            <w:tcMar>
              <w:left w:w="57" w:type="dxa"/>
              <w:right w:w="57" w:type="dxa"/>
            </w:tcMar>
            <w:vAlign w:val="center"/>
          </w:tcPr>
          <w:p>
            <w:pPr>
              <w:spacing w:after="0"/>
              <w:rPr>
                <w:color w:val="000000"/>
                <w:kern w:val="2"/>
                <w:sz w:val="15"/>
                <w:szCs w:val="15"/>
              </w:rPr>
            </w:pPr>
          </w:p>
        </w:tc>
        <w:tc>
          <w:tcPr>
            <w:tcW w:w="1964" w:type="dxa"/>
            <w:gridSpan w:val="3"/>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新增废水处理设施能力</w:t>
            </w:r>
          </w:p>
        </w:tc>
        <w:tc>
          <w:tcPr>
            <w:tcW w:w="5045" w:type="dxa"/>
            <w:gridSpan w:val="6"/>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p>
        </w:tc>
        <w:tc>
          <w:tcPr>
            <w:tcW w:w="2160" w:type="dxa"/>
            <w:gridSpan w:val="2"/>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新增废气处理设施能力</w:t>
            </w:r>
          </w:p>
        </w:tc>
        <w:tc>
          <w:tcPr>
            <w:tcW w:w="1980" w:type="dxa"/>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p>
        </w:tc>
        <w:tc>
          <w:tcPr>
            <w:tcW w:w="1620" w:type="dxa"/>
            <w:gridSpan w:val="2"/>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年平均工作时</w:t>
            </w:r>
          </w:p>
        </w:tc>
        <w:tc>
          <w:tcPr>
            <w:tcW w:w="2677" w:type="dxa"/>
            <w:gridSpan w:val="4"/>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2400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94" w:type="dxa"/>
            <w:gridSpan w:val="4"/>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运营单位</w:t>
            </w:r>
          </w:p>
        </w:tc>
        <w:tc>
          <w:tcPr>
            <w:tcW w:w="3965" w:type="dxa"/>
            <w:gridSpan w:val="4"/>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3240" w:type="dxa"/>
            <w:gridSpan w:val="4"/>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运营单位社会统一信用代码（或组织机构代码）</w:t>
            </w:r>
          </w:p>
        </w:tc>
        <w:tc>
          <w:tcPr>
            <w:tcW w:w="19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620" w:type="dxa"/>
            <w:gridSpan w:val="2"/>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验收时间</w:t>
            </w:r>
          </w:p>
        </w:tc>
        <w:tc>
          <w:tcPr>
            <w:tcW w:w="2677" w:type="dxa"/>
            <w:gridSpan w:val="4"/>
            <w:noWrap w:val="0"/>
            <w:tcMar>
              <w:left w:w="57" w:type="dxa"/>
              <w:right w:w="57" w:type="dxa"/>
            </w:tcMar>
            <w:vAlign w:val="top"/>
          </w:tcPr>
          <w:p>
            <w:pPr>
              <w:spacing w:after="0"/>
              <w:rPr>
                <w:rFonts w:hint="default"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2021.8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restart"/>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污染</w:t>
            </w:r>
          </w:p>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物排</w:t>
            </w:r>
          </w:p>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放达</w:t>
            </w:r>
          </w:p>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标与</w:t>
            </w:r>
          </w:p>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总量</w:t>
            </w:r>
          </w:p>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控制（工</w:t>
            </w:r>
          </w:p>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业建</w:t>
            </w:r>
          </w:p>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设项</w:t>
            </w:r>
          </w:p>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目详填）</w:t>
            </w:r>
          </w:p>
        </w:tc>
        <w:tc>
          <w:tcPr>
            <w:tcW w:w="1796"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污染物</w:t>
            </w:r>
          </w:p>
        </w:tc>
        <w:tc>
          <w:tcPr>
            <w:tcW w:w="828"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原有排</w:t>
            </w:r>
          </w:p>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放量(1)</w:t>
            </w:r>
          </w:p>
        </w:tc>
        <w:tc>
          <w:tcPr>
            <w:tcW w:w="1337"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本期工程实际排放浓度(2)</w:t>
            </w:r>
          </w:p>
        </w:tc>
        <w:tc>
          <w:tcPr>
            <w:tcW w:w="90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本期工程允许排放浓度(3)</w:t>
            </w:r>
          </w:p>
        </w:tc>
        <w:tc>
          <w:tcPr>
            <w:tcW w:w="90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本期工程产生量(4)</w:t>
            </w:r>
          </w:p>
        </w:tc>
        <w:tc>
          <w:tcPr>
            <w:tcW w:w="108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本期工程自身削减量(5)</w:t>
            </w:r>
          </w:p>
        </w:tc>
        <w:tc>
          <w:tcPr>
            <w:tcW w:w="10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本期工程实际排放量(6)</w:t>
            </w:r>
          </w:p>
        </w:tc>
        <w:tc>
          <w:tcPr>
            <w:tcW w:w="10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本期工程核定排放总量(7)</w:t>
            </w:r>
          </w:p>
        </w:tc>
        <w:tc>
          <w:tcPr>
            <w:tcW w:w="19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本期工程“以新带老”削减量(8)</w:t>
            </w:r>
          </w:p>
        </w:tc>
        <w:tc>
          <w:tcPr>
            <w:tcW w:w="1157"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全厂实际排放总量(9)</w:t>
            </w:r>
          </w:p>
        </w:tc>
        <w:tc>
          <w:tcPr>
            <w:tcW w:w="1244"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全厂核定排放总量(10)</w:t>
            </w:r>
          </w:p>
        </w:tc>
        <w:tc>
          <w:tcPr>
            <w:tcW w:w="1102"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区域平衡替代削减量(11)</w:t>
            </w:r>
          </w:p>
        </w:tc>
        <w:tc>
          <w:tcPr>
            <w:tcW w:w="794"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continue"/>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796"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废水</w:t>
            </w:r>
          </w:p>
        </w:tc>
        <w:tc>
          <w:tcPr>
            <w:tcW w:w="828"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337"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90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90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08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0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0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9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157"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244"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102"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794"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continue"/>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p>
        </w:tc>
        <w:tc>
          <w:tcPr>
            <w:tcW w:w="1796"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化学需氧量</w:t>
            </w:r>
          </w:p>
        </w:tc>
        <w:tc>
          <w:tcPr>
            <w:tcW w:w="828"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337" w:type="dxa"/>
            <w:noWrap w:val="0"/>
            <w:tcMar>
              <w:left w:w="57" w:type="dxa"/>
              <w:right w:w="57" w:type="dxa"/>
            </w:tcMar>
            <w:vAlign w:val="center"/>
          </w:tcPr>
          <w:p>
            <w:pPr>
              <w:spacing w:after="0"/>
              <w:rPr>
                <w:rFonts w:hint="default" w:ascii="宋体" w:hAnsi="宋体" w:eastAsia="宋体" w:cs="宋体"/>
                <w:color w:val="auto"/>
                <w:position w:val="0"/>
                <w:sz w:val="18"/>
                <w:szCs w:val="18"/>
                <w:lang w:val="en-US" w:eastAsia="zh-CN"/>
              </w:rPr>
            </w:pPr>
          </w:p>
        </w:tc>
        <w:tc>
          <w:tcPr>
            <w:tcW w:w="900" w:type="dxa"/>
            <w:noWrap w:val="0"/>
            <w:tcMar>
              <w:left w:w="57" w:type="dxa"/>
              <w:right w:w="57" w:type="dxa"/>
            </w:tcMar>
            <w:vAlign w:val="center"/>
          </w:tcPr>
          <w:p>
            <w:pPr>
              <w:spacing w:after="0"/>
              <w:rPr>
                <w:rFonts w:hint="default" w:ascii="宋体" w:hAnsi="宋体" w:eastAsia="宋体" w:cs="宋体"/>
                <w:color w:val="auto"/>
                <w:position w:val="0"/>
                <w:sz w:val="18"/>
                <w:szCs w:val="18"/>
                <w:lang w:val="en-US" w:eastAsia="zh-CN"/>
              </w:rPr>
            </w:pPr>
          </w:p>
        </w:tc>
        <w:tc>
          <w:tcPr>
            <w:tcW w:w="90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08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0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0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9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157"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244"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102"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794"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continue"/>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p>
        </w:tc>
        <w:tc>
          <w:tcPr>
            <w:tcW w:w="1796"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氨氮</w:t>
            </w:r>
          </w:p>
        </w:tc>
        <w:tc>
          <w:tcPr>
            <w:tcW w:w="828"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337" w:type="dxa"/>
            <w:noWrap w:val="0"/>
            <w:tcMar>
              <w:left w:w="57" w:type="dxa"/>
              <w:right w:w="57" w:type="dxa"/>
            </w:tcMar>
            <w:vAlign w:val="center"/>
          </w:tcPr>
          <w:p>
            <w:pPr>
              <w:spacing w:after="0"/>
              <w:rPr>
                <w:rFonts w:hint="default" w:ascii="宋体" w:hAnsi="宋体" w:eastAsia="宋体" w:cs="宋体"/>
                <w:color w:val="auto"/>
                <w:position w:val="0"/>
                <w:sz w:val="18"/>
                <w:szCs w:val="18"/>
                <w:lang w:val="en-US" w:eastAsia="zh-CN"/>
              </w:rPr>
            </w:pPr>
          </w:p>
        </w:tc>
        <w:tc>
          <w:tcPr>
            <w:tcW w:w="900" w:type="dxa"/>
            <w:noWrap w:val="0"/>
            <w:tcMar>
              <w:left w:w="57" w:type="dxa"/>
              <w:right w:w="57" w:type="dxa"/>
            </w:tcMar>
            <w:vAlign w:val="center"/>
          </w:tcPr>
          <w:p>
            <w:pPr>
              <w:spacing w:after="0"/>
              <w:rPr>
                <w:rFonts w:hint="default" w:ascii="宋体" w:hAnsi="宋体" w:eastAsia="宋体" w:cs="宋体"/>
                <w:color w:val="auto"/>
                <w:position w:val="0"/>
                <w:sz w:val="18"/>
                <w:szCs w:val="18"/>
                <w:lang w:val="en-US" w:eastAsia="zh-CN"/>
              </w:rPr>
            </w:pPr>
          </w:p>
        </w:tc>
        <w:tc>
          <w:tcPr>
            <w:tcW w:w="90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08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0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0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9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157"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244"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102"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794"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continue"/>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p>
        </w:tc>
        <w:tc>
          <w:tcPr>
            <w:tcW w:w="1796"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石油类</w:t>
            </w:r>
          </w:p>
        </w:tc>
        <w:tc>
          <w:tcPr>
            <w:tcW w:w="828"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337"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90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90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08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0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0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9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157"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244"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102"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794"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continue"/>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p>
        </w:tc>
        <w:tc>
          <w:tcPr>
            <w:tcW w:w="1796"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废气</w:t>
            </w:r>
          </w:p>
        </w:tc>
        <w:tc>
          <w:tcPr>
            <w:tcW w:w="828"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337"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90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90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08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0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0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9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157"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244"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102"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794"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continue"/>
            <w:noWrap w:val="0"/>
            <w:tcMar>
              <w:left w:w="57" w:type="dxa"/>
              <w:right w:w="57" w:type="dxa"/>
            </w:tcMar>
            <w:vAlign w:val="top"/>
          </w:tcPr>
          <w:p>
            <w:pPr>
              <w:spacing w:after="0"/>
              <w:rPr>
                <w:rFonts w:hint="eastAsia" w:ascii="宋体" w:hAnsi="宋体" w:eastAsia="宋体" w:cs="宋体"/>
                <w:color w:val="auto"/>
                <w:position w:val="0"/>
                <w:sz w:val="18"/>
                <w:szCs w:val="18"/>
                <w:lang w:val="en-US" w:eastAsia="zh-CN"/>
              </w:rPr>
            </w:pPr>
          </w:p>
        </w:tc>
        <w:tc>
          <w:tcPr>
            <w:tcW w:w="1796"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r>
              <w:rPr>
                <w:rFonts w:hint="eastAsia" w:ascii="宋体" w:hAnsi="宋体" w:eastAsia="宋体" w:cs="宋体"/>
                <w:color w:val="auto"/>
                <w:position w:val="0"/>
                <w:sz w:val="18"/>
                <w:szCs w:val="18"/>
                <w:lang w:val="en-US" w:eastAsia="zh-CN"/>
              </w:rPr>
              <w:t>VOCs（以非甲烷总烃计）</w:t>
            </w:r>
          </w:p>
        </w:tc>
        <w:tc>
          <w:tcPr>
            <w:tcW w:w="828"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337"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90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90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080"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0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0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980"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157"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244"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1102" w:type="dxa"/>
            <w:gridSpan w:val="2"/>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c>
          <w:tcPr>
            <w:tcW w:w="794" w:type="dxa"/>
            <w:noWrap w:val="0"/>
            <w:tcMar>
              <w:left w:w="57" w:type="dxa"/>
              <w:right w:w="57" w:type="dxa"/>
            </w:tcMar>
            <w:vAlign w:val="center"/>
          </w:tcPr>
          <w:p>
            <w:pPr>
              <w:spacing w:after="0"/>
              <w:rPr>
                <w:rFonts w:hint="eastAsia" w:ascii="宋体" w:hAnsi="宋体" w:eastAsia="宋体" w:cs="宋体"/>
                <w:color w:val="auto"/>
                <w:position w:val="0"/>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598" w:type="dxa"/>
            <w:gridSpan w:val="2"/>
            <w:vMerge w:val="continue"/>
            <w:noWrap w:val="0"/>
            <w:tcMar>
              <w:left w:w="57" w:type="dxa"/>
              <w:right w:w="57" w:type="dxa"/>
            </w:tcMar>
            <w:vAlign w:val="top"/>
          </w:tcPr>
          <w:p>
            <w:pPr>
              <w:spacing w:after="0"/>
              <w:rPr>
                <w:color w:val="000000"/>
                <w:kern w:val="2"/>
                <w:sz w:val="15"/>
                <w:szCs w:val="15"/>
              </w:rPr>
            </w:pPr>
          </w:p>
        </w:tc>
        <w:tc>
          <w:tcPr>
            <w:tcW w:w="1796" w:type="dxa"/>
            <w:gridSpan w:val="2"/>
            <w:noWrap w:val="0"/>
            <w:tcMar>
              <w:left w:w="57" w:type="dxa"/>
              <w:right w:w="57" w:type="dxa"/>
            </w:tcMar>
            <w:vAlign w:val="center"/>
          </w:tcPr>
          <w:p>
            <w:pPr>
              <w:spacing w:after="0"/>
              <w:jc w:val="both"/>
              <w:rPr>
                <w:rFonts w:hint="eastAsia"/>
                <w:b/>
                <w:color w:val="000000"/>
                <w:kern w:val="2"/>
                <w:sz w:val="15"/>
                <w:szCs w:val="15"/>
              </w:rPr>
            </w:pPr>
            <w:r>
              <w:rPr>
                <w:rFonts w:hint="eastAsia"/>
                <w:b/>
                <w:color w:val="000000"/>
                <w:kern w:val="2"/>
                <w:sz w:val="15"/>
                <w:szCs w:val="15"/>
              </w:rPr>
              <w:t>颗粒物</w:t>
            </w:r>
          </w:p>
        </w:tc>
        <w:tc>
          <w:tcPr>
            <w:tcW w:w="828" w:type="dxa"/>
            <w:noWrap w:val="0"/>
            <w:tcMar>
              <w:left w:w="57" w:type="dxa"/>
              <w:right w:w="57" w:type="dxa"/>
            </w:tcMar>
            <w:vAlign w:val="center"/>
          </w:tcPr>
          <w:p>
            <w:pPr>
              <w:spacing w:after="0"/>
              <w:jc w:val="center"/>
              <w:rPr>
                <w:color w:val="000000"/>
                <w:kern w:val="2"/>
                <w:sz w:val="15"/>
                <w:szCs w:val="15"/>
              </w:rPr>
            </w:pPr>
          </w:p>
        </w:tc>
        <w:tc>
          <w:tcPr>
            <w:tcW w:w="1337" w:type="dxa"/>
            <w:noWrap w:val="0"/>
            <w:tcMar>
              <w:left w:w="57" w:type="dxa"/>
              <w:right w:w="57" w:type="dxa"/>
            </w:tcMar>
            <w:vAlign w:val="center"/>
          </w:tcPr>
          <w:p>
            <w:pPr>
              <w:spacing w:after="0"/>
              <w:jc w:val="center"/>
              <w:rPr>
                <w:rFonts w:hint="default" w:eastAsia="微软雅黑"/>
                <w:color w:val="000000"/>
                <w:kern w:val="2"/>
                <w:sz w:val="15"/>
                <w:szCs w:val="15"/>
                <w:lang w:val="en-US" w:eastAsia="zh-CN"/>
              </w:rPr>
            </w:pPr>
            <w:r>
              <w:rPr>
                <w:rFonts w:hint="eastAsia"/>
                <w:color w:val="000000"/>
                <w:kern w:val="2"/>
                <w:sz w:val="15"/>
                <w:szCs w:val="15"/>
                <w:lang w:val="en-US" w:eastAsia="zh-CN"/>
              </w:rPr>
              <w:t xml:space="preserve">  </w:t>
            </w:r>
          </w:p>
        </w:tc>
        <w:tc>
          <w:tcPr>
            <w:tcW w:w="900" w:type="dxa"/>
            <w:noWrap w:val="0"/>
            <w:tcMar>
              <w:left w:w="57" w:type="dxa"/>
              <w:right w:w="57" w:type="dxa"/>
            </w:tcMar>
            <w:vAlign w:val="center"/>
          </w:tcPr>
          <w:p>
            <w:pPr>
              <w:spacing w:after="0"/>
              <w:jc w:val="both"/>
              <w:rPr>
                <w:rFonts w:hint="default" w:eastAsia="微软雅黑"/>
                <w:color w:val="000000"/>
                <w:kern w:val="2"/>
                <w:sz w:val="15"/>
                <w:szCs w:val="15"/>
                <w:lang w:val="en-US" w:eastAsia="zh-CN"/>
              </w:rPr>
            </w:pPr>
          </w:p>
        </w:tc>
        <w:tc>
          <w:tcPr>
            <w:tcW w:w="900" w:type="dxa"/>
            <w:noWrap w:val="0"/>
            <w:tcMar>
              <w:left w:w="57" w:type="dxa"/>
              <w:right w:w="57" w:type="dxa"/>
            </w:tcMar>
            <w:vAlign w:val="center"/>
          </w:tcPr>
          <w:p>
            <w:pPr>
              <w:spacing w:after="0"/>
              <w:jc w:val="both"/>
              <w:rPr>
                <w:rFonts w:hint="default" w:eastAsia="微软雅黑"/>
                <w:color w:val="000000"/>
                <w:kern w:val="2"/>
                <w:sz w:val="15"/>
                <w:szCs w:val="15"/>
                <w:lang w:val="en-US" w:eastAsia="zh-CN"/>
              </w:rPr>
            </w:pPr>
          </w:p>
        </w:tc>
        <w:tc>
          <w:tcPr>
            <w:tcW w:w="1080" w:type="dxa"/>
            <w:gridSpan w:val="2"/>
            <w:noWrap w:val="0"/>
            <w:tcMar>
              <w:left w:w="57" w:type="dxa"/>
              <w:right w:w="57" w:type="dxa"/>
            </w:tcMar>
            <w:vAlign w:val="center"/>
          </w:tcPr>
          <w:p>
            <w:pPr>
              <w:spacing w:after="0"/>
              <w:jc w:val="center"/>
              <w:rPr>
                <w:rFonts w:hint="eastAsia"/>
                <w:color w:val="000000"/>
                <w:kern w:val="2"/>
                <w:sz w:val="15"/>
                <w:szCs w:val="15"/>
              </w:rPr>
            </w:pPr>
          </w:p>
        </w:tc>
        <w:tc>
          <w:tcPr>
            <w:tcW w:w="1080" w:type="dxa"/>
            <w:noWrap w:val="0"/>
            <w:tcMar>
              <w:left w:w="57" w:type="dxa"/>
              <w:right w:w="57" w:type="dxa"/>
            </w:tcMar>
            <w:vAlign w:val="center"/>
          </w:tcPr>
          <w:p>
            <w:pPr>
              <w:spacing w:after="0"/>
              <w:jc w:val="center"/>
              <w:rPr>
                <w:rFonts w:hint="eastAsia"/>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980" w:type="dxa"/>
            <w:noWrap w:val="0"/>
            <w:tcMar>
              <w:left w:w="57" w:type="dxa"/>
              <w:right w:w="57" w:type="dxa"/>
            </w:tcMar>
            <w:vAlign w:val="center"/>
          </w:tcPr>
          <w:p>
            <w:pPr>
              <w:spacing w:after="0"/>
              <w:jc w:val="center"/>
              <w:rPr>
                <w:color w:val="000000"/>
                <w:kern w:val="2"/>
                <w:sz w:val="15"/>
                <w:szCs w:val="15"/>
              </w:rPr>
            </w:pPr>
          </w:p>
        </w:tc>
        <w:tc>
          <w:tcPr>
            <w:tcW w:w="1157" w:type="dxa"/>
            <w:noWrap w:val="0"/>
            <w:tcMar>
              <w:left w:w="57" w:type="dxa"/>
              <w:right w:w="57" w:type="dxa"/>
            </w:tcMar>
            <w:vAlign w:val="center"/>
          </w:tcPr>
          <w:p>
            <w:pPr>
              <w:spacing w:after="0"/>
              <w:jc w:val="center"/>
              <w:rPr>
                <w:rFonts w:hint="default" w:eastAsia="微软雅黑"/>
                <w:color w:val="000000"/>
                <w:kern w:val="2"/>
                <w:sz w:val="15"/>
                <w:szCs w:val="15"/>
                <w:lang w:val="en-US" w:eastAsia="zh-CN"/>
              </w:rPr>
            </w:pPr>
          </w:p>
        </w:tc>
        <w:tc>
          <w:tcPr>
            <w:tcW w:w="1244" w:type="dxa"/>
            <w:gridSpan w:val="2"/>
            <w:noWrap w:val="0"/>
            <w:tcMar>
              <w:left w:w="57" w:type="dxa"/>
              <w:right w:w="57" w:type="dxa"/>
            </w:tcMar>
            <w:vAlign w:val="center"/>
          </w:tcPr>
          <w:p>
            <w:pPr>
              <w:spacing w:after="0"/>
              <w:jc w:val="center"/>
              <w:rPr>
                <w:color w:val="000000"/>
                <w:kern w:val="2"/>
                <w:sz w:val="15"/>
                <w:szCs w:val="15"/>
              </w:rPr>
            </w:pPr>
          </w:p>
        </w:tc>
        <w:tc>
          <w:tcPr>
            <w:tcW w:w="1102" w:type="dxa"/>
            <w:gridSpan w:val="2"/>
            <w:noWrap w:val="0"/>
            <w:tcMar>
              <w:left w:w="57" w:type="dxa"/>
              <w:right w:w="57" w:type="dxa"/>
            </w:tcMar>
            <w:vAlign w:val="center"/>
          </w:tcPr>
          <w:p>
            <w:pPr>
              <w:spacing w:after="0"/>
              <w:jc w:val="center"/>
              <w:textAlignment w:val="center"/>
              <w:rPr>
                <w:color w:val="000000"/>
                <w:kern w:val="2"/>
                <w:sz w:val="15"/>
                <w:szCs w:val="15"/>
              </w:rPr>
            </w:pPr>
          </w:p>
        </w:tc>
        <w:tc>
          <w:tcPr>
            <w:tcW w:w="794" w:type="dxa"/>
            <w:noWrap w:val="0"/>
            <w:tcMar>
              <w:left w:w="57" w:type="dxa"/>
              <w:right w:w="57" w:type="dxa"/>
            </w:tcMar>
            <w:vAlign w:val="center"/>
          </w:tcPr>
          <w:p>
            <w:pPr>
              <w:spacing w:after="0"/>
              <w:jc w:val="center"/>
              <w:textAlignment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continue"/>
            <w:noWrap w:val="0"/>
            <w:tcMar>
              <w:left w:w="57" w:type="dxa"/>
              <w:right w:w="57" w:type="dxa"/>
            </w:tcMar>
            <w:vAlign w:val="top"/>
          </w:tcPr>
          <w:p>
            <w:pPr>
              <w:spacing w:after="0"/>
              <w:rPr>
                <w:color w:val="000000"/>
                <w:kern w:val="2"/>
                <w:sz w:val="15"/>
                <w:szCs w:val="15"/>
              </w:rPr>
            </w:pPr>
          </w:p>
        </w:tc>
        <w:tc>
          <w:tcPr>
            <w:tcW w:w="1796" w:type="dxa"/>
            <w:gridSpan w:val="2"/>
            <w:noWrap w:val="0"/>
            <w:tcMar>
              <w:left w:w="57" w:type="dxa"/>
              <w:right w:w="57" w:type="dxa"/>
            </w:tcMar>
            <w:vAlign w:val="center"/>
          </w:tcPr>
          <w:p>
            <w:pPr>
              <w:spacing w:after="0"/>
              <w:jc w:val="both"/>
              <w:rPr>
                <w:rFonts w:hint="eastAsia"/>
                <w:b/>
                <w:color w:val="000000"/>
                <w:kern w:val="2"/>
                <w:sz w:val="15"/>
                <w:szCs w:val="15"/>
              </w:rPr>
            </w:pPr>
            <w:r>
              <w:rPr>
                <w:rFonts w:hint="eastAsia"/>
                <w:b/>
                <w:color w:val="000000"/>
                <w:kern w:val="2"/>
                <w:sz w:val="15"/>
                <w:szCs w:val="15"/>
              </w:rPr>
              <w:t>无组织VOCs</w:t>
            </w:r>
          </w:p>
        </w:tc>
        <w:tc>
          <w:tcPr>
            <w:tcW w:w="828" w:type="dxa"/>
            <w:noWrap w:val="0"/>
            <w:tcMar>
              <w:left w:w="57" w:type="dxa"/>
              <w:right w:w="57" w:type="dxa"/>
            </w:tcMar>
            <w:vAlign w:val="center"/>
          </w:tcPr>
          <w:p>
            <w:pPr>
              <w:spacing w:after="0"/>
              <w:jc w:val="center"/>
              <w:rPr>
                <w:color w:val="000000"/>
                <w:kern w:val="2"/>
                <w:sz w:val="15"/>
                <w:szCs w:val="15"/>
              </w:rPr>
            </w:pPr>
          </w:p>
        </w:tc>
        <w:tc>
          <w:tcPr>
            <w:tcW w:w="1337" w:type="dxa"/>
            <w:noWrap w:val="0"/>
            <w:tcMar>
              <w:left w:w="57" w:type="dxa"/>
              <w:right w:w="57" w:type="dxa"/>
            </w:tcMar>
            <w:vAlign w:val="center"/>
          </w:tcPr>
          <w:p>
            <w:pPr>
              <w:spacing w:after="0"/>
              <w:jc w:val="center"/>
              <w:rPr>
                <w:rFonts w:hint="eastAsia"/>
                <w:color w:val="000000"/>
                <w:kern w:val="2"/>
                <w:sz w:val="15"/>
                <w:szCs w:val="15"/>
              </w:rPr>
            </w:pPr>
          </w:p>
        </w:tc>
        <w:tc>
          <w:tcPr>
            <w:tcW w:w="900" w:type="dxa"/>
            <w:noWrap w:val="0"/>
            <w:tcMar>
              <w:left w:w="57" w:type="dxa"/>
              <w:right w:w="57" w:type="dxa"/>
            </w:tcMar>
            <w:vAlign w:val="center"/>
          </w:tcPr>
          <w:p>
            <w:pPr>
              <w:spacing w:after="0"/>
              <w:jc w:val="both"/>
              <w:rPr>
                <w:rFonts w:hint="eastAsia"/>
                <w:color w:val="000000"/>
                <w:kern w:val="2"/>
                <w:sz w:val="15"/>
                <w:szCs w:val="15"/>
              </w:rPr>
            </w:pPr>
          </w:p>
        </w:tc>
        <w:tc>
          <w:tcPr>
            <w:tcW w:w="900" w:type="dxa"/>
            <w:noWrap w:val="0"/>
            <w:tcMar>
              <w:left w:w="57" w:type="dxa"/>
              <w:right w:w="57" w:type="dxa"/>
            </w:tcMar>
            <w:vAlign w:val="center"/>
          </w:tcPr>
          <w:p>
            <w:pPr>
              <w:spacing w:after="0"/>
              <w:jc w:val="center"/>
              <w:rPr>
                <w:color w:val="000000"/>
                <w:kern w:val="2"/>
                <w:sz w:val="15"/>
                <w:szCs w:val="15"/>
              </w:rPr>
            </w:pPr>
          </w:p>
        </w:tc>
        <w:tc>
          <w:tcPr>
            <w:tcW w:w="1080" w:type="dxa"/>
            <w:gridSpan w:val="2"/>
            <w:noWrap w:val="0"/>
            <w:tcMar>
              <w:left w:w="57" w:type="dxa"/>
              <w:right w:w="57" w:type="dxa"/>
            </w:tcMar>
            <w:vAlign w:val="center"/>
          </w:tcPr>
          <w:p>
            <w:pPr>
              <w:spacing w:after="0"/>
              <w:jc w:val="center"/>
              <w:rPr>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980" w:type="dxa"/>
            <w:noWrap w:val="0"/>
            <w:tcMar>
              <w:left w:w="57" w:type="dxa"/>
              <w:right w:w="57" w:type="dxa"/>
            </w:tcMar>
            <w:vAlign w:val="center"/>
          </w:tcPr>
          <w:p>
            <w:pPr>
              <w:spacing w:after="0"/>
              <w:jc w:val="center"/>
              <w:rPr>
                <w:color w:val="000000"/>
                <w:kern w:val="2"/>
                <w:sz w:val="15"/>
                <w:szCs w:val="15"/>
              </w:rPr>
            </w:pPr>
          </w:p>
        </w:tc>
        <w:tc>
          <w:tcPr>
            <w:tcW w:w="1157" w:type="dxa"/>
            <w:noWrap w:val="0"/>
            <w:tcMar>
              <w:left w:w="57" w:type="dxa"/>
              <w:right w:w="57" w:type="dxa"/>
            </w:tcMar>
            <w:vAlign w:val="center"/>
          </w:tcPr>
          <w:p>
            <w:pPr>
              <w:spacing w:after="0"/>
              <w:jc w:val="center"/>
              <w:rPr>
                <w:color w:val="000000"/>
                <w:kern w:val="2"/>
                <w:sz w:val="15"/>
                <w:szCs w:val="15"/>
              </w:rPr>
            </w:pPr>
          </w:p>
        </w:tc>
        <w:tc>
          <w:tcPr>
            <w:tcW w:w="1244" w:type="dxa"/>
            <w:gridSpan w:val="2"/>
            <w:noWrap w:val="0"/>
            <w:tcMar>
              <w:left w:w="57" w:type="dxa"/>
              <w:right w:w="57" w:type="dxa"/>
            </w:tcMar>
            <w:vAlign w:val="center"/>
          </w:tcPr>
          <w:p>
            <w:pPr>
              <w:spacing w:after="0"/>
              <w:jc w:val="center"/>
              <w:rPr>
                <w:color w:val="000000"/>
                <w:kern w:val="2"/>
                <w:sz w:val="15"/>
                <w:szCs w:val="15"/>
              </w:rPr>
            </w:pPr>
          </w:p>
        </w:tc>
        <w:tc>
          <w:tcPr>
            <w:tcW w:w="1102" w:type="dxa"/>
            <w:gridSpan w:val="2"/>
            <w:noWrap w:val="0"/>
            <w:tcMar>
              <w:left w:w="57" w:type="dxa"/>
              <w:right w:w="57" w:type="dxa"/>
            </w:tcMar>
            <w:vAlign w:val="center"/>
          </w:tcPr>
          <w:p>
            <w:pPr>
              <w:spacing w:after="0"/>
              <w:jc w:val="center"/>
              <w:rPr>
                <w:color w:val="000000"/>
                <w:kern w:val="2"/>
                <w:sz w:val="15"/>
                <w:szCs w:val="15"/>
              </w:rPr>
            </w:pPr>
          </w:p>
        </w:tc>
        <w:tc>
          <w:tcPr>
            <w:tcW w:w="794" w:type="dxa"/>
            <w:noWrap w:val="0"/>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continue"/>
            <w:noWrap w:val="0"/>
            <w:tcMar>
              <w:left w:w="57" w:type="dxa"/>
              <w:right w:w="57" w:type="dxa"/>
            </w:tcMar>
            <w:vAlign w:val="top"/>
          </w:tcPr>
          <w:p>
            <w:pPr>
              <w:spacing w:after="0"/>
              <w:rPr>
                <w:color w:val="000000"/>
                <w:kern w:val="2"/>
                <w:sz w:val="15"/>
                <w:szCs w:val="15"/>
              </w:rPr>
            </w:pPr>
          </w:p>
        </w:tc>
        <w:tc>
          <w:tcPr>
            <w:tcW w:w="1796" w:type="dxa"/>
            <w:gridSpan w:val="2"/>
            <w:noWrap w:val="0"/>
            <w:tcMar>
              <w:left w:w="57" w:type="dxa"/>
              <w:right w:w="57" w:type="dxa"/>
            </w:tcMar>
            <w:vAlign w:val="center"/>
          </w:tcPr>
          <w:p>
            <w:pPr>
              <w:spacing w:after="0"/>
              <w:jc w:val="both"/>
              <w:rPr>
                <w:rFonts w:hint="eastAsia"/>
                <w:b/>
                <w:color w:val="000000"/>
                <w:kern w:val="2"/>
                <w:sz w:val="15"/>
                <w:szCs w:val="15"/>
              </w:rPr>
            </w:pPr>
            <w:r>
              <w:rPr>
                <w:rFonts w:hint="eastAsia"/>
                <w:b/>
                <w:color w:val="000000"/>
                <w:kern w:val="2"/>
                <w:sz w:val="15"/>
                <w:szCs w:val="15"/>
              </w:rPr>
              <w:t>无组织颗粒物</w:t>
            </w:r>
          </w:p>
        </w:tc>
        <w:tc>
          <w:tcPr>
            <w:tcW w:w="828" w:type="dxa"/>
            <w:noWrap w:val="0"/>
            <w:tcMar>
              <w:left w:w="57" w:type="dxa"/>
              <w:right w:w="57" w:type="dxa"/>
            </w:tcMar>
            <w:vAlign w:val="center"/>
          </w:tcPr>
          <w:p>
            <w:pPr>
              <w:spacing w:after="0"/>
              <w:jc w:val="center"/>
              <w:rPr>
                <w:color w:val="000000"/>
                <w:kern w:val="2"/>
                <w:sz w:val="15"/>
                <w:szCs w:val="15"/>
              </w:rPr>
            </w:pPr>
          </w:p>
        </w:tc>
        <w:tc>
          <w:tcPr>
            <w:tcW w:w="1337" w:type="dxa"/>
            <w:noWrap w:val="0"/>
            <w:tcMar>
              <w:left w:w="57" w:type="dxa"/>
              <w:right w:w="57" w:type="dxa"/>
            </w:tcMar>
            <w:vAlign w:val="center"/>
          </w:tcPr>
          <w:p>
            <w:pPr>
              <w:spacing w:after="0"/>
              <w:ind w:firstLine="600" w:firstLineChars="400"/>
              <w:jc w:val="both"/>
              <w:rPr>
                <w:rFonts w:hint="default" w:eastAsia="微软雅黑"/>
                <w:color w:val="000000"/>
                <w:kern w:val="2"/>
                <w:sz w:val="15"/>
                <w:szCs w:val="15"/>
                <w:lang w:val="en-US" w:eastAsia="zh-CN"/>
              </w:rPr>
            </w:pPr>
          </w:p>
        </w:tc>
        <w:tc>
          <w:tcPr>
            <w:tcW w:w="900" w:type="dxa"/>
            <w:noWrap w:val="0"/>
            <w:tcMar>
              <w:left w:w="57" w:type="dxa"/>
              <w:right w:w="57" w:type="dxa"/>
            </w:tcMar>
            <w:vAlign w:val="center"/>
          </w:tcPr>
          <w:p>
            <w:pPr>
              <w:spacing w:after="0"/>
              <w:jc w:val="center"/>
              <w:rPr>
                <w:rFonts w:hint="eastAsia" w:eastAsia="微软雅黑"/>
                <w:color w:val="000000"/>
                <w:kern w:val="2"/>
                <w:sz w:val="15"/>
                <w:szCs w:val="15"/>
                <w:lang w:val="en-US" w:eastAsia="zh-CN"/>
              </w:rPr>
            </w:pPr>
          </w:p>
        </w:tc>
        <w:tc>
          <w:tcPr>
            <w:tcW w:w="900" w:type="dxa"/>
            <w:noWrap w:val="0"/>
            <w:tcMar>
              <w:left w:w="57" w:type="dxa"/>
              <w:right w:w="57" w:type="dxa"/>
            </w:tcMar>
            <w:vAlign w:val="center"/>
          </w:tcPr>
          <w:p>
            <w:pPr>
              <w:spacing w:after="0"/>
              <w:jc w:val="center"/>
              <w:rPr>
                <w:color w:val="000000"/>
                <w:kern w:val="2"/>
                <w:sz w:val="15"/>
                <w:szCs w:val="15"/>
              </w:rPr>
            </w:pPr>
          </w:p>
        </w:tc>
        <w:tc>
          <w:tcPr>
            <w:tcW w:w="1080" w:type="dxa"/>
            <w:gridSpan w:val="2"/>
            <w:noWrap w:val="0"/>
            <w:tcMar>
              <w:left w:w="57" w:type="dxa"/>
              <w:right w:w="57" w:type="dxa"/>
            </w:tcMar>
            <w:vAlign w:val="center"/>
          </w:tcPr>
          <w:p>
            <w:pPr>
              <w:spacing w:after="0"/>
              <w:jc w:val="center"/>
              <w:rPr>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980" w:type="dxa"/>
            <w:noWrap w:val="0"/>
            <w:tcMar>
              <w:left w:w="57" w:type="dxa"/>
              <w:right w:w="57" w:type="dxa"/>
            </w:tcMar>
            <w:vAlign w:val="center"/>
          </w:tcPr>
          <w:p>
            <w:pPr>
              <w:spacing w:after="0"/>
              <w:jc w:val="center"/>
              <w:rPr>
                <w:color w:val="000000"/>
                <w:kern w:val="2"/>
                <w:sz w:val="15"/>
                <w:szCs w:val="15"/>
              </w:rPr>
            </w:pPr>
          </w:p>
        </w:tc>
        <w:tc>
          <w:tcPr>
            <w:tcW w:w="1157" w:type="dxa"/>
            <w:noWrap w:val="0"/>
            <w:tcMar>
              <w:left w:w="57" w:type="dxa"/>
              <w:right w:w="57" w:type="dxa"/>
            </w:tcMar>
            <w:vAlign w:val="center"/>
          </w:tcPr>
          <w:p>
            <w:pPr>
              <w:spacing w:after="0"/>
              <w:jc w:val="center"/>
              <w:rPr>
                <w:color w:val="000000"/>
                <w:kern w:val="2"/>
                <w:sz w:val="15"/>
                <w:szCs w:val="15"/>
              </w:rPr>
            </w:pPr>
          </w:p>
        </w:tc>
        <w:tc>
          <w:tcPr>
            <w:tcW w:w="1244" w:type="dxa"/>
            <w:gridSpan w:val="2"/>
            <w:noWrap w:val="0"/>
            <w:tcMar>
              <w:left w:w="57" w:type="dxa"/>
              <w:right w:w="57" w:type="dxa"/>
            </w:tcMar>
            <w:vAlign w:val="center"/>
          </w:tcPr>
          <w:p>
            <w:pPr>
              <w:spacing w:after="0"/>
              <w:jc w:val="center"/>
              <w:rPr>
                <w:color w:val="000000"/>
                <w:kern w:val="2"/>
                <w:sz w:val="15"/>
                <w:szCs w:val="15"/>
              </w:rPr>
            </w:pPr>
          </w:p>
        </w:tc>
        <w:tc>
          <w:tcPr>
            <w:tcW w:w="1102" w:type="dxa"/>
            <w:gridSpan w:val="2"/>
            <w:noWrap w:val="0"/>
            <w:tcMar>
              <w:left w:w="57" w:type="dxa"/>
              <w:right w:w="57" w:type="dxa"/>
            </w:tcMar>
            <w:vAlign w:val="center"/>
          </w:tcPr>
          <w:p>
            <w:pPr>
              <w:spacing w:after="0"/>
              <w:jc w:val="center"/>
              <w:textAlignment w:val="center"/>
              <w:rPr>
                <w:color w:val="000000"/>
                <w:kern w:val="2"/>
                <w:sz w:val="15"/>
                <w:szCs w:val="15"/>
              </w:rPr>
            </w:pPr>
          </w:p>
        </w:tc>
        <w:tc>
          <w:tcPr>
            <w:tcW w:w="794" w:type="dxa"/>
            <w:noWrap w:val="0"/>
            <w:tcMar>
              <w:left w:w="57" w:type="dxa"/>
              <w:right w:w="57" w:type="dxa"/>
            </w:tcMar>
            <w:vAlign w:val="center"/>
          </w:tcPr>
          <w:p>
            <w:pPr>
              <w:spacing w:after="0"/>
              <w:jc w:val="center"/>
              <w:textAlignment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continue"/>
            <w:noWrap w:val="0"/>
            <w:tcMar>
              <w:left w:w="57" w:type="dxa"/>
              <w:right w:w="57" w:type="dxa"/>
            </w:tcMar>
            <w:vAlign w:val="top"/>
          </w:tcPr>
          <w:p>
            <w:pPr>
              <w:spacing w:after="0"/>
              <w:rPr>
                <w:color w:val="000000"/>
                <w:kern w:val="2"/>
                <w:sz w:val="15"/>
                <w:szCs w:val="15"/>
              </w:rPr>
            </w:pPr>
          </w:p>
        </w:tc>
        <w:tc>
          <w:tcPr>
            <w:tcW w:w="1796" w:type="dxa"/>
            <w:gridSpan w:val="2"/>
            <w:noWrap w:val="0"/>
            <w:tcMar>
              <w:left w:w="57" w:type="dxa"/>
              <w:right w:w="57" w:type="dxa"/>
            </w:tcMar>
            <w:vAlign w:val="center"/>
          </w:tcPr>
          <w:p>
            <w:pPr>
              <w:spacing w:after="0"/>
              <w:jc w:val="both"/>
              <w:rPr>
                <w:rFonts w:eastAsia="黑体"/>
                <w:b/>
                <w:color w:val="000000"/>
                <w:kern w:val="2"/>
                <w:sz w:val="15"/>
                <w:szCs w:val="15"/>
              </w:rPr>
            </w:pPr>
            <w:r>
              <w:rPr>
                <w:b/>
                <w:color w:val="000000"/>
                <w:kern w:val="2"/>
                <w:sz w:val="15"/>
                <w:szCs w:val="15"/>
              </w:rPr>
              <w:t>工业固体废物</w:t>
            </w:r>
          </w:p>
        </w:tc>
        <w:tc>
          <w:tcPr>
            <w:tcW w:w="828" w:type="dxa"/>
            <w:noWrap w:val="0"/>
            <w:tcMar>
              <w:left w:w="57" w:type="dxa"/>
              <w:right w:w="57" w:type="dxa"/>
            </w:tcMar>
            <w:vAlign w:val="center"/>
          </w:tcPr>
          <w:p>
            <w:pPr>
              <w:spacing w:after="0"/>
              <w:jc w:val="center"/>
              <w:rPr>
                <w:color w:val="000000"/>
                <w:kern w:val="2"/>
                <w:sz w:val="15"/>
                <w:szCs w:val="15"/>
              </w:rPr>
            </w:pPr>
          </w:p>
        </w:tc>
        <w:tc>
          <w:tcPr>
            <w:tcW w:w="1337" w:type="dxa"/>
            <w:noWrap w:val="0"/>
            <w:tcMar>
              <w:left w:w="57" w:type="dxa"/>
              <w:right w:w="57" w:type="dxa"/>
            </w:tcMar>
            <w:vAlign w:val="center"/>
          </w:tcPr>
          <w:p>
            <w:pPr>
              <w:spacing w:after="0"/>
              <w:jc w:val="center"/>
              <w:rPr>
                <w:color w:val="000000"/>
                <w:kern w:val="2"/>
                <w:sz w:val="15"/>
                <w:szCs w:val="15"/>
              </w:rPr>
            </w:pPr>
          </w:p>
        </w:tc>
        <w:tc>
          <w:tcPr>
            <w:tcW w:w="900" w:type="dxa"/>
            <w:noWrap w:val="0"/>
            <w:tcMar>
              <w:left w:w="57" w:type="dxa"/>
              <w:right w:w="57" w:type="dxa"/>
            </w:tcMar>
            <w:vAlign w:val="center"/>
          </w:tcPr>
          <w:p>
            <w:pPr>
              <w:spacing w:after="0"/>
              <w:jc w:val="center"/>
              <w:rPr>
                <w:color w:val="000000"/>
                <w:kern w:val="2"/>
                <w:sz w:val="15"/>
                <w:szCs w:val="15"/>
              </w:rPr>
            </w:pPr>
          </w:p>
        </w:tc>
        <w:tc>
          <w:tcPr>
            <w:tcW w:w="900" w:type="dxa"/>
            <w:noWrap w:val="0"/>
            <w:tcMar>
              <w:left w:w="57" w:type="dxa"/>
              <w:right w:w="57" w:type="dxa"/>
            </w:tcMar>
            <w:vAlign w:val="center"/>
          </w:tcPr>
          <w:p>
            <w:pPr>
              <w:spacing w:after="0"/>
              <w:jc w:val="center"/>
              <w:rPr>
                <w:color w:val="000000"/>
                <w:kern w:val="2"/>
                <w:sz w:val="15"/>
                <w:szCs w:val="15"/>
              </w:rPr>
            </w:pPr>
          </w:p>
        </w:tc>
        <w:tc>
          <w:tcPr>
            <w:tcW w:w="1080" w:type="dxa"/>
            <w:gridSpan w:val="2"/>
            <w:noWrap w:val="0"/>
            <w:tcMar>
              <w:left w:w="57" w:type="dxa"/>
              <w:right w:w="57" w:type="dxa"/>
            </w:tcMar>
            <w:vAlign w:val="center"/>
          </w:tcPr>
          <w:p>
            <w:pPr>
              <w:spacing w:after="0"/>
              <w:jc w:val="center"/>
              <w:rPr>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980" w:type="dxa"/>
            <w:noWrap w:val="0"/>
            <w:tcMar>
              <w:left w:w="57" w:type="dxa"/>
              <w:right w:w="57" w:type="dxa"/>
            </w:tcMar>
            <w:vAlign w:val="center"/>
          </w:tcPr>
          <w:p>
            <w:pPr>
              <w:spacing w:after="0"/>
              <w:jc w:val="center"/>
              <w:rPr>
                <w:color w:val="000000"/>
                <w:kern w:val="2"/>
                <w:sz w:val="15"/>
                <w:szCs w:val="15"/>
              </w:rPr>
            </w:pPr>
          </w:p>
        </w:tc>
        <w:tc>
          <w:tcPr>
            <w:tcW w:w="1157" w:type="dxa"/>
            <w:noWrap w:val="0"/>
            <w:tcMar>
              <w:left w:w="57" w:type="dxa"/>
              <w:right w:w="57" w:type="dxa"/>
            </w:tcMar>
            <w:vAlign w:val="center"/>
          </w:tcPr>
          <w:p>
            <w:pPr>
              <w:spacing w:after="0"/>
              <w:jc w:val="center"/>
              <w:rPr>
                <w:color w:val="000000"/>
                <w:kern w:val="2"/>
                <w:sz w:val="15"/>
                <w:szCs w:val="15"/>
              </w:rPr>
            </w:pPr>
          </w:p>
        </w:tc>
        <w:tc>
          <w:tcPr>
            <w:tcW w:w="1244" w:type="dxa"/>
            <w:gridSpan w:val="2"/>
            <w:noWrap w:val="0"/>
            <w:tcMar>
              <w:left w:w="57" w:type="dxa"/>
              <w:right w:w="57" w:type="dxa"/>
            </w:tcMar>
            <w:vAlign w:val="center"/>
          </w:tcPr>
          <w:p>
            <w:pPr>
              <w:spacing w:after="0"/>
              <w:jc w:val="center"/>
              <w:rPr>
                <w:color w:val="000000"/>
                <w:kern w:val="2"/>
                <w:sz w:val="15"/>
                <w:szCs w:val="15"/>
              </w:rPr>
            </w:pPr>
          </w:p>
        </w:tc>
        <w:tc>
          <w:tcPr>
            <w:tcW w:w="1102" w:type="dxa"/>
            <w:gridSpan w:val="2"/>
            <w:noWrap w:val="0"/>
            <w:tcMar>
              <w:left w:w="57" w:type="dxa"/>
              <w:right w:w="57" w:type="dxa"/>
            </w:tcMar>
            <w:vAlign w:val="center"/>
          </w:tcPr>
          <w:p>
            <w:pPr>
              <w:spacing w:after="0"/>
              <w:jc w:val="center"/>
              <w:rPr>
                <w:color w:val="000000"/>
                <w:kern w:val="2"/>
                <w:sz w:val="15"/>
                <w:szCs w:val="15"/>
              </w:rPr>
            </w:pPr>
          </w:p>
        </w:tc>
        <w:tc>
          <w:tcPr>
            <w:tcW w:w="794" w:type="dxa"/>
            <w:noWrap w:val="0"/>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continue"/>
            <w:noWrap w:val="0"/>
            <w:tcMar>
              <w:left w:w="57" w:type="dxa"/>
              <w:right w:w="57" w:type="dxa"/>
            </w:tcMar>
            <w:vAlign w:val="top"/>
          </w:tcPr>
          <w:p>
            <w:pPr>
              <w:spacing w:after="0"/>
              <w:rPr>
                <w:color w:val="000000"/>
                <w:kern w:val="2"/>
                <w:sz w:val="15"/>
                <w:szCs w:val="15"/>
              </w:rPr>
            </w:pPr>
          </w:p>
        </w:tc>
        <w:tc>
          <w:tcPr>
            <w:tcW w:w="1261" w:type="dxa"/>
            <w:vMerge w:val="restart"/>
            <w:noWrap w:val="0"/>
            <w:tcMar>
              <w:left w:w="57" w:type="dxa"/>
              <w:right w:w="57" w:type="dxa"/>
            </w:tcMar>
            <w:vAlign w:val="top"/>
          </w:tcPr>
          <w:p>
            <w:pPr>
              <w:spacing w:after="0" w:line="240" w:lineRule="atLeast"/>
              <w:jc w:val="both"/>
              <w:rPr>
                <w:color w:val="000000"/>
                <w:kern w:val="2"/>
                <w:sz w:val="15"/>
                <w:szCs w:val="15"/>
              </w:rPr>
            </w:pPr>
            <w:r>
              <w:rPr>
                <w:b/>
                <w:color w:val="000000"/>
                <w:kern w:val="2"/>
                <w:sz w:val="15"/>
                <w:szCs w:val="15"/>
              </w:rPr>
              <w:t>与项目有关的其</w:t>
            </w:r>
            <w:r>
              <w:rPr>
                <w:rFonts w:hint="eastAsia"/>
                <w:b/>
                <w:color w:val="000000"/>
                <w:kern w:val="2"/>
                <w:sz w:val="15"/>
                <w:szCs w:val="15"/>
              </w:rPr>
              <w:t>他</w:t>
            </w:r>
            <w:r>
              <w:rPr>
                <w:b/>
                <w:color w:val="000000"/>
                <w:kern w:val="2"/>
                <w:sz w:val="15"/>
                <w:szCs w:val="15"/>
              </w:rPr>
              <w:t>特征污染物</w:t>
            </w:r>
          </w:p>
        </w:tc>
        <w:tc>
          <w:tcPr>
            <w:tcW w:w="535" w:type="dxa"/>
            <w:noWrap w:val="0"/>
            <w:tcMar>
              <w:left w:w="57" w:type="dxa"/>
              <w:right w:w="57" w:type="dxa"/>
            </w:tcMar>
            <w:vAlign w:val="center"/>
          </w:tcPr>
          <w:p>
            <w:pPr>
              <w:spacing w:after="0"/>
              <w:rPr>
                <w:rFonts w:hint="eastAsia" w:eastAsia="宋体"/>
                <w:color w:val="000000"/>
                <w:kern w:val="2"/>
                <w:sz w:val="15"/>
                <w:szCs w:val="15"/>
                <w:lang w:val="en-US" w:eastAsia="zh-CN"/>
              </w:rPr>
            </w:pPr>
          </w:p>
        </w:tc>
        <w:tc>
          <w:tcPr>
            <w:tcW w:w="828" w:type="dxa"/>
            <w:noWrap w:val="0"/>
            <w:tcMar>
              <w:left w:w="57" w:type="dxa"/>
              <w:right w:w="57" w:type="dxa"/>
            </w:tcMar>
            <w:vAlign w:val="center"/>
          </w:tcPr>
          <w:p>
            <w:pPr>
              <w:spacing w:after="0"/>
              <w:jc w:val="center"/>
              <w:rPr>
                <w:color w:val="000000"/>
                <w:kern w:val="2"/>
                <w:sz w:val="15"/>
                <w:szCs w:val="15"/>
              </w:rPr>
            </w:pPr>
          </w:p>
        </w:tc>
        <w:tc>
          <w:tcPr>
            <w:tcW w:w="1337" w:type="dxa"/>
            <w:noWrap w:val="0"/>
            <w:tcMar>
              <w:left w:w="57" w:type="dxa"/>
              <w:right w:w="57" w:type="dxa"/>
            </w:tcMar>
            <w:vAlign w:val="center"/>
          </w:tcPr>
          <w:p>
            <w:pPr>
              <w:spacing w:after="0"/>
              <w:jc w:val="center"/>
              <w:rPr>
                <w:rFonts w:hint="default" w:eastAsia="宋体"/>
                <w:color w:val="000000"/>
                <w:kern w:val="2"/>
                <w:sz w:val="15"/>
                <w:szCs w:val="15"/>
                <w:lang w:val="en-US" w:eastAsia="zh-CN"/>
              </w:rPr>
            </w:pPr>
          </w:p>
        </w:tc>
        <w:tc>
          <w:tcPr>
            <w:tcW w:w="900" w:type="dxa"/>
            <w:noWrap w:val="0"/>
            <w:tcMar>
              <w:left w:w="57" w:type="dxa"/>
              <w:right w:w="57" w:type="dxa"/>
            </w:tcMar>
            <w:vAlign w:val="center"/>
          </w:tcPr>
          <w:p>
            <w:pPr>
              <w:spacing w:after="0"/>
              <w:jc w:val="center"/>
              <w:rPr>
                <w:rFonts w:hint="default" w:eastAsia="宋体"/>
                <w:color w:val="000000"/>
                <w:kern w:val="2"/>
                <w:sz w:val="15"/>
                <w:szCs w:val="15"/>
                <w:lang w:val="en-US" w:eastAsia="zh-CN"/>
              </w:rPr>
            </w:pPr>
          </w:p>
        </w:tc>
        <w:tc>
          <w:tcPr>
            <w:tcW w:w="900" w:type="dxa"/>
            <w:noWrap w:val="0"/>
            <w:tcMar>
              <w:left w:w="57" w:type="dxa"/>
              <w:right w:w="57" w:type="dxa"/>
            </w:tcMar>
            <w:vAlign w:val="center"/>
          </w:tcPr>
          <w:p>
            <w:pPr>
              <w:spacing w:after="0"/>
              <w:jc w:val="center"/>
              <w:rPr>
                <w:rFonts w:hint="eastAsia"/>
                <w:color w:val="000000"/>
                <w:kern w:val="2"/>
                <w:sz w:val="15"/>
                <w:szCs w:val="15"/>
              </w:rPr>
            </w:pPr>
          </w:p>
        </w:tc>
        <w:tc>
          <w:tcPr>
            <w:tcW w:w="1080" w:type="dxa"/>
            <w:gridSpan w:val="2"/>
            <w:noWrap w:val="0"/>
            <w:tcMar>
              <w:left w:w="57" w:type="dxa"/>
              <w:right w:w="57" w:type="dxa"/>
            </w:tcMar>
            <w:vAlign w:val="center"/>
          </w:tcPr>
          <w:p>
            <w:pPr>
              <w:spacing w:after="0"/>
              <w:jc w:val="center"/>
              <w:rPr>
                <w:rFonts w:hint="default" w:eastAsia="宋体"/>
                <w:color w:val="000000"/>
                <w:kern w:val="2"/>
                <w:sz w:val="15"/>
                <w:szCs w:val="15"/>
                <w:lang w:val="en-US" w:eastAsia="zh-CN"/>
              </w:rPr>
            </w:pPr>
          </w:p>
        </w:tc>
        <w:tc>
          <w:tcPr>
            <w:tcW w:w="1080" w:type="dxa"/>
            <w:noWrap w:val="0"/>
            <w:tcMar>
              <w:left w:w="57" w:type="dxa"/>
              <w:right w:w="57" w:type="dxa"/>
            </w:tcMar>
            <w:vAlign w:val="center"/>
          </w:tcPr>
          <w:p>
            <w:pPr>
              <w:spacing w:after="0"/>
              <w:jc w:val="center"/>
              <w:rPr>
                <w:rFonts w:hint="eastAsia"/>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980" w:type="dxa"/>
            <w:noWrap w:val="0"/>
            <w:tcMar>
              <w:left w:w="57" w:type="dxa"/>
              <w:right w:w="57" w:type="dxa"/>
            </w:tcMar>
            <w:vAlign w:val="center"/>
          </w:tcPr>
          <w:p>
            <w:pPr>
              <w:spacing w:after="0"/>
              <w:jc w:val="center"/>
              <w:rPr>
                <w:color w:val="000000"/>
                <w:kern w:val="2"/>
                <w:sz w:val="15"/>
                <w:szCs w:val="15"/>
              </w:rPr>
            </w:pPr>
          </w:p>
        </w:tc>
        <w:tc>
          <w:tcPr>
            <w:tcW w:w="1157" w:type="dxa"/>
            <w:noWrap w:val="0"/>
            <w:tcMar>
              <w:left w:w="57" w:type="dxa"/>
              <w:right w:w="57" w:type="dxa"/>
            </w:tcMar>
            <w:vAlign w:val="center"/>
          </w:tcPr>
          <w:p>
            <w:pPr>
              <w:spacing w:after="0"/>
              <w:jc w:val="center"/>
              <w:rPr>
                <w:color w:val="000000"/>
                <w:kern w:val="2"/>
                <w:sz w:val="15"/>
                <w:szCs w:val="15"/>
              </w:rPr>
            </w:pPr>
          </w:p>
        </w:tc>
        <w:tc>
          <w:tcPr>
            <w:tcW w:w="1244" w:type="dxa"/>
            <w:gridSpan w:val="2"/>
            <w:noWrap w:val="0"/>
            <w:tcMar>
              <w:left w:w="57" w:type="dxa"/>
              <w:right w:w="57" w:type="dxa"/>
            </w:tcMar>
            <w:vAlign w:val="center"/>
          </w:tcPr>
          <w:p>
            <w:pPr>
              <w:spacing w:after="0"/>
              <w:jc w:val="center"/>
              <w:rPr>
                <w:color w:val="000000"/>
                <w:kern w:val="2"/>
                <w:sz w:val="15"/>
                <w:szCs w:val="15"/>
              </w:rPr>
            </w:pPr>
          </w:p>
        </w:tc>
        <w:tc>
          <w:tcPr>
            <w:tcW w:w="1102" w:type="dxa"/>
            <w:gridSpan w:val="2"/>
            <w:noWrap w:val="0"/>
            <w:tcMar>
              <w:left w:w="57" w:type="dxa"/>
              <w:right w:w="57" w:type="dxa"/>
            </w:tcMar>
            <w:vAlign w:val="center"/>
          </w:tcPr>
          <w:p>
            <w:pPr>
              <w:spacing w:after="0"/>
              <w:jc w:val="center"/>
              <w:rPr>
                <w:color w:val="000000"/>
                <w:kern w:val="2"/>
                <w:sz w:val="15"/>
                <w:szCs w:val="15"/>
              </w:rPr>
            </w:pPr>
          </w:p>
        </w:tc>
        <w:tc>
          <w:tcPr>
            <w:tcW w:w="794" w:type="dxa"/>
            <w:noWrap w:val="0"/>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8" w:type="dxa"/>
            <w:gridSpan w:val="2"/>
            <w:vMerge w:val="continue"/>
            <w:noWrap w:val="0"/>
            <w:tcMar>
              <w:left w:w="57" w:type="dxa"/>
              <w:right w:w="57" w:type="dxa"/>
            </w:tcMar>
            <w:vAlign w:val="top"/>
          </w:tcPr>
          <w:p>
            <w:pPr>
              <w:spacing w:after="0"/>
              <w:rPr>
                <w:color w:val="000000"/>
                <w:kern w:val="2"/>
                <w:sz w:val="15"/>
                <w:szCs w:val="15"/>
              </w:rPr>
            </w:pPr>
          </w:p>
        </w:tc>
        <w:tc>
          <w:tcPr>
            <w:tcW w:w="1261" w:type="dxa"/>
            <w:vMerge w:val="continue"/>
            <w:noWrap w:val="0"/>
            <w:tcMar>
              <w:left w:w="57" w:type="dxa"/>
              <w:right w:w="57" w:type="dxa"/>
            </w:tcMar>
            <w:vAlign w:val="top"/>
          </w:tcPr>
          <w:p>
            <w:pPr>
              <w:spacing w:after="0"/>
              <w:rPr>
                <w:b/>
                <w:color w:val="000000"/>
                <w:kern w:val="2"/>
                <w:sz w:val="15"/>
                <w:szCs w:val="15"/>
              </w:rPr>
            </w:pPr>
          </w:p>
        </w:tc>
        <w:tc>
          <w:tcPr>
            <w:tcW w:w="535" w:type="dxa"/>
            <w:noWrap w:val="0"/>
            <w:tcMar>
              <w:left w:w="57" w:type="dxa"/>
              <w:right w:w="57" w:type="dxa"/>
            </w:tcMar>
            <w:vAlign w:val="center"/>
          </w:tcPr>
          <w:p>
            <w:pPr>
              <w:spacing w:after="0"/>
              <w:rPr>
                <w:rFonts w:hint="eastAsia" w:eastAsia="宋体"/>
                <w:color w:val="000000"/>
                <w:kern w:val="2"/>
                <w:sz w:val="15"/>
                <w:szCs w:val="15"/>
                <w:lang w:val="en-US" w:eastAsia="zh-CN"/>
              </w:rPr>
            </w:pPr>
          </w:p>
        </w:tc>
        <w:tc>
          <w:tcPr>
            <w:tcW w:w="828" w:type="dxa"/>
            <w:noWrap w:val="0"/>
            <w:tcMar>
              <w:left w:w="57" w:type="dxa"/>
              <w:right w:w="57" w:type="dxa"/>
            </w:tcMar>
            <w:vAlign w:val="center"/>
          </w:tcPr>
          <w:p>
            <w:pPr>
              <w:spacing w:after="0"/>
              <w:jc w:val="center"/>
              <w:rPr>
                <w:color w:val="000000"/>
                <w:kern w:val="2"/>
                <w:sz w:val="15"/>
                <w:szCs w:val="15"/>
              </w:rPr>
            </w:pPr>
          </w:p>
        </w:tc>
        <w:tc>
          <w:tcPr>
            <w:tcW w:w="1337" w:type="dxa"/>
            <w:noWrap w:val="0"/>
            <w:tcMar>
              <w:left w:w="57" w:type="dxa"/>
              <w:right w:w="57" w:type="dxa"/>
            </w:tcMar>
            <w:vAlign w:val="center"/>
          </w:tcPr>
          <w:p>
            <w:pPr>
              <w:spacing w:after="0"/>
              <w:jc w:val="center"/>
              <w:rPr>
                <w:color w:val="000000"/>
                <w:kern w:val="2"/>
                <w:sz w:val="15"/>
                <w:szCs w:val="15"/>
              </w:rPr>
            </w:pPr>
          </w:p>
        </w:tc>
        <w:tc>
          <w:tcPr>
            <w:tcW w:w="900" w:type="dxa"/>
            <w:noWrap w:val="0"/>
            <w:tcMar>
              <w:left w:w="57" w:type="dxa"/>
              <w:right w:w="57" w:type="dxa"/>
            </w:tcMar>
            <w:vAlign w:val="center"/>
          </w:tcPr>
          <w:p>
            <w:pPr>
              <w:spacing w:after="0"/>
              <w:jc w:val="center"/>
              <w:rPr>
                <w:rFonts w:hint="default" w:eastAsia="宋体"/>
                <w:color w:val="000000"/>
                <w:kern w:val="2"/>
                <w:sz w:val="15"/>
                <w:szCs w:val="15"/>
                <w:lang w:val="en-US" w:eastAsia="zh-CN"/>
              </w:rPr>
            </w:pPr>
          </w:p>
        </w:tc>
        <w:tc>
          <w:tcPr>
            <w:tcW w:w="900" w:type="dxa"/>
            <w:noWrap w:val="0"/>
            <w:tcMar>
              <w:left w:w="57" w:type="dxa"/>
              <w:right w:w="57" w:type="dxa"/>
            </w:tcMar>
            <w:vAlign w:val="center"/>
          </w:tcPr>
          <w:p>
            <w:pPr>
              <w:spacing w:after="0"/>
              <w:jc w:val="center"/>
              <w:rPr>
                <w:color w:val="000000"/>
                <w:kern w:val="2"/>
                <w:sz w:val="15"/>
                <w:szCs w:val="15"/>
              </w:rPr>
            </w:pPr>
          </w:p>
        </w:tc>
        <w:tc>
          <w:tcPr>
            <w:tcW w:w="1080" w:type="dxa"/>
            <w:gridSpan w:val="2"/>
            <w:noWrap w:val="0"/>
            <w:tcMar>
              <w:left w:w="57" w:type="dxa"/>
              <w:right w:w="57" w:type="dxa"/>
            </w:tcMar>
            <w:vAlign w:val="center"/>
          </w:tcPr>
          <w:p>
            <w:pPr>
              <w:spacing w:after="0"/>
              <w:jc w:val="center"/>
              <w:rPr>
                <w:rFonts w:hint="default" w:eastAsia="宋体"/>
                <w:color w:val="000000"/>
                <w:kern w:val="2"/>
                <w:sz w:val="15"/>
                <w:szCs w:val="15"/>
                <w:lang w:val="en-US" w:eastAsia="zh-CN"/>
              </w:rPr>
            </w:pPr>
          </w:p>
        </w:tc>
        <w:tc>
          <w:tcPr>
            <w:tcW w:w="1080" w:type="dxa"/>
            <w:noWrap w:val="0"/>
            <w:tcMar>
              <w:left w:w="57" w:type="dxa"/>
              <w:right w:w="57" w:type="dxa"/>
            </w:tcMar>
            <w:vAlign w:val="center"/>
          </w:tcPr>
          <w:p>
            <w:pPr>
              <w:spacing w:after="0"/>
              <w:jc w:val="center"/>
              <w:rPr>
                <w:color w:val="000000"/>
                <w:kern w:val="2"/>
                <w:sz w:val="15"/>
                <w:szCs w:val="15"/>
              </w:rPr>
            </w:pPr>
          </w:p>
        </w:tc>
        <w:tc>
          <w:tcPr>
            <w:tcW w:w="1080" w:type="dxa"/>
            <w:noWrap w:val="0"/>
            <w:tcMar>
              <w:left w:w="57" w:type="dxa"/>
              <w:right w:w="57" w:type="dxa"/>
            </w:tcMar>
            <w:vAlign w:val="center"/>
          </w:tcPr>
          <w:p>
            <w:pPr>
              <w:spacing w:after="0"/>
              <w:jc w:val="center"/>
              <w:rPr>
                <w:color w:val="000000"/>
                <w:kern w:val="2"/>
                <w:sz w:val="15"/>
                <w:szCs w:val="15"/>
              </w:rPr>
            </w:pPr>
          </w:p>
        </w:tc>
        <w:tc>
          <w:tcPr>
            <w:tcW w:w="1980" w:type="dxa"/>
            <w:noWrap w:val="0"/>
            <w:tcMar>
              <w:left w:w="57" w:type="dxa"/>
              <w:right w:w="57" w:type="dxa"/>
            </w:tcMar>
            <w:vAlign w:val="center"/>
          </w:tcPr>
          <w:p>
            <w:pPr>
              <w:spacing w:after="0"/>
              <w:jc w:val="center"/>
              <w:rPr>
                <w:color w:val="000000"/>
                <w:kern w:val="2"/>
                <w:sz w:val="15"/>
                <w:szCs w:val="15"/>
              </w:rPr>
            </w:pPr>
          </w:p>
        </w:tc>
        <w:tc>
          <w:tcPr>
            <w:tcW w:w="1157" w:type="dxa"/>
            <w:noWrap w:val="0"/>
            <w:tcMar>
              <w:left w:w="57" w:type="dxa"/>
              <w:right w:w="57" w:type="dxa"/>
            </w:tcMar>
            <w:vAlign w:val="center"/>
          </w:tcPr>
          <w:p>
            <w:pPr>
              <w:spacing w:after="0"/>
              <w:jc w:val="center"/>
              <w:rPr>
                <w:color w:val="000000"/>
                <w:kern w:val="2"/>
                <w:sz w:val="15"/>
                <w:szCs w:val="15"/>
              </w:rPr>
            </w:pPr>
          </w:p>
        </w:tc>
        <w:tc>
          <w:tcPr>
            <w:tcW w:w="1244" w:type="dxa"/>
            <w:gridSpan w:val="2"/>
            <w:noWrap w:val="0"/>
            <w:tcMar>
              <w:left w:w="57" w:type="dxa"/>
              <w:right w:w="57" w:type="dxa"/>
            </w:tcMar>
            <w:vAlign w:val="center"/>
          </w:tcPr>
          <w:p>
            <w:pPr>
              <w:spacing w:after="0"/>
              <w:jc w:val="center"/>
              <w:rPr>
                <w:color w:val="000000"/>
                <w:kern w:val="2"/>
                <w:sz w:val="15"/>
                <w:szCs w:val="15"/>
              </w:rPr>
            </w:pPr>
          </w:p>
        </w:tc>
        <w:tc>
          <w:tcPr>
            <w:tcW w:w="1102" w:type="dxa"/>
            <w:gridSpan w:val="2"/>
            <w:noWrap w:val="0"/>
            <w:tcMar>
              <w:left w:w="57" w:type="dxa"/>
              <w:right w:w="57" w:type="dxa"/>
            </w:tcMar>
            <w:vAlign w:val="center"/>
          </w:tcPr>
          <w:p>
            <w:pPr>
              <w:spacing w:after="0"/>
              <w:jc w:val="center"/>
              <w:rPr>
                <w:color w:val="000000"/>
                <w:kern w:val="2"/>
                <w:sz w:val="15"/>
                <w:szCs w:val="15"/>
              </w:rPr>
            </w:pPr>
          </w:p>
        </w:tc>
        <w:tc>
          <w:tcPr>
            <w:tcW w:w="794" w:type="dxa"/>
            <w:noWrap w:val="0"/>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98" w:type="dxa"/>
            <w:gridSpan w:val="2"/>
            <w:vMerge w:val="continue"/>
            <w:noWrap w:val="0"/>
            <w:tcMar>
              <w:left w:w="57" w:type="dxa"/>
              <w:right w:w="57" w:type="dxa"/>
            </w:tcMar>
            <w:vAlign w:val="top"/>
          </w:tcPr>
          <w:p>
            <w:pPr>
              <w:spacing w:after="0"/>
              <w:rPr>
                <w:color w:val="000000"/>
                <w:kern w:val="2"/>
                <w:sz w:val="15"/>
                <w:szCs w:val="15"/>
              </w:rPr>
            </w:pPr>
          </w:p>
        </w:tc>
        <w:tc>
          <w:tcPr>
            <w:tcW w:w="1261" w:type="dxa"/>
            <w:vMerge w:val="continue"/>
            <w:noWrap w:val="0"/>
            <w:tcMar>
              <w:left w:w="57" w:type="dxa"/>
              <w:right w:w="57" w:type="dxa"/>
            </w:tcMar>
            <w:vAlign w:val="top"/>
          </w:tcPr>
          <w:p>
            <w:pPr>
              <w:spacing w:after="0"/>
              <w:rPr>
                <w:b/>
                <w:color w:val="000000"/>
                <w:kern w:val="2"/>
                <w:sz w:val="15"/>
                <w:szCs w:val="15"/>
              </w:rPr>
            </w:pPr>
          </w:p>
        </w:tc>
        <w:tc>
          <w:tcPr>
            <w:tcW w:w="535" w:type="dxa"/>
            <w:noWrap w:val="0"/>
            <w:tcMar>
              <w:left w:w="57" w:type="dxa"/>
              <w:right w:w="57" w:type="dxa"/>
            </w:tcMar>
            <w:vAlign w:val="center"/>
          </w:tcPr>
          <w:p>
            <w:pPr>
              <w:spacing w:after="0"/>
              <w:rPr>
                <w:color w:val="000000"/>
                <w:kern w:val="2"/>
                <w:sz w:val="15"/>
                <w:szCs w:val="15"/>
              </w:rPr>
            </w:pPr>
          </w:p>
        </w:tc>
        <w:tc>
          <w:tcPr>
            <w:tcW w:w="828" w:type="dxa"/>
            <w:noWrap w:val="0"/>
            <w:tcMar>
              <w:left w:w="57" w:type="dxa"/>
              <w:right w:w="57" w:type="dxa"/>
            </w:tcMar>
            <w:vAlign w:val="top"/>
          </w:tcPr>
          <w:p>
            <w:pPr>
              <w:spacing w:after="0"/>
              <w:jc w:val="center"/>
              <w:rPr>
                <w:color w:val="000000"/>
                <w:kern w:val="2"/>
                <w:sz w:val="15"/>
                <w:szCs w:val="15"/>
              </w:rPr>
            </w:pPr>
          </w:p>
        </w:tc>
        <w:tc>
          <w:tcPr>
            <w:tcW w:w="1337" w:type="dxa"/>
            <w:noWrap w:val="0"/>
            <w:tcMar>
              <w:left w:w="57" w:type="dxa"/>
              <w:right w:w="57" w:type="dxa"/>
            </w:tcMar>
            <w:vAlign w:val="top"/>
          </w:tcPr>
          <w:p>
            <w:pPr>
              <w:spacing w:after="0"/>
              <w:jc w:val="center"/>
              <w:rPr>
                <w:color w:val="000000"/>
                <w:kern w:val="2"/>
                <w:sz w:val="15"/>
                <w:szCs w:val="15"/>
              </w:rPr>
            </w:pPr>
          </w:p>
        </w:tc>
        <w:tc>
          <w:tcPr>
            <w:tcW w:w="900" w:type="dxa"/>
            <w:noWrap w:val="0"/>
            <w:tcMar>
              <w:left w:w="57" w:type="dxa"/>
              <w:right w:w="57" w:type="dxa"/>
            </w:tcMar>
            <w:vAlign w:val="top"/>
          </w:tcPr>
          <w:p>
            <w:pPr>
              <w:spacing w:after="0"/>
              <w:jc w:val="center"/>
              <w:rPr>
                <w:color w:val="000000"/>
                <w:kern w:val="2"/>
                <w:sz w:val="15"/>
                <w:szCs w:val="15"/>
              </w:rPr>
            </w:pPr>
          </w:p>
        </w:tc>
        <w:tc>
          <w:tcPr>
            <w:tcW w:w="900" w:type="dxa"/>
            <w:noWrap w:val="0"/>
            <w:tcMar>
              <w:left w:w="57" w:type="dxa"/>
              <w:right w:w="57" w:type="dxa"/>
            </w:tcMar>
            <w:vAlign w:val="top"/>
          </w:tcPr>
          <w:p>
            <w:pPr>
              <w:spacing w:after="0"/>
              <w:jc w:val="center"/>
              <w:rPr>
                <w:color w:val="000000"/>
                <w:kern w:val="2"/>
                <w:sz w:val="15"/>
                <w:szCs w:val="15"/>
              </w:rPr>
            </w:pPr>
          </w:p>
        </w:tc>
        <w:tc>
          <w:tcPr>
            <w:tcW w:w="1080" w:type="dxa"/>
            <w:gridSpan w:val="2"/>
            <w:noWrap w:val="0"/>
            <w:tcMar>
              <w:left w:w="57" w:type="dxa"/>
              <w:right w:w="57" w:type="dxa"/>
            </w:tcMar>
            <w:vAlign w:val="top"/>
          </w:tcPr>
          <w:p>
            <w:pPr>
              <w:spacing w:after="0"/>
              <w:jc w:val="center"/>
              <w:rPr>
                <w:color w:val="000000"/>
                <w:kern w:val="2"/>
                <w:sz w:val="15"/>
                <w:szCs w:val="15"/>
              </w:rPr>
            </w:pPr>
          </w:p>
        </w:tc>
        <w:tc>
          <w:tcPr>
            <w:tcW w:w="1080" w:type="dxa"/>
            <w:noWrap w:val="0"/>
            <w:tcMar>
              <w:left w:w="57" w:type="dxa"/>
              <w:right w:w="57" w:type="dxa"/>
            </w:tcMar>
            <w:vAlign w:val="top"/>
          </w:tcPr>
          <w:p>
            <w:pPr>
              <w:spacing w:after="0"/>
              <w:jc w:val="center"/>
              <w:rPr>
                <w:color w:val="000000"/>
                <w:kern w:val="2"/>
                <w:sz w:val="15"/>
                <w:szCs w:val="15"/>
              </w:rPr>
            </w:pPr>
          </w:p>
        </w:tc>
        <w:tc>
          <w:tcPr>
            <w:tcW w:w="1080" w:type="dxa"/>
            <w:noWrap w:val="0"/>
            <w:tcMar>
              <w:left w:w="57" w:type="dxa"/>
              <w:right w:w="57" w:type="dxa"/>
            </w:tcMar>
            <w:vAlign w:val="top"/>
          </w:tcPr>
          <w:p>
            <w:pPr>
              <w:spacing w:after="0"/>
              <w:jc w:val="center"/>
              <w:rPr>
                <w:color w:val="000000"/>
                <w:kern w:val="2"/>
                <w:sz w:val="15"/>
                <w:szCs w:val="15"/>
              </w:rPr>
            </w:pPr>
          </w:p>
        </w:tc>
        <w:tc>
          <w:tcPr>
            <w:tcW w:w="1980" w:type="dxa"/>
            <w:noWrap w:val="0"/>
            <w:tcMar>
              <w:left w:w="57" w:type="dxa"/>
              <w:right w:w="57" w:type="dxa"/>
            </w:tcMar>
            <w:vAlign w:val="top"/>
          </w:tcPr>
          <w:p>
            <w:pPr>
              <w:spacing w:after="0"/>
              <w:jc w:val="center"/>
              <w:rPr>
                <w:color w:val="000000"/>
                <w:kern w:val="2"/>
                <w:sz w:val="15"/>
                <w:szCs w:val="15"/>
              </w:rPr>
            </w:pPr>
          </w:p>
        </w:tc>
        <w:tc>
          <w:tcPr>
            <w:tcW w:w="1157" w:type="dxa"/>
            <w:noWrap w:val="0"/>
            <w:tcMar>
              <w:left w:w="57" w:type="dxa"/>
              <w:right w:w="57" w:type="dxa"/>
            </w:tcMar>
            <w:vAlign w:val="top"/>
          </w:tcPr>
          <w:p>
            <w:pPr>
              <w:spacing w:after="0"/>
              <w:jc w:val="center"/>
              <w:rPr>
                <w:color w:val="000000"/>
                <w:kern w:val="2"/>
                <w:sz w:val="15"/>
                <w:szCs w:val="15"/>
              </w:rPr>
            </w:pPr>
          </w:p>
        </w:tc>
        <w:tc>
          <w:tcPr>
            <w:tcW w:w="1244" w:type="dxa"/>
            <w:gridSpan w:val="2"/>
            <w:noWrap w:val="0"/>
            <w:tcMar>
              <w:left w:w="57" w:type="dxa"/>
              <w:right w:w="57" w:type="dxa"/>
            </w:tcMar>
            <w:vAlign w:val="top"/>
          </w:tcPr>
          <w:p>
            <w:pPr>
              <w:spacing w:after="0"/>
              <w:jc w:val="center"/>
              <w:rPr>
                <w:color w:val="000000"/>
                <w:kern w:val="2"/>
                <w:sz w:val="15"/>
                <w:szCs w:val="15"/>
              </w:rPr>
            </w:pPr>
          </w:p>
        </w:tc>
        <w:tc>
          <w:tcPr>
            <w:tcW w:w="1102" w:type="dxa"/>
            <w:gridSpan w:val="2"/>
            <w:noWrap w:val="0"/>
            <w:tcMar>
              <w:left w:w="57" w:type="dxa"/>
              <w:right w:w="57" w:type="dxa"/>
            </w:tcMar>
            <w:vAlign w:val="top"/>
          </w:tcPr>
          <w:p>
            <w:pPr>
              <w:spacing w:after="0"/>
              <w:jc w:val="center"/>
              <w:rPr>
                <w:color w:val="000000"/>
                <w:kern w:val="2"/>
                <w:sz w:val="15"/>
                <w:szCs w:val="15"/>
              </w:rPr>
            </w:pPr>
          </w:p>
        </w:tc>
        <w:tc>
          <w:tcPr>
            <w:tcW w:w="794" w:type="dxa"/>
            <w:noWrap w:val="0"/>
            <w:tcMar>
              <w:left w:w="57" w:type="dxa"/>
              <w:right w:w="57" w:type="dxa"/>
            </w:tcMar>
            <w:vAlign w:val="top"/>
          </w:tcPr>
          <w:p>
            <w:pPr>
              <w:spacing w:after="0"/>
              <w:jc w:val="center"/>
              <w:rPr>
                <w:color w:val="000000"/>
                <w:kern w:val="2"/>
                <w:sz w:val="15"/>
                <w:szCs w:val="15"/>
              </w:rPr>
            </w:pPr>
          </w:p>
        </w:tc>
      </w:tr>
    </w:tbl>
    <w:p>
      <w:pPr>
        <w:pageBreakBefore w:val="0"/>
        <w:numPr>
          <w:ilvl w:val="0"/>
          <w:numId w:val="0"/>
        </w:numPr>
        <w:autoSpaceDE/>
        <w:autoSpaceDN/>
        <w:bidi w:val="0"/>
        <w:snapToGrid/>
        <w:spacing w:before="0" w:after="0" w:line="360" w:lineRule="auto"/>
        <w:ind w:right="0" w:firstLine="0"/>
        <w:jc w:val="left"/>
        <w:rPr>
          <w:rFonts w:hint="default" w:ascii="宋体" w:hAnsi="宋体" w:eastAsia="宋体"/>
          <w:color w:val="auto"/>
          <w:position w:val="0"/>
          <w:sz w:val="24"/>
          <w:szCs w:val="24"/>
        </w:rPr>
        <w:sectPr>
          <w:pgSz w:w="16783" w:h="11850" w:orient="landscape"/>
          <w:pgMar w:top="1800" w:right="1440" w:bottom="1800" w:left="1440" w:header="851" w:footer="992" w:gutter="0"/>
          <w:pgNumType w:fmt="numberInDash"/>
          <w:cols w:space="720" w:num="1"/>
          <w:docGrid w:type="lines" w:linePitch="312" w:charSpace="0"/>
        </w:sectPr>
      </w:pPr>
      <w:r>
        <w:rPr>
          <w:rFonts w:hint="default" w:ascii="宋体" w:hAnsi="宋体" w:eastAsia="宋体"/>
          <w:color w:val="auto"/>
          <w:position w:val="0"/>
          <w:sz w:val="24"/>
          <w:szCs w:val="24"/>
        </w:rPr>
        <w:t>注：1、排放增减量：(+)表示增加，(-)表示减少。 2、(12)=(6)-(8)-(11)，(9)=(4)-(5)-(8)-(11)+(1)。 3、计量单位：废水排放量—万吨/年；废气排放量——万标立方米/年；工业固体废物排放量——万吨/年；水污染物排放浓度——毫克/升；大气污染物排放浓度——毫克/立方米；水污染物排放量——吨/年；大气污染物排放量——吨/年</w:t>
      </w:r>
    </w:p>
    <w:p>
      <w:pPr>
        <w:pStyle w:val="2"/>
        <w:ind w:left="0" w:leftChars="0" w:firstLine="0" w:firstLineChars="0"/>
        <w:rPr>
          <w:rFonts w:hint="default" w:eastAsia="宋体"/>
          <w:lang w:val="en-US" w:eastAsia="zh-CN"/>
        </w:rPr>
      </w:pPr>
      <w:r>
        <w:rPr>
          <w:rFonts w:hint="eastAsia" w:ascii="宋体" w:hAnsi="宋体" w:eastAsia="宋体"/>
          <w:b/>
          <w:color w:val="000000"/>
          <w:sz w:val="30"/>
          <w:szCs w:val="30"/>
          <w:lang w:eastAsia="zh-CN"/>
        </w:rPr>
        <w:drawing>
          <wp:inline distT="0" distB="0" distL="114300" distR="114300">
            <wp:extent cx="5266690" cy="8652510"/>
            <wp:effectExtent l="0" t="0" r="10160" b="15240"/>
            <wp:docPr id="1" name="图片 1" descr="54c05c527f396d05bfeb1d8de8bf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4c05c527f396d05bfeb1d8de8bfa49"/>
                    <pic:cNvPicPr>
                      <a:picLocks noChangeAspect="1"/>
                    </pic:cNvPicPr>
                  </pic:nvPicPr>
                  <pic:blipFill>
                    <a:blip r:embed="rId11"/>
                    <a:stretch>
                      <a:fillRect/>
                    </a:stretch>
                  </pic:blipFill>
                  <pic:spPr>
                    <a:xfrm>
                      <a:off x="0" y="0"/>
                      <a:ext cx="5266690" cy="8652510"/>
                    </a:xfrm>
                    <a:prstGeom prst="rect">
                      <a:avLst/>
                    </a:prstGeom>
                  </pic:spPr>
                </pic:pic>
              </a:graphicData>
            </a:graphic>
          </wp:inline>
        </w:drawing>
      </w:r>
      <w:r>
        <w:rPr>
          <w:rFonts w:hint="eastAsia" w:ascii="宋体" w:hAnsi="宋体" w:eastAsia="宋体"/>
          <w:b/>
          <w:color w:val="000000"/>
          <w:sz w:val="30"/>
          <w:szCs w:val="30"/>
          <w:lang w:eastAsia="zh-CN"/>
        </w:rPr>
        <w:drawing>
          <wp:inline distT="0" distB="0" distL="114300" distR="114300">
            <wp:extent cx="5266690" cy="8456930"/>
            <wp:effectExtent l="0" t="0" r="10160" b="1270"/>
            <wp:docPr id="4" name="图片 4" descr="5b47a62a8f93dda08b79230967427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b47a62a8f93dda08b792309674279d"/>
                    <pic:cNvPicPr>
                      <a:picLocks noChangeAspect="1"/>
                    </pic:cNvPicPr>
                  </pic:nvPicPr>
                  <pic:blipFill>
                    <a:blip r:embed="rId12"/>
                    <a:stretch>
                      <a:fillRect/>
                    </a:stretch>
                  </pic:blipFill>
                  <pic:spPr>
                    <a:xfrm>
                      <a:off x="0" y="0"/>
                      <a:ext cx="5266690" cy="8456930"/>
                    </a:xfrm>
                    <a:prstGeom prst="rect">
                      <a:avLst/>
                    </a:prstGeom>
                  </pic:spPr>
                </pic:pic>
              </a:graphicData>
            </a:graphic>
          </wp:inline>
        </w:drawing>
      </w:r>
      <w:r>
        <w:drawing>
          <wp:inline distT="0" distB="0" distL="114300" distR="114300">
            <wp:extent cx="5266690" cy="8526780"/>
            <wp:effectExtent l="0" t="0" r="10160" b="7620"/>
            <wp:docPr id="6" name="图片 6" descr="4e051694b7a735ab2160755f3c817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e051694b7a735ab2160755f3c817fc"/>
                    <pic:cNvPicPr>
                      <a:picLocks noChangeAspect="1"/>
                    </pic:cNvPicPr>
                  </pic:nvPicPr>
                  <pic:blipFill>
                    <a:blip r:embed="rId14"/>
                    <a:stretch>
                      <a:fillRect/>
                    </a:stretch>
                  </pic:blipFill>
                  <pic:spPr>
                    <a:xfrm>
                      <a:off x="0" y="0"/>
                      <a:ext cx="5266690" cy="8526780"/>
                    </a:xfrm>
                    <a:prstGeom prst="rect">
                      <a:avLst/>
                    </a:prstGeom>
                  </pic:spPr>
                </pic:pic>
              </a:graphicData>
            </a:graphic>
          </wp:inline>
        </w:drawing>
      </w:r>
      <w:r>
        <w:drawing>
          <wp:inline distT="0" distB="0" distL="114300" distR="114300">
            <wp:extent cx="5266690" cy="8077835"/>
            <wp:effectExtent l="0" t="0" r="10160" b="18415"/>
            <wp:docPr id="7" name="图片 7" descr="c8a89ef553bce23d13ebd32ef1b4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8a89ef553bce23d13ebd32ef1b401e"/>
                    <pic:cNvPicPr>
                      <a:picLocks noChangeAspect="1"/>
                    </pic:cNvPicPr>
                  </pic:nvPicPr>
                  <pic:blipFill>
                    <a:blip r:embed="rId15"/>
                    <a:stretch>
                      <a:fillRect/>
                    </a:stretch>
                  </pic:blipFill>
                  <pic:spPr>
                    <a:xfrm>
                      <a:off x="0" y="0"/>
                      <a:ext cx="5266690" cy="8077835"/>
                    </a:xfrm>
                    <a:prstGeom prst="rect">
                      <a:avLst/>
                    </a:prstGeom>
                  </pic:spPr>
                </pic:pic>
              </a:graphicData>
            </a:graphic>
          </wp:inline>
        </w:drawing>
      </w:r>
      <w:r>
        <w:drawing>
          <wp:inline distT="0" distB="0" distL="114300" distR="114300">
            <wp:extent cx="8577580" cy="5306695"/>
            <wp:effectExtent l="0" t="0" r="825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rot="16200000">
                      <a:off x="0" y="0"/>
                      <a:ext cx="8577580" cy="5306695"/>
                    </a:xfrm>
                    <a:prstGeom prst="rect">
                      <a:avLst/>
                    </a:prstGeom>
                    <a:noFill/>
                    <a:ln>
                      <a:noFill/>
                    </a:ln>
                  </pic:spPr>
                </pic:pic>
              </a:graphicData>
            </a:graphic>
          </wp:inline>
        </w:drawing>
      </w:r>
    </w:p>
    <w:p>
      <w:pPr>
        <w:spacing w:line="360" w:lineRule="auto"/>
        <w:jc w:val="both"/>
        <w:rPr>
          <w:rFonts w:hint="eastAsia" w:ascii="宋体" w:hAnsi="宋体" w:eastAsia="宋体"/>
          <w:b/>
          <w:color w:val="000000"/>
          <w:sz w:val="30"/>
          <w:szCs w:val="30"/>
          <w:lang w:eastAsia="zh-CN"/>
        </w:rPr>
      </w:pPr>
    </w:p>
    <w:p>
      <w:pPr>
        <w:spacing w:line="360" w:lineRule="auto"/>
        <w:jc w:val="center"/>
        <w:rPr>
          <w:rFonts w:hint="eastAsia" w:ascii="宋体" w:hAnsi="宋体" w:eastAsia="宋体"/>
          <w:b/>
          <w:color w:val="000000"/>
          <w:sz w:val="30"/>
          <w:szCs w:val="30"/>
          <w:lang w:eastAsia="zh-CN"/>
        </w:rPr>
      </w:pPr>
      <w:r>
        <w:rPr>
          <w:rFonts w:hint="eastAsia" w:ascii="宋体" w:hAnsi="宋体" w:eastAsia="宋体"/>
          <w:b/>
          <w:color w:val="000000"/>
          <w:sz w:val="30"/>
          <w:szCs w:val="30"/>
          <w:lang w:eastAsia="zh-CN"/>
        </w:rPr>
        <w:t>鄄城龙欣宝典发制品有限公司</w:t>
      </w:r>
    </w:p>
    <w:p>
      <w:pPr>
        <w:spacing w:line="360" w:lineRule="auto"/>
        <w:jc w:val="center"/>
        <w:rPr>
          <w:rFonts w:hint="eastAsia" w:ascii="宋体" w:hAnsi="宋体" w:eastAsia="宋体"/>
          <w:b/>
          <w:color w:val="000000"/>
          <w:sz w:val="30"/>
          <w:szCs w:val="30"/>
          <w:lang w:eastAsia="zh-CN"/>
        </w:rPr>
      </w:pPr>
      <w:r>
        <w:rPr>
          <w:rFonts w:hint="eastAsia" w:ascii="宋体" w:hAnsi="宋体" w:eastAsia="宋体"/>
          <w:b/>
          <w:color w:val="000000"/>
          <w:sz w:val="30"/>
          <w:szCs w:val="30"/>
          <w:lang w:eastAsia="zh-CN"/>
        </w:rPr>
        <w:t>年产800万件人发制品项目 （一期）</w:t>
      </w:r>
    </w:p>
    <w:p>
      <w:pPr>
        <w:spacing w:line="360" w:lineRule="auto"/>
        <w:jc w:val="center"/>
        <w:rPr>
          <w:rFonts w:hint="eastAsia" w:ascii="宋体" w:hAnsi="宋体" w:eastAsia="宋体"/>
          <w:color w:val="000000"/>
          <w:sz w:val="24"/>
          <w:szCs w:val="24"/>
        </w:rPr>
      </w:pPr>
      <w:r>
        <w:rPr>
          <w:rFonts w:hint="eastAsia" w:ascii="宋体" w:hAnsi="宋体" w:eastAsia="宋体"/>
          <w:color w:val="000000"/>
          <w:sz w:val="24"/>
          <w:szCs w:val="24"/>
        </w:rPr>
        <w:t>（</w:t>
      </w:r>
      <w:r>
        <w:rPr>
          <w:rFonts w:hint="eastAsia" w:ascii="Times New Roman" w:hAnsi="宋体" w:eastAsia="宋体" w:cs="宋体"/>
          <w:color w:val="auto"/>
          <w:position w:val="0"/>
          <w:sz w:val="24"/>
          <w:szCs w:val="24"/>
          <w:lang w:val="en-US" w:eastAsia="zh-CN"/>
        </w:rPr>
        <w:t>年产200吨发制品项目</w:t>
      </w:r>
      <w:r>
        <w:rPr>
          <w:rFonts w:hint="eastAsia" w:ascii="宋体" w:hAnsi="宋体" w:eastAsia="宋体"/>
          <w:color w:val="000000"/>
          <w:sz w:val="24"/>
          <w:szCs w:val="24"/>
        </w:rPr>
        <w:t>验收）</w:t>
      </w:r>
    </w:p>
    <w:p>
      <w:pPr>
        <w:spacing w:line="360" w:lineRule="auto"/>
        <w:jc w:val="center"/>
        <w:rPr>
          <w:rFonts w:ascii="宋体" w:hAnsi="宋体" w:eastAsia="宋体"/>
          <w:b/>
          <w:color w:val="000000"/>
          <w:sz w:val="30"/>
          <w:szCs w:val="30"/>
        </w:rPr>
      </w:pPr>
      <w:r>
        <w:rPr>
          <w:rFonts w:hint="eastAsia" w:ascii="宋体" w:hAnsi="宋体" w:eastAsia="宋体" w:cs="宋体"/>
          <w:b/>
          <w:color w:val="000000"/>
          <w:sz w:val="30"/>
          <w:szCs w:val="30"/>
        </w:rPr>
        <w:t>竣工环境保护验收意见</w:t>
      </w:r>
    </w:p>
    <w:p>
      <w:pPr>
        <w:spacing w:line="360" w:lineRule="auto"/>
        <w:ind w:firstLine="480" w:firstLineChars="200"/>
        <w:rPr>
          <w:rFonts w:hint="eastAsia" w:ascii="宋体" w:hAnsi="宋体" w:eastAsia="宋体"/>
          <w:sz w:val="24"/>
          <w:szCs w:val="24"/>
        </w:rPr>
      </w:pPr>
      <w:r>
        <w:rPr>
          <w:rFonts w:ascii="宋体" w:hAnsi="宋体" w:eastAsia="宋体"/>
          <w:sz w:val="24"/>
          <w:szCs w:val="24"/>
        </w:rPr>
        <w:t>20</w:t>
      </w:r>
      <w:r>
        <w:rPr>
          <w:rFonts w:hint="eastAsia" w:ascii="宋体" w:hAnsi="宋体" w:eastAsia="宋体"/>
          <w:sz w:val="24"/>
          <w:szCs w:val="24"/>
          <w:lang w:val="en-US" w:eastAsia="zh-CN"/>
        </w:rPr>
        <w:t>21</w:t>
      </w:r>
      <w:r>
        <w:rPr>
          <w:rFonts w:hint="eastAsia" w:ascii="宋体" w:hAnsi="宋体" w:eastAsia="宋体"/>
          <w:sz w:val="24"/>
          <w:szCs w:val="24"/>
        </w:rPr>
        <w:t>年</w:t>
      </w:r>
      <w:r>
        <w:rPr>
          <w:rFonts w:hint="eastAsia" w:ascii="宋体" w:hAnsi="宋体" w:eastAsia="宋体"/>
          <w:sz w:val="24"/>
          <w:szCs w:val="24"/>
          <w:lang w:val="en-US" w:eastAsia="zh-CN"/>
        </w:rPr>
        <w:t>8</w:t>
      </w:r>
      <w:r>
        <w:rPr>
          <w:rFonts w:ascii="宋体" w:hAnsi="宋体" w:eastAsia="宋体"/>
          <w:sz w:val="24"/>
          <w:szCs w:val="24"/>
        </w:rPr>
        <w:t>月</w:t>
      </w:r>
      <w:r>
        <w:rPr>
          <w:rFonts w:hint="eastAsia" w:ascii="宋体" w:hAnsi="宋体" w:eastAsia="宋体"/>
          <w:sz w:val="24"/>
          <w:szCs w:val="24"/>
          <w:lang w:val="en-US" w:eastAsia="zh-CN"/>
        </w:rPr>
        <w:t>15</w:t>
      </w:r>
      <w:r>
        <w:rPr>
          <w:rFonts w:ascii="宋体" w:hAnsi="宋体" w:eastAsia="宋体"/>
          <w:sz w:val="24"/>
          <w:szCs w:val="24"/>
        </w:rPr>
        <w:t>日</w:t>
      </w:r>
      <w:r>
        <w:rPr>
          <w:rFonts w:hint="eastAsia" w:ascii="宋体" w:hAnsi="宋体" w:eastAsia="宋体"/>
          <w:sz w:val="24"/>
          <w:szCs w:val="24"/>
        </w:rPr>
        <w:t>，</w:t>
      </w:r>
      <w:r>
        <w:rPr>
          <w:rFonts w:hint="eastAsia" w:ascii="宋体" w:hAnsi="宋体" w:eastAsia="宋体"/>
          <w:sz w:val="24"/>
          <w:szCs w:val="24"/>
          <w:lang w:eastAsia="zh-CN"/>
        </w:rPr>
        <w:t>鄄城龙欣宝典发制品有限公司</w:t>
      </w:r>
      <w:r>
        <w:rPr>
          <w:rFonts w:hint="eastAsia" w:ascii="宋体" w:hAnsi="宋体" w:eastAsia="宋体"/>
          <w:sz w:val="24"/>
          <w:szCs w:val="24"/>
        </w:rPr>
        <w:t>在</w:t>
      </w:r>
      <w:r>
        <w:rPr>
          <w:rFonts w:hint="eastAsia" w:ascii="宋体" w:hAnsi="宋体" w:eastAsia="宋体"/>
          <w:sz w:val="24"/>
          <w:szCs w:val="24"/>
          <w:lang w:val="en-US" w:eastAsia="zh-CN"/>
        </w:rPr>
        <w:t>鄄城县</w:t>
      </w:r>
      <w:r>
        <w:rPr>
          <w:rFonts w:hint="eastAsia" w:ascii="宋体" w:hAnsi="宋体" w:eastAsia="宋体"/>
          <w:sz w:val="24"/>
          <w:szCs w:val="24"/>
        </w:rPr>
        <w:t>组织成立验收工作组并召开了</w:t>
      </w:r>
      <w:r>
        <w:rPr>
          <w:rFonts w:hint="eastAsia" w:ascii="宋体" w:hAnsi="宋体" w:eastAsia="宋体"/>
          <w:sz w:val="24"/>
          <w:szCs w:val="24"/>
          <w:lang w:eastAsia="zh-CN"/>
        </w:rPr>
        <w:t>鄄城龙欣宝典发制品有限公司</w:t>
      </w:r>
      <w:r>
        <w:rPr>
          <w:rFonts w:hint="eastAsia" w:ascii="Times New Roman" w:hAnsi="宋体" w:eastAsia="宋体" w:cs="宋体"/>
          <w:color w:val="auto"/>
          <w:position w:val="0"/>
          <w:sz w:val="24"/>
          <w:szCs w:val="24"/>
          <w:lang w:val="en-US" w:eastAsia="zh-CN"/>
        </w:rPr>
        <w:t>年产800吨发制品项目（二期）年产200吨发制品项目</w:t>
      </w:r>
      <w:r>
        <w:rPr>
          <w:rFonts w:hint="eastAsia" w:ascii="宋体" w:hAnsi="宋体" w:eastAsia="宋体"/>
          <w:sz w:val="24"/>
          <w:szCs w:val="24"/>
        </w:rPr>
        <w:t>竣工环境保护验收现场检查会。验收工作组（名单附后）由建设单位（</w:t>
      </w:r>
      <w:r>
        <w:rPr>
          <w:rFonts w:hint="eastAsia" w:ascii="宋体" w:hAnsi="宋体" w:eastAsia="宋体"/>
          <w:sz w:val="24"/>
          <w:szCs w:val="24"/>
          <w:lang w:eastAsia="zh-CN"/>
        </w:rPr>
        <w:t>鄄城龙欣宝典发制品有限公司</w:t>
      </w:r>
      <w:r>
        <w:rPr>
          <w:rFonts w:hint="eastAsia" w:ascii="宋体" w:hAnsi="宋体" w:eastAsia="宋体"/>
          <w:sz w:val="24"/>
          <w:szCs w:val="24"/>
        </w:rPr>
        <w:t>）、验收监测单位（</w:t>
      </w:r>
      <w:r>
        <w:rPr>
          <w:rFonts w:hint="eastAsia" w:ascii="宋体" w:hAnsi="宋体" w:eastAsia="宋体"/>
          <w:sz w:val="24"/>
          <w:szCs w:val="24"/>
          <w:lang w:val="en-US" w:eastAsia="zh-CN"/>
        </w:rPr>
        <w:t>山东嘉敏环境检测有限公司</w:t>
      </w:r>
      <w:r>
        <w:rPr>
          <w:rFonts w:hint="eastAsia" w:ascii="宋体" w:hAnsi="宋体" w:eastAsia="宋体"/>
          <w:sz w:val="24"/>
          <w:szCs w:val="24"/>
        </w:rPr>
        <w:t>）等单位的代表和3名专家组成。验收工作组根据《</w:t>
      </w:r>
      <w:r>
        <w:rPr>
          <w:rFonts w:hint="eastAsia" w:ascii="宋体" w:hAnsi="宋体" w:eastAsia="宋体"/>
          <w:sz w:val="24"/>
          <w:szCs w:val="24"/>
          <w:lang w:eastAsia="zh-CN"/>
        </w:rPr>
        <w:t>鄄城龙欣宝典发制品有限公司</w:t>
      </w:r>
      <w:r>
        <w:rPr>
          <w:rFonts w:hint="eastAsia" w:ascii="宋体" w:hAnsi="宋体" w:eastAsia="宋体"/>
          <w:sz w:val="24"/>
          <w:szCs w:val="24"/>
          <w:lang w:val="en-US" w:eastAsia="zh-CN"/>
        </w:rPr>
        <w:t>年产600吨发制品</w:t>
      </w:r>
      <w:r>
        <w:rPr>
          <w:rFonts w:hint="eastAsia" w:ascii="宋体" w:hAnsi="宋体" w:eastAsia="宋体"/>
          <w:sz w:val="24"/>
          <w:szCs w:val="24"/>
        </w:rPr>
        <w:t>项目竣工环境保护验收监测报告》，并对照《建设项目竣工环境保护验收暂行办法》，严格依照国家有关法律法规、建设项目竣工环境保护验收技术规范、本项目环境影响报告表和审批部门审批决定等要求对本项目进行验收。验收工作组组织查看了项目主要建设内容；会议听取了建设单位关于验收项目基本情况、验收收监测单位关于验收项目监测情况的简要汇报，经充分讨论形成验收意见如下：</w:t>
      </w:r>
    </w:p>
    <w:p>
      <w:pPr>
        <w:tabs>
          <w:tab w:val="left" w:pos="8715"/>
        </w:tabs>
        <w:adjustRightInd w:val="0"/>
        <w:snapToGrid w:val="0"/>
        <w:spacing w:line="360" w:lineRule="auto"/>
        <w:ind w:left="106" w:leftChars="48" w:right="-2" w:rightChars="-1" w:firstLine="482" w:firstLineChars="200"/>
        <w:jc w:val="left"/>
        <w:rPr>
          <w:rFonts w:ascii="宋体" w:hAnsi="宋体" w:eastAsia="宋体"/>
          <w:sz w:val="24"/>
          <w:szCs w:val="24"/>
        </w:rPr>
      </w:pPr>
      <w:r>
        <w:rPr>
          <w:rFonts w:hint="eastAsia" w:ascii="宋体" w:hAnsi="宋体" w:eastAsia="宋体" w:cs="宋体"/>
          <w:b/>
          <w:color w:val="000000"/>
          <w:sz w:val="24"/>
          <w:szCs w:val="24"/>
        </w:rPr>
        <w:t>一、工程建设基本情况</w:t>
      </w:r>
    </w:p>
    <w:p>
      <w:pPr>
        <w:numPr>
          <w:ilvl w:val="0"/>
          <w:numId w:val="3"/>
        </w:numPr>
        <w:spacing w:line="360" w:lineRule="auto"/>
        <w:ind w:firstLine="480"/>
        <w:outlineLvl w:val="0"/>
        <w:rPr>
          <w:rFonts w:ascii="宋体" w:hAnsi="宋体" w:eastAsia="宋体"/>
          <w:sz w:val="24"/>
          <w:szCs w:val="24"/>
        </w:rPr>
      </w:pPr>
      <w:r>
        <w:rPr>
          <w:rFonts w:hint="eastAsia" w:ascii="宋体" w:hAnsi="宋体" w:eastAsia="宋体" w:cs="宋体"/>
          <w:color w:val="000000"/>
          <w:sz w:val="24"/>
          <w:szCs w:val="24"/>
        </w:rPr>
        <w:t>建设地点、规模、主要建设内容</w:t>
      </w:r>
    </w:p>
    <w:p>
      <w:pPr>
        <w:spacing w:line="360" w:lineRule="auto"/>
        <w:ind w:firstLine="480" w:firstLineChars="200"/>
        <w:rPr>
          <w:rFonts w:ascii="宋体" w:hAnsi="宋体" w:eastAsia="宋体"/>
          <w:sz w:val="24"/>
          <w:szCs w:val="24"/>
        </w:rPr>
      </w:pPr>
      <w:r>
        <w:rPr>
          <w:rFonts w:hint="eastAsia" w:ascii="宋体" w:hAnsi="宋体" w:eastAsia="宋体"/>
          <w:sz w:val="24"/>
          <w:lang w:eastAsia="zh-CN"/>
        </w:rPr>
        <w:t>鄄城龙欣宝典发制品有限公司</w:t>
      </w:r>
      <w:r>
        <w:rPr>
          <w:rFonts w:hint="eastAsia" w:ascii="宋体" w:hAnsi="宋体" w:eastAsia="宋体"/>
          <w:sz w:val="24"/>
        </w:rPr>
        <w:t>，法人代表</w:t>
      </w:r>
      <w:r>
        <w:rPr>
          <w:rFonts w:hint="eastAsia" w:ascii="宋体" w:hAnsi="宋体" w:eastAsia="宋体"/>
          <w:color w:val="auto"/>
          <w:position w:val="0"/>
          <w:sz w:val="24"/>
          <w:szCs w:val="24"/>
          <w:lang w:val="en-US" w:eastAsia="zh-CN"/>
        </w:rPr>
        <w:t>叶欣</w:t>
      </w:r>
      <w:r>
        <w:rPr>
          <w:rFonts w:hint="default" w:ascii="宋体" w:hAnsi="宋体" w:eastAsia="宋体"/>
          <w:color w:val="auto"/>
          <w:position w:val="0"/>
          <w:sz w:val="24"/>
          <w:szCs w:val="24"/>
        </w:rPr>
        <w:t xml:space="preserve"> </w:t>
      </w:r>
      <w:r>
        <w:rPr>
          <w:rFonts w:hint="eastAsia" w:ascii="宋体" w:hAnsi="宋体" w:eastAsia="宋体"/>
          <w:sz w:val="24"/>
        </w:rPr>
        <w:t>，注册地址</w:t>
      </w:r>
      <w:r>
        <w:rPr>
          <w:rFonts w:hint="eastAsia" w:ascii="宋体" w:hAnsi="宋体" w:eastAsia="宋体"/>
          <w:color w:val="auto"/>
          <w:position w:val="0"/>
          <w:sz w:val="24"/>
          <w:szCs w:val="24"/>
          <w:lang w:val="en-US" w:eastAsia="zh-CN"/>
        </w:rPr>
        <w:t>山东省菏泽市鄄城县永定路东、亿城街南、朱庄村西</w:t>
      </w:r>
      <w:r>
        <w:rPr>
          <w:rFonts w:hint="eastAsia" w:ascii="宋体" w:hAnsi="宋体" w:eastAsia="宋体"/>
          <w:sz w:val="24"/>
        </w:rPr>
        <w:t>，东经115.576907、北纬</w:t>
      </w:r>
      <w:r>
        <w:rPr>
          <w:rFonts w:hint="eastAsia" w:ascii="宋体" w:hAnsi="宋体" w:eastAsia="宋体"/>
          <w:sz w:val="24"/>
          <w:lang w:val="en-US" w:eastAsia="zh-CN"/>
        </w:rPr>
        <w:t>35.575455</w:t>
      </w:r>
      <w:r>
        <w:rPr>
          <w:rFonts w:hint="eastAsia" w:ascii="宋体" w:hAnsi="宋体" w:eastAsia="宋体"/>
          <w:sz w:val="24"/>
        </w:rPr>
        <w:t>。环评</w:t>
      </w:r>
      <w:r>
        <w:rPr>
          <w:rFonts w:hint="eastAsia" w:ascii="宋体" w:hAnsi="宋体" w:eastAsia="宋体"/>
          <w:sz w:val="24"/>
          <w:lang w:val="en-US" w:eastAsia="zh-CN"/>
        </w:rPr>
        <w:t>年产800万件人发制品项目（二期）年产200吨发制品项目</w:t>
      </w:r>
      <w:r>
        <w:rPr>
          <w:rFonts w:hint="eastAsia" w:ascii="宋体" w:hAnsi="宋体" w:eastAsia="宋体"/>
          <w:sz w:val="24"/>
        </w:rPr>
        <w:t>。</w:t>
      </w:r>
      <w:r>
        <w:rPr>
          <w:rFonts w:hint="eastAsia" w:ascii="宋体" w:hAnsi="宋体" w:eastAsia="宋体" w:cs="宋体"/>
          <w:sz w:val="24"/>
          <w:szCs w:val="24"/>
        </w:rPr>
        <w:t>主体工程主要是</w:t>
      </w:r>
      <w:r>
        <w:rPr>
          <w:rFonts w:hint="eastAsia" w:ascii="宋体" w:hAnsi="宋体" w:eastAsia="宋体" w:cs="宋体"/>
          <w:sz w:val="24"/>
          <w:szCs w:val="24"/>
          <w:lang w:val="en-US" w:eastAsia="zh-CN"/>
        </w:rPr>
        <w:t>车间、办公室</w:t>
      </w:r>
      <w:r>
        <w:rPr>
          <w:rFonts w:hint="eastAsia" w:ascii="宋体" w:hAnsi="宋体" w:eastAsia="宋体" w:cs="仿宋"/>
          <w:sz w:val="24"/>
          <w:szCs w:val="24"/>
        </w:rPr>
        <w:t>等，环保工程主要是废气治理设施、固废处理设施等</w:t>
      </w:r>
      <w:r>
        <w:rPr>
          <w:rFonts w:ascii="宋体" w:hAnsi="宋体" w:eastAsia="宋体" w:cs="仿宋"/>
          <w:sz w:val="24"/>
          <w:szCs w:val="24"/>
        </w:rPr>
        <w:t>。</w:t>
      </w:r>
      <w:r>
        <w:rPr>
          <w:rFonts w:hint="eastAsia" w:ascii="宋体" w:hAnsi="宋体" w:eastAsia="宋体" w:cs="宋体"/>
          <w:sz w:val="24"/>
          <w:szCs w:val="24"/>
        </w:rPr>
        <w:t>主要设备</w:t>
      </w:r>
      <w:r>
        <w:rPr>
          <w:rFonts w:hint="eastAsia" w:ascii="宋体" w:hAnsi="宋体" w:eastAsia="宋体" w:cs="宋体"/>
          <w:sz w:val="24"/>
          <w:szCs w:val="24"/>
          <w:lang w:val="en-US" w:eastAsia="zh-CN"/>
        </w:rPr>
        <w:t>为烘干机、脱水机、合片机</w:t>
      </w:r>
      <w:r>
        <w:rPr>
          <w:rFonts w:hint="eastAsia" w:ascii="宋体" w:hAnsi="宋体" w:eastAsia="宋体"/>
          <w:sz w:val="24"/>
          <w:szCs w:val="24"/>
        </w:rPr>
        <w:t>、</w:t>
      </w:r>
      <w:r>
        <w:rPr>
          <w:rFonts w:hint="eastAsia" w:ascii="宋体" w:hAnsi="宋体" w:eastAsia="宋体"/>
          <w:sz w:val="24"/>
          <w:szCs w:val="24"/>
          <w:lang w:val="en-US" w:eastAsia="zh-CN"/>
        </w:rPr>
        <w:t>酸喷淋塔</w:t>
      </w:r>
      <w:r>
        <w:rPr>
          <w:rFonts w:hint="eastAsia" w:ascii="宋体" w:hAnsi="宋体" w:eastAsia="宋体"/>
          <w:sz w:val="24"/>
          <w:szCs w:val="24"/>
        </w:rPr>
        <w:t>、</w:t>
      </w:r>
      <w:r>
        <w:rPr>
          <w:rFonts w:hint="eastAsia" w:ascii="宋体" w:hAnsi="宋体" w:eastAsia="宋体"/>
          <w:sz w:val="24"/>
          <w:szCs w:val="24"/>
          <w:lang w:val="en-US" w:eastAsia="zh-CN"/>
        </w:rPr>
        <w:t>碱喷淋塔</w:t>
      </w:r>
      <w:r>
        <w:rPr>
          <w:rFonts w:hint="eastAsia" w:ascii="宋体" w:hAnsi="宋体" w:eastAsia="宋体"/>
          <w:sz w:val="24"/>
        </w:rPr>
        <w:t>。</w:t>
      </w:r>
      <w:r>
        <w:rPr>
          <w:rFonts w:hint="eastAsia" w:ascii="宋体" w:hAnsi="宋体" w:eastAsia="宋体" w:cs="宋体"/>
          <w:sz w:val="24"/>
          <w:szCs w:val="24"/>
        </w:rPr>
        <w:t>实行</w:t>
      </w:r>
      <w:r>
        <w:rPr>
          <w:rFonts w:ascii="宋体" w:hAnsi="宋体" w:eastAsia="宋体"/>
          <w:sz w:val="24"/>
          <w:szCs w:val="24"/>
        </w:rPr>
        <w:t>8h</w:t>
      </w:r>
      <w:r>
        <w:rPr>
          <w:rFonts w:hint="eastAsia" w:ascii="宋体" w:hAnsi="宋体" w:eastAsia="宋体" w:cs="宋体"/>
          <w:sz w:val="24"/>
          <w:szCs w:val="24"/>
        </w:rPr>
        <w:t>工作制，年工作天数为</w:t>
      </w:r>
      <w:r>
        <w:rPr>
          <w:rFonts w:hint="eastAsia" w:ascii="宋体" w:hAnsi="宋体" w:eastAsia="宋体"/>
          <w:sz w:val="24"/>
          <w:szCs w:val="24"/>
        </w:rPr>
        <w:t>3</w:t>
      </w:r>
      <w:r>
        <w:rPr>
          <w:rFonts w:ascii="宋体" w:hAnsi="宋体" w:eastAsia="宋体"/>
          <w:sz w:val="24"/>
          <w:szCs w:val="24"/>
        </w:rPr>
        <w:t>00</w:t>
      </w:r>
      <w:r>
        <w:rPr>
          <w:rFonts w:hint="eastAsia" w:ascii="宋体" w:hAnsi="宋体" w:eastAsia="宋体" w:cs="宋体"/>
          <w:sz w:val="24"/>
          <w:szCs w:val="24"/>
        </w:rPr>
        <w:t>天</w:t>
      </w:r>
      <w:r>
        <w:rPr>
          <w:rFonts w:ascii="宋体" w:hAnsi="宋体" w:eastAsia="宋体"/>
          <w:sz w:val="24"/>
          <w:szCs w:val="24"/>
        </w:rPr>
        <w:t>。</w:t>
      </w:r>
    </w:p>
    <w:p>
      <w:pPr>
        <w:numPr>
          <w:ilvl w:val="0"/>
          <w:numId w:val="3"/>
        </w:numPr>
        <w:spacing w:line="360" w:lineRule="auto"/>
        <w:ind w:firstLine="480"/>
        <w:outlineLvl w:val="0"/>
        <w:rPr>
          <w:rFonts w:ascii="宋体" w:hAnsi="宋体" w:eastAsia="宋体"/>
          <w:color w:val="000000"/>
          <w:sz w:val="24"/>
          <w:szCs w:val="24"/>
        </w:rPr>
      </w:pPr>
      <w:r>
        <w:rPr>
          <w:rFonts w:hint="eastAsia" w:ascii="宋体" w:hAnsi="宋体" w:eastAsia="宋体" w:cs="宋体"/>
          <w:color w:val="000000"/>
          <w:sz w:val="24"/>
          <w:szCs w:val="24"/>
        </w:rPr>
        <w:t>建设过程及环保审批情况</w:t>
      </w:r>
    </w:p>
    <w:p>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根据《中华人民共和国环境影响评价法》和中华人民共和国国务院</w:t>
      </w:r>
      <w:r>
        <w:rPr>
          <w:rFonts w:ascii="宋体" w:hAnsi="宋体" w:eastAsia="宋体"/>
          <w:sz w:val="24"/>
          <w:szCs w:val="24"/>
        </w:rPr>
        <w:t>253</w:t>
      </w:r>
      <w:r>
        <w:rPr>
          <w:rFonts w:hint="eastAsia" w:ascii="宋体" w:hAnsi="宋体" w:eastAsia="宋体"/>
          <w:sz w:val="24"/>
          <w:szCs w:val="24"/>
        </w:rPr>
        <w:t>号令《建设项目环境保护管理条例》中有关规定，</w:t>
      </w:r>
      <w:r>
        <w:rPr>
          <w:rFonts w:ascii="宋体" w:hAnsi="宋体" w:eastAsia="宋体"/>
          <w:sz w:val="24"/>
          <w:szCs w:val="24"/>
        </w:rPr>
        <w:t>20</w:t>
      </w:r>
      <w:r>
        <w:rPr>
          <w:rFonts w:hint="eastAsia" w:ascii="宋体" w:hAnsi="宋体" w:eastAsia="宋体"/>
          <w:sz w:val="24"/>
          <w:szCs w:val="24"/>
          <w:lang w:val="en-US" w:eastAsia="zh-CN"/>
        </w:rPr>
        <w:t>20</w:t>
      </w:r>
      <w:r>
        <w:rPr>
          <w:rFonts w:ascii="宋体" w:hAnsi="宋体" w:eastAsia="宋体"/>
          <w:sz w:val="24"/>
          <w:szCs w:val="24"/>
        </w:rPr>
        <w:t>年</w:t>
      </w:r>
      <w:r>
        <w:rPr>
          <w:rFonts w:hint="eastAsia" w:ascii="宋体" w:hAnsi="宋体" w:eastAsia="宋体"/>
          <w:sz w:val="24"/>
          <w:szCs w:val="24"/>
          <w:lang w:val="en-US" w:eastAsia="zh-CN"/>
        </w:rPr>
        <w:t>7</w:t>
      </w:r>
      <w:r>
        <w:rPr>
          <w:rFonts w:ascii="宋体" w:hAnsi="宋体" w:eastAsia="宋体"/>
          <w:sz w:val="24"/>
          <w:szCs w:val="24"/>
        </w:rPr>
        <w:t>月，</w:t>
      </w:r>
      <w:r>
        <w:rPr>
          <w:rFonts w:hint="eastAsia" w:ascii="宋体" w:hAnsi="宋体" w:eastAsia="宋体"/>
          <w:sz w:val="24"/>
          <w:szCs w:val="24"/>
          <w:lang w:eastAsia="zh-CN"/>
        </w:rPr>
        <w:t>鄄城龙欣宝典发制品有限公司山东省宏略环保科技有限公司</w:t>
      </w:r>
      <w:r>
        <w:rPr>
          <w:rFonts w:ascii="宋体" w:hAnsi="宋体" w:eastAsia="宋体"/>
          <w:sz w:val="24"/>
          <w:szCs w:val="24"/>
        </w:rPr>
        <w:t>编制完成了《</w:t>
      </w:r>
      <w:r>
        <w:rPr>
          <w:rFonts w:hint="eastAsia" w:ascii="宋体" w:hAnsi="宋体" w:eastAsia="宋体"/>
          <w:sz w:val="24"/>
          <w:szCs w:val="24"/>
          <w:lang w:eastAsia="zh-CN"/>
        </w:rPr>
        <w:t>鄄城龙欣宝典发制品有限公司年产800万件人发制品项目</w:t>
      </w:r>
      <w:r>
        <w:rPr>
          <w:rFonts w:ascii="宋体" w:hAnsi="宋体" w:eastAsia="宋体"/>
          <w:sz w:val="24"/>
          <w:szCs w:val="24"/>
        </w:rPr>
        <w:t>环境影响报告表》，20</w:t>
      </w:r>
      <w:r>
        <w:rPr>
          <w:rFonts w:hint="eastAsia" w:ascii="宋体" w:hAnsi="宋体" w:eastAsia="宋体"/>
          <w:sz w:val="24"/>
          <w:szCs w:val="24"/>
          <w:lang w:val="en-US" w:eastAsia="zh-CN"/>
        </w:rPr>
        <w:t>20</w:t>
      </w:r>
      <w:r>
        <w:rPr>
          <w:rFonts w:ascii="宋体" w:hAnsi="宋体" w:eastAsia="宋体"/>
          <w:sz w:val="24"/>
          <w:szCs w:val="24"/>
        </w:rPr>
        <w:t>年</w:t>
      </w:r>
      <w:r>
        <w:rPr>
          <w:rFonts w:hint="eastAsia" w:ascii="宋体" w:hAnsi="宋体" w:eastAsia="宋体"/>
          <w:sz w:val="24"/>
          <w:szCs w:val="24"/>
          <w:lang w:val="en-US" w:eastAsia="zh-CN"/>
        </w:rPr>
        <w:t>8</w:t>
      </w:r>
      <w:r>
        <w:rPr>
          <w:rFonts w:ascii="宋体" w:hAnsi="宋体" w:eastAsia="宋体"/>
          <w:sz w:val="24"/>
          <w:szCs w:val="24"/>
        </w:rPr>
        <w:t>月</w:t>
      </w:r>
      <w:r>
        <w:rPr>
          <w:rFonts w:hint="eastAsia" w:ascii="宋体" w:hAnsi="宋体" w:eastAsia="宋体"/>
          <w:sz w:val="24"/>
          <w:szCs w:val="24"/>
          <w:lang w:val="en-US" w:eastAsia="zh-CN"/>
        </w:rPr>
        <w:t>27</w:t>
      </w:r>
      <w:r>
        <w:rPr>
          <w:rFonts w:hint="eastAsia" w:ascii="宋体" w:hAnsi="宋体" w:eastAsia="宋体"/>
          <w:sz w:val="24"/>
          <w:szCs w:val="24"/>
        </w:rPr>
        <w:t>日</w:t>
      </w:r>
      <w:r>
        <w:rPr>
          <w:rFonts w:ascii="宋体" w:hAnsi="宋体" w:eastAsia="宋体"/>
          <w:sz w:val="24"/>
          <w:szCs w:val="24"/>
        </w:rPr>
        <w:t>，</w:t>
      </w:r>
      <w:r>
        <w:rPr>
          <w:rFonts w:hint="default" w:ascii="Times New Roman" w:hAnsi="Times New Roman" w:cs="Times New Roman"/>
          <w:color w:val="auto"/>
          <w:spacing w:val="-6"/>
          <w:sz w:val="24"/>
          <w:szCs w:val="24"/>
          <w:lang w:val="en-US" w:eastAsia="zh-CN"/>
        </w:rPr>
        <w:t>鄄城县</w:t>
      </w:r>
      <w:r>
        <w:rPr>
          <w:rFonts w:hint="eastAsia" w:ascii="Times New Roman" w:hAnsi="Times New Roman" w:cs="Times New Roman"/>
          <w:color w:val="auto"/>
          <w:spacing w:val="-6"/>
          <w:sz w:val="24"/>
          <w:szCs w:val="24"/>
          <w:lang w:val="en-US" w:eastAsia="zh-CN"/>
        </w:rPr>
        <w:t>审批服务局</w:t>
      </w:r>
      <w:r>
        <w:rPr>
          <w:rFonts w:ascii="宋体" w:hAnsi="宋体" w:eastAsia="宋体"/>
          <w:sz w:val="24"/>
          <w:szCs w:val="24"/>
        </w:rPr>
        <w:t>对该项目进行了批复</w:t>
      </w:r>
      <w:r>
        <w:rPr>
          <w:rFonts w:ascii="宋体" w:hAnsi="宋体" w:eastAsia="宋体"/>
          <w:spacing w:val="-2"/>
          <w:sz w:val="24"/>
          <w:szCs w:val="24"/>
        </w:rPr>
        <w:t>（</w:t>
      </w:r>
      <w:r>
        <w:rPr>
          <w:rFonts w:hint="eastAsia" w:ascii="宋体" w:hAnsi="宋体" w:eastAsia="宋体"/>
          <w:color w:val="000000"/>
          <w:sz w:val="21"/>
          <w:szCs w:val="21"/>
          <w:lang w:val="en-US" w:eastAsia="zh-CN"/>
        </w:rPr>
        <w:t>鄄行审社［2020］1号</w:t>
      </w:r>
      <w:r>
        <w:rPr>
          <w:rFonts w:ascii="宋体" w:hAnsi="宋体" w:eastAsia="宋体"/>
          <w:spacing w:val="-2"/>
          <w:sz w:val="24"/>
          <w:szCs w:val="24"/>
        </w:rPr>
        <w:t>）。</w:t>
      </w:r>
      <w:r>
        <w:rPr>
          <w:rFonts w:hint="eastAsia" w:ascii="宋体" w:hAnsi="宋体" w:eastAsia="宋体"/>
          <w:sz w:val="24"/>
          <w:szCs w:val="24"/>
        </w:rPr>
        <w:t>项目于20</w:t>
      </w:r>
      <w:r>
        <w:rPr>
          <w:rFonts w:hint="eastAsia" w:ascii="宋体" w:hAnsi="宋体" w:eastAsia="宋体"/>
          <w:sz w:val="24"/>
          <w:szCs w:val="24"/>
          <w:lang w:val="en-US" w:eastAsia="zh-CN"/>
        </w:rPr>
        <w:t>21</w:t>
      </w:r>
      <w:r>
        <w:rPr>
          <w:rFonts w:hint="eastAsia" w:ascii="宋体" w:hAnsi="宋体" w:eastAsia="宋体"/>
          <w:sz w:val="24"/>
          <w:szCs w:val="24"/>
        </w:rPr>
        <w:t>年</w:t>
      </w:r>
      <w:r>
        <w:rPr>
          <w:rFonts w:hint="eastAsia" w:ascii="宋体" w:hAnsi="宋体" w:eastAsia="宋体"/>
          <w:sz w:val="24"/>
          <w:szCs w:val="24"/>
          <w:lang w:val="en-US" w:eastAsia="zh-CN"/>
        </w:rPr>
        <w:t>5</w:t>
      </w:r>
      <w:r>
        <w:rPr>
          <w:rFonts w:hint="eastAsia" w:ascii="宋体" w:hAnsi="宋体" w:eastAsia="宋体"/>
          <w:sz w:val="24"/>
          <w:szCs w:val="24"/>
        </w:rPr>
        <w:t>月开工建设，20</w:t>
      </w:r>
      <w:r>
        <w:rPr>
          <w:rFonts w:hint="eastAsia" w:ascii="宋体" w:hAnsi="宋体" w:eastAsia="宋体"/>
          <w:sz w:val="24"/>
          <w:szCs w:val="24"/>
          <w:lang w:val="en-US" w:eastAsia="zh-CN"/>
        </w:rPr>
        <w:t>21</w:t>
      </w:r>
      <w:r>
        <w:rPr>
          <w:rFonts w:hint="eastAsia" w:ascii="宋体" w:hAnsi="宋体" w:eastAsia="宋体"/>
          <w:sz w:val="24"/>
          <w:szCs w:val="24"/>
        </w:rPr>
        <w:t>年</w:t>
      </w:r>
      <w:r>
        <w:rPr>
          <w:rFonts w:hint="eastAsia" w:ascii="宋体" w:hAnsi="宋体" w:eastAsia="宋体"/>
          <w:sz w:val="24"/>
          <w:szCs w:val="24"/>
          <w:lang w:val="en-US" w:eastAsia="zh-CN"/>
        </w:rPr>
        <w:t>6</w:t>
      </w:r>
      <w:r>
        <w:rPr>
          <w:rFonts w:hint="eastAsia" w:ascii="宋体" w:hAnsi="宋体" w:eastAsia="宋体"/>
          <w:sz w:val="24"/>
          <w:szCs w:val="24"/>
        </w:rPr>
        <w:t>月竣工,</w:t>
      </w:r>
      <w:r>
        <w:rPr>
          <w:rFonts w:hint="eastAsia" w:ascii="宋体" w:hAnsi="宋体" w:eastAsia="宋体"/>
          <w:sz w:val="24"/>
          <w:szCs w:val="24"/>
          <w:lang w:val="en-US" w:eastAsia="zh-CN"/>
        </w:rPr>
        <w:t>7</w:t>
      </w:r>
      <w:r>
        <w:rPr>
          <w:rFonts w:hint="eastAsia" w:ascii="宋体" w:hAnsi="宋体" w:eastAsia="宋体"/>
          <w:sz w:val="24"/>
          <w:szCs w:val="24"/>
        </w:rPr>
        <w:t>月调试运行。</w:t>
      </w:r>
    </w:p>
    <w:p>
      <w:pPr>
        <w:tabs>
          <w:tab w:val="left" w:pos="4305"/>
        </w:tabs>
        <w:spacing w:line="360" w:lineRule="auto"/>
        <w:ind w:firstLine="480"/>
        <w:rPr>
          <w:rFonts w:ascii="宋体" w:hAnsi="宋体" w:eastAsia="宋体"/>
          <w:spacing w:val="-2"/>
          <w:sz w:val="24"/>
          <w:szCs w:val="24"/>
        </w:rPr>
      </w:pPr>
      <w:r>
        <w:rPr>
          <w:rFonts w:hint="eastAsia" w:ascii="宋体" w:hAnsi="宋体" w:eastAsia="宋体" w:cs="宋体"/>
          <w:color w:val="000000"/>
          <w:sz w:val="24"/>
          <w:szCs w:val="24"/>
        </w:rPr>
        <w:t>（</w:t>
      </w:r>
      <w:r>
        <w:rPr>
          <w:rFonts w:ascii="宋体" w:hAnsi="宋体" w:eastAsia="宋体"/>
          <w:spacing w:val="-2"/>
          <w:sz w:val="24"/>
          <w:szCs w:val="24"/>
        </w:rPr>
        <w:t>三）投资情况</w:t>
      </w:r>
    </w:p>
    <w:p>
      <w:pPr>
        <w:snapToGrid w:val="0"/>
        <w:spacing w:line="360" w:lineRule="auto"/>
        <w:outlineLvl w:val="0"/>
        <w:rPr>
          <w:rFonts w:hint="eastAsia" w:ascii="宋体" w:hAnsi="宋体" w:eastAsia="宋体"/>
          <w:color w:val="000000"/>
          <w:sz w:val="24"/>
          <w:szCs w:val="24"/>
        </w:rPr>
      </w:pPr>
      <w:r>
        <w:rPr>
          <w:rFonts w:ascii="宋体" w:hAnsi="宋体" w:eastAsia="宋体"/>
          <w:spacing w:val="-2"/>
          <w:sz w:val="24"/>
          <w:szCs w:val="24"/>
        </w:rPr>
        <w:t xml:space="preserve">  </w:t>
      </w:r>
      <w:r>
        <w:rPr>
          <w:rFonts w:hint="eastAsia" w:ascii="宋体" w:hAnsi="宋体" w:eastAsia="宋体"/>
          <w:color w:val="000000"/>
          <w:sz w:val="24"/>
          <w:szCs w:val="24"/>
        </w:rPr>
        <w:t>本项目预算总投资</w:t>
      </w:r>
      <w:r>
        <w:rPr>
          <w:rFonts w:hint="eastAsia" w:ascii="宋体" w:hAnsi="宋体" w:eastAsia="宋体"/>
          <w:color w:val="000000"/>
          <w:sz w:val="24"/>
          <w:szCs w:val="24"/>
          <w:lang w:val="en-US" w:eastAsia="zh-CN"/>
        </w:rPr>
        <w:t>1200</w:t>
      </w:r>
      <w:r>
        <w:rPr>
          <w:rFonts w:hint="eastAsia" w:ascii="宋体" w:hAnsi="宋体" w:eastAsia="宋体"/>
          <w:color w:val="000000"/>
          <w:sz w:val="24"/>
          <w:szCs w:val="24"/>
        </w:rPr>
        <w:t>万元，实际投资</w:t>
      </w:r>
      <w:r>
        <w:rPr>
          <w:rFonts w:hint="eastAsia" w:ascii="宋体" w:hAnsi="宋体" w:eastAsia="宋体"/>
          <w:color w:val="000000"/>
          <w:sz w:val="24"/>
          <w:szCs w:val="24"/>
          <w:lang w:val="en-US" w:eastAsia="zh-CN"/>
        </w:rPr>
        <w:t>200</w:t>
      </w:r>
      <w:r>
        <w:rPr>
          <w:rFonts w:hint="eastAsia" w:ascii="宋体" w:hAnsi="宋体" w:eastAsia="宋体"/>
          <w:color w:val="000000"/>
          <w:sz w:val="24"/>
          <w:szCs w:val="24"/>
        </w:rPr>
        <w:t>万元</w:t>
      </w:r>
      <w:r>
        <w:rPr>
          <w:rFonts w:hint="eastAsia" w:ascii="宋体" w:hAnsi="宋体" w:eastAsia="宋体"/>
          <w:color w:val="000000"/>
          <w:sz w:val="24"/>
          <w:szCs w:val="24"/>
          <w:lang w:eastAsia="zh-CN"/>
        </w:rPr>
        <w:t>（</w:t>
      </w:r>
      <w:r>
        <w:rPr>
          <w:rFonts w:hint="eastAsia" w:ascii="宋体" w:hAnsi="宋体" w:eastAsia="宋体"/>
          <w:color w:val="000000"/>
          <w:sz w:val="24"/>
          <w:szCs w:val="24"/>
          <w:lang w:val="en-US" w:eastAsia="zh-CN"/>
        </w:rPr>
        <w:t>二期</w:t>
      </w:r>
      <w:r>
        <w:rPr>
          <w:rFonts w:hint="eastAsia" w:ascii="宋体" w:hAnsi="宋体" w:eastAsia="宋体"/>
          <w:color w:val="000000"/>
          <w:sz w:val="24"/>
          <w:szCs w:val="24"/>
          <w:lang w:eastAsia="zh-CN"/>
        </w:rPr>
        <w:t>）</w:t>
      </w:r>
      <w:r>
        <w:rPr>
          <w:rFonts w:hint="eastAsia" w:ascii="宋体" w:hAnsi="宋体" w:eastAsia="宋体"/>
          <w:color w:val="000000"/>
          <w:sz w:val="24"/>
          <w:szCs w:val="24"/>
        </w:rPr>
        <w:t>，其中环保实际投</w:t>
      </w:r>
      <w:r>
        <w:rPr>
          <w:rFonts w:hint="eastAsia" w:ascii="宋体" w:hAnsi="宋体" w:eastAsia="宋体"/>
          <w:sz w:val="24"/>
          <w:szCs w:val="24"/>
        </w:rPr>
        <w:t>资</w:t>
      </w:r>
      <w:r>
        <w:rPr>
          <w:rFonts w:hint="eastAsia" w:ascii="宋体" w:hAnsi="宋体" w:eastAsia="宋体"/>
          <w:sz w:val="24"/>
          <w:szCs w:val="24"/>
          <w:lang w:val="en-US" w:eastAsia="zh-CN"/>
        </w:rPr>
        <w:t>20</w:t>
      </w:r>
      <w:r>
        <w:rPr>
          <w:rFonts w:hint="eastAsia" w:ascii="宋体" w:hAnsi="宋体" w:eastAsia="宋体"/>
          <w:sz w:val="24"/>
          <w:szCs w:val="24"/>
        </w:rPr>
        <w:t>万元</w:t>
      </w:r>
      <w:r>
        <w:rPr>
          <w:rFonts w:hint="eastAsia" w:ascii="宋体" w:hAnsi="宋体" w:eastAsia="宋体"/>
          <w:color w:val="000000"/>
          <w:sz w:val="24"/>
          <w:szCs w:val="24"/>
        </w:rPr>
        <w:t>，占总投资的</w:t>
      </w:r>
      <w:r>
        <w:rPr>
          <w:rFonts w:hint="eastAsia" w:ascii="宋体" w:hAnsi="宋体" w:eastAsia="宋体"/>
          <w:color w:val="000000"/>
          <w:sz w:val="24"/>
          <w:szCs w:val="24"/>
          <w:lang w:val="en-US" w:eastAsia="zh-CN"/>
        </w:rPr>
        <w:t>10</w:t>
      </w:r>
      <w:r>
        <w:rPr>
          <w:rFonts w:ascii="宋体" w:hAnsi="宋体" w:eastAsia="宋体"/>
          <w:color w:val="000000"/>
          <w:sz w:val="24"/>
          <w:szCs w:val="24"/>
        </w:rPr>
        <w:t>%</w:t>
      </w:r>
      <w:r>
        <w:rPr>
          <w:rFonts w:hint="eastAsia" w:ascii="宋体" w:hAnsi="宋体" w:eastAsia="宋体"/>
          <w:color w:val="000000"/>
          <w:sz w:val="24"/>
          <w:szCs w:val="24"/>
        </w:rPr>
        <w:t>。</w:t>
      </w:r>
    </w:p>
    <w:p>
      <w:pPr>
        <w:snapToGrid w:val="0"/>
        <w:spacing w:line="360" w:lineRule="auto"/>
        <w:outlineLvl w:val="0"/>
        <w:rPr>
          <w:rFonts w:ascii="宋体" w:hAnsi="宋体" w:eastAsia="宋体"/>
          <w:spacing w:val="-2"/>
          <w:sz w:val="24"/>
          <w:szCs w:val="24"/>
        </w:rPr>
      </w:pPr>
      <w:r>
        <w:rPr>
          <w:rFonts w:ascii="宋体" w:hAnsi="宋体" w:eastAsia="宋体"/>
          <w:spacing w:val="-2"/>
          <w:sz w:val="24"/>
          <w:szCs w:val="24"/>
        </w:rPr>
        <w:t xml:space="preserve">   （四）验收范围</w:t>
      </w:r>
    </w:p>
    <w:p>
      <w:pPr>
        <w:spacing w:line="360" w:lineRule="auto"/>
        <w:ind w:firstLine="470" w:firstLineChars="196"/>
        <w:outlineLvl w:val="0"/>
        <w:rPr>
          <w:rFonts w:hint="default" w:ascii="宋体" w:hAnsi="宋体" w:eastAsia="宋体"/>
          <w:sz w:val="24"/>
          <w:szCs w:val="24"/>
          <w:lang w:val="en-US" w:eastAsia="zh-CN"/>
        </w:rPr>
      </w:pPr>
      <w:r>
        <w:rPr>
          <w:rFonts w:hint="eastAsia" w:ascii="Times New Roman" w:hAnsi="宋体" w:eastAsia="宋体" w:cs="宋体"/>
          <w:color w:val="auto"/>
          <w:position w:val="0"/>
          <w:sz w:val="24"/>
          <w:szCs w:val="24"/>
          <w:lang w:val="en-US" w:eastAsia="zh-CN"/>
        </w:rPr>
        <w:t>年产800万件人发制品项目（二期）</w:t>
      </w:r>
      <w:r>
        <w:rPr>
          <w:rFonts w:hint="eastAsia" w:ascii="宋体" w:hAnsi="宋体" w:eastAsia="宋体"/>
          <w:sz w:val="24"/>
          <w:szCs w:val="24"/>
          <w:lang w:val="en-US" w:eastAsia="zh-CN"/>
        </w:rPr>
        <w:t>现仅对</w:t>
      </w:r>
      <w:r>
        <w:rPr>
          <w:rFonts w:hint="eastAsia" w:ascii="Times New Roman" w:hAnsi="宋体" w:eastAsia="宋体" w:cs="宋体"/>
          <w:color w:val="auto"/>
          <w:position w:val="0"/>
          <w:sz w:val="24"/>
          <w:szCs w:val="24"/>
          <w:lang w:val="en-US" w:eastAsia="zh-CN"/>
        </w:rPr>
        <w:t>年产200万件人发制品项目</w:t>
      </w:r>
      <w:r>
        <w:rPr>
          <w:rFonts w:hint="eastAsia" w:ascii="宋体" w:hAnsi="宋体" w:eastAsia="宋体"/>
          <w:sz w:val="24"/>
          <w:szCs w:val="24"/>
          <w:lang w:val="en-US" w:eastAsia="zh-CN"/>
        </w:rPr>
        <w:t>进行验收。</w:t>
      </w:r>
    </w:p>
    <w:p>
      <w:pPr>
        <w:spacing w:line="360" w:lineRule="auto"/>
        <w:ind w:firstLine="472" w:firstLineChars="196"/>
        <w:outlineLvl w:val="0"/>
        <w:rPr>
          <w:rFonts w:ascii="宋体" w:hAnsi="宋体" w:eastAsia="宋体"/>
          <w:b/>
          <w:color w:val="000000"/>
          <w:sz w:val="24"/>
          <w:szCs w:val="24"/>
        </w:rPr>
      </w:pPr>
      <w:r>
        <w:rPr>
          <w:rFonts w:hint="eastAsia" w:ascii="宋体" w:hAnsi="宋体" w:eastAsia="宋体" w:cs="宋体"/>
          <w:b/>
          <w:color w:val="000000"/>
          <w:sz w:val="24"/>
          <w:szCs w:val="24"/>
        </w:rPr>
        <w:t>二、工程变动情况</w:t>
      </w:r>
    </w:p>
    <w:p>
      <w:pPr>
        <w:spacing w:line="360" w:lineRule="auto"/>
        <w:ind w:firstLine="470" w:firstLineChars="196"/>
        <w:rPr>
          <w:rFonts w:hint="eastAsia" w:ascii="宋体" w:hAnsi="宋体" w:eastAsia="宋体"/>
          <w:sz w:val="24"/>
          <w:szCs w:val="24"/>
        </w:rPr>
      </w:pPr>
      <w:r>
        <w:rPr>
          <w:rFonts w:ascii="宋体" w:hAnsi="宋体" w:eastAsia="宋体"/>
          <w:kern w:val="2"/>
          <w:sz w:val="24"/>
          <w:szCs w:val="24"/>
        </w:rPr>
        <w:t>经现场实际调查，项目实际建设内容与环评文件、环评批复的内容有所变动</w:t>
      </w:r>
      <w:r>
        <w:rPr>
          <w:rFonts w:hint="eastAsia" w:ascii="宋体" w:hAnsi="宋体" w:eastAsia="宋体"/>
          <w:kern w:val="2"/>
          <w:sz w:val="24"/>
          <w:szCs w:val="24"/>
        </w:rPr>
        <w:t>，</w:t>
      </w:r>
      <w:r>
        <w:rPr>
          <w:rFonts w:hint="eastAsia" w:ascii="宋体" w:hAnsi="宋体" w:eastAsia="宋体"/>
          <w:kern w:val="2"/>
          <w:sz w:val="24"/>
          <w:szCs w:val="24"/>
          <w:lang w:val="en-US" w:eastAsia="zh-CN"/>
        </w:rPr>
        <w:t>本次验收属于二期。</w:t>
      </w:r>
      <w:r>
        <w:rPr>
          <w:rFonts w:hint="eastAsia" w:ascii="宋体" w:hAnsi="宋体" w:eastAsia="宋体"/>
          <w:sz w:val="24"/>
          <w:szCs w:val="24"/>
        </w:rPr>
        <w:t>其环保设备、设施与环评基本一致。</w:t>
      </w:r>
    </w:p>
    <w:p>
      <w:pPr>
        <w:spacing w:line="360" w:lineRule="auto"/>
        <w:ind w:firstLine="470" w:firstLineChars="196"/>
        <w:rPr>
          <w:rFonts w:hint="eastAsia" w:ascii="宋体" w:hAnsi="宋体" w:eastAsia="宋体"/>
          <w:b/>
          <w:color w:val="000000"/>
          <w:sz w:val="24"/>
          <w:szCs w:val="24"/>
        </w:rPr>
      </w:pPr>
      <w:r>
        <w:rPr>
          <w:rFonts w:hint="eastAsia" w:ascii="宋体" w:hAnsi="宋体"/>
          <w:sz w:val="24"/>
          <w:szCs w:val="24"/>
        </w:rPr>
        <w:t>环境保护部办公厅</w:t>
      </w:r>
      <w:r>
        <w:rPr>
          <w:rFonts w:ascii="宋体" w:hAnsi="宋体"/>
          <w:sz w:val="24"/>
          <w:szCs w:val="24"/>
        </w:rPr>
        <w:t>2020</w:t>
      </w:r>
      <w:r>
        <w:rPr>
          <w:rFonts w:hint="eastAsia" w:ascii="宋体" w:hAnsi="宋体"/>
          <w:sz w:val="24"/>
          <w:szCs w:val="24"/>
        </w:rPr>
        <w:t>年</w:t>
      </w:r>
      <w:r>
        <w:rPr>
          <w:rFonts w:ascii="宋体" w:hAnsi="宋体"/>
          <w:sz w:val="24"/>
          <w:szCs w:val="24"/>
        </w:rPr>
        <w:t>12</w:t>
      </w:r>
      <w:r>
        <w:rPr>
          <w:rFonts w:hint="eastAsia" w:ascii="宋体" w:hAnsi="宋体"/>
          <w:sz w:val="24"/>
          <w:szCs w:val="24"/>
        </w:rPr>
        <w:t>月发布的环办环评函</w:t>
      </w:r>
      <w:r>
        <w:rPr>
          <w:rFonts w:ascii="宋体" w:hAnsi="宋体"/>
          <w:sz w:val="24"/>
          <w:szCs w:val="24"/>
        </w:rPr>
        <w:t>[2020]688</w:t>
      </w:r>
      <w:r>
        <w:rPr>
          <w:rFonts w:hint="eastAsia" w:ascii="宋体" w:hAnsi="宋体"/>
          <w:sz w:val="24"/>
          <w:szCs w:val="24"/>
        </w:rPr>
        <w:t>号文《关于印发环境影响类建设项目重大变动清单（试行）的通知》</w:t>
      </w:r>
      <w:r>
        <w:rPr>
          <w:rFonts w:hint="eastAsia" w:ascii="宋体" w:hAnsi="宋体" w:eastAsia="宋体"/>
          <w:sz w:val="24"/>
          <w:szCs w:val="24"/>
        </w:rPr>
        <w:t>，项目性质、规模、地点、生产工艺、采取的环保设施未发生重大变化，项目变动情况不属于重大变更，项目其他实际建设内容与环评文件、环评批复的内容基本一致。</w:t>
      </w:r>
    </w:p>
    <w:p>
      <w:pPr>
        <w:spacing w:line="360" w:lineRule="auto"/>
        <w:ind w:firstLine="472" w:firstLineChars="196"/>
        <w:outlineLvl w:val="0"/>
        <w:rPr>
          <w:rFonts w:ascii="宋体" w:hAnsi="宋体" w:eastAsia="宋体"/>
          <w:b/>
          <w:color w:val="000000"/>
          <w:sz w:val="24"/>
          <w:szCs w:val="24"/>
        </w:rPr>
      </w:pPr>
      <w:r>
        <w:rPr>
          <w:rFonts w:hint="eastAsia" w:ascii="宋体" w:hAnsi="宋体" w:eastAsia="宋体" w:cs="宋体"/>
          <w:b/>
          <w:color w:val="000000"/>
          <w:sz w:val="24"/>
          <w:szCs w:val="24"/>
        </w:rPr>
        <w:t>三、环境保护设施建设情况</w:t>
      </w:r>
    </w:p>
    <w:p>
      <w:pPr>
        <w:spacing w:line="360" w:lineRule="auto"/>
        <w:ind w:firstLine="480"/>
        <w:outlineLvl w:val="1"/>
        <w:rPr>
          <w:rFonts w:ascii="宋体" w:hAnsi="宋体" w:eastAsia="宋体"/>
          <w:sz w:val="24"/>
          <w:szCs w:val="24"/>
        </w:rPr>
      </w:pPr>
      <w:r>
        <w:rPr>
          <w:rFonts w:hint="eastAsia" w:ascii="宋体" w:hAnsi="宋体" w:eastAsia="宋体" w:cs="宋体"/>
          <w:sz w:val="24"/>
          <w:szCs w:val="24"/>
        </w:rPr>
        <w:t>（一）废水</w:t>
      </w:r>
    </w:p>
    <w:p>
      <w:pPr>
        <w:numPr>
          <w:ilvl w:val="0"/>
          <w:numId w:val="0"/>
        </w:numPr>
        <w:autoSpaceDE/>
        <w:autoSpaceDN/>
        <w:snapToGrid w:val="0"/>
        <w:spacing w:before="0" w:after="0" w:line="360" w:lineRule="auto"/>
        <w:ind w:right="0" w:firstLine="482"/>
        <w:jc w:val="both"/>
        <w:rPr>
          <w:rFonts w:hint="eastAsia" w:ascii="宋体" w:hAnsi="宋体" w:eastAsia="宋体"/>
          <w:sz w:val="24"/>
        </w:rPr>
      </w:pPr>
      <w:r>
        <w:rPr>
          <w:rFonts w:hint="default" w:ascii="Times New Roman" w:hAnsi="宋体" w:eastAsia="宋体"/>
          <w:color w:val="auto"/>
          <w:position w:val="0"/>
          <w:sz w:val="24"/>
          <w:szCs w:val="24"/>
        </w:rPr>
        <w:t>项目产生的废水主要为生产废水和生活废水。</w:t>
      </w:r>
      <w:r>
        <w:rPr>
          <w:rFonts w:hint="eastAsia" w:ascii="Times New Roman" w:hAnsi="宋体" w:eastAsia="宋体"/>
          <w:color w:val="auto"/>
          <w:position w:val="0"/>
          <w:sz w:val="24"/>
          <w:szCs w:val="24"/>
          <w:lang w:val="en-US" w:eastAsia="zh-CN"/>
        </w:rPr>
        <w:t>生活污水经化粪池处理后和生产区污水管网收集后采用厂内预处理装置进行处理，然后在排入厂外市政污水管网，进入鄄城县第二污水处理厂进行集中处理。</w:t>
      </w:r>
    </w:p>
    <w:p>
      <w:pPr>
        <w:spacing w:line="360" w:lineRule="auto"/>
        <w:ind w:firstLine="480" w:firstLineChars="200"/>
        <w:rPr>
          <w:rFonts w:ascii="宋体" w:hAnsi="宋体" w:eastAsia="宋体"/>
          <w:sz w:val="24"/>
          <w:szCs w:val="24"/>
        </w:rPr>
      </w:pPr>
      <w:r>
        <w:rPr>
          <w:rFonts w:ascii="宋体" w:hAnsi="宋体" w:eastAsia="宋体"/>
          <w:sz w:val="24"/>
          <w:szCs w:val="24"/>
        </w:rPr>
        <w:t>（二）</w:t>
      </w:r>
      <w:r>
        <w:rPr>
          <w:rFonts w:hint="eastAsia" w:ascii="宋体" w:hAnsi="宋体" w:eastAsia="宋体" w:cs="宋体"/>
          <w:sz w:val="24"/>
          <w:szCs w:val="24"/>
        </w:rPr>
        <w:t>废气</w:t>
      </w:r>
    </w:p>
    <w:p>
      <w:pPr>
        <w:snapToGrid w:val="0"/>
        <w:spacing w:line="360" w:lineRule="auto"/>
        <w:ind w:firstLine="480"/>
        <w:jc w:val="left"/>
        <w:rPr>
          <w:rFonts w:hint="default" w:ascii="Times New Roman" w:hAnsi="Times New Roman" w:eastAsia="宋体"/>
          <w:b w:val="0"/>
          <w:color w:val="auto"/>
          <w:position w:val="0"/>
          <w:sz w:val="24"/>
          <w:szCs w:val="24"/>
          <w:lang w:val="en-US" w:eastAsia="zh-CN"/>
        </w:rPr>
      </w:pPr>
      <w:r>
        <w:rPr>
          <w:rFonts w:hint="eastAsia" w:ascii="Times New Roman" w:hAnsi="宋体" w:eastAsia="宋体"/>
          <w:color w:val="auto"/>
          <w:position w:val="0"/>
          <w:sz w:val="24"/>
          <w:szCs w:val="24"/>
          <w:lang w:val="en-US" w:eastAsia="zh-CN"/>
        </w:rPr>
        <w:t>本项目废气主要为洗发车间配酸和酸洗浸泡时产生的酸性废气为硫酸废气，人发中和处理是产生的含氨废气，硫酸废气再水洗锅上方安装收集罩通过引风机引入稀氢氧化钠循环吸收装置收集、吸收处理，然后由15米排期筒达标排放，水洗锅上方安装收集罩，氨水挥发的氨气通过引风机引入稀酸吸</w:t>
      </w:r>
      <w:r>
        <w:rPr>
          <w:rFonts w:hint="eastAsia" w:ascii="Times New Roman" w:hAnsi="Times New Roman" w:eastAsia="宋体"/>
          <w:b w:val="0"/>
          <w:color w:val="auto"/>
          <w:position w:val="0"/>
          <w:sz w:val="24"/>
          <w:szCs w:val="24"/>
          <w:lang w:val="en-US" w:eastAsia="zh-CN"/>
        </w:rPr>
        <w:t>收装置进行吸取，然后由15米高排气筒达标排放。污水产生的恶臭通过活性炭处理后通过高排气筒排放。</w:t>
      </w:r>
    </w:p>
    <w:p>
      <w:pPr>
        <w:snapToGrid w:val="0"/>
        <w:spacing w:line="360" w:lineRule="auto"/>
        <w:ind w:firstLine="480"/>
        <w:jc w:val="left"/>
        <w:rPr>
          <w:rFonts w:ascii="宋体" w:hAnsi="宋体" w:eastAsia="宋体"/>
          <w:sz w:val="24"/>
          <w:szCs w:val="24"/>
        </w:rPr>
      </w:pPr>
      <w:r>
        <w:rPr>
          <w:rFonts w:hint="eastAsia" w:ascii="宋体" w:hAnsi="宋体" w:eastAsia="宋体" w:cs="宋体"/>
          <w:sz w:val="24"/>
          <w:szCs w:val="24"/>
        </w:rPr>
        <w:t>（三）噪声</w:t>
      </w:r>
    </w:p>
    <w:p>
      <w:pPr>
        <w:snapToGrid w:val="0"/>
        <w:spacing w:line="360" w:lineRule="auto"/>
        <w:ind w:firstLine="480"/>
        <w:jc w:val="left"/>
        <w:rPr>
          <w:rFonts w:ascii="宋体" w:hAnsi="宋体" w:eastAsia="宋体"/>
          <w:sz w:val="24"/>
          <w:szCs w:val="24"/>
        </w:rPr>
      </w:pPr>
      <w:r>
        <w:rPr>
          <w:rFonts w:hint="eastAsia" w:ascii="宋体" w:hAnsi="宋体" w:eastAsia="宋体"/>
          <w:sz w:val="24"/>
          <w:szCs w:val="24"/>
        </w:rPr>
        <w:t>该项目通过选用低噪声设备、基础减振、合理布置、车间封闭等降噪措施降低噪声值。</w:t>
      </w:r>
    </w:p>
    <w:p>
      <w:pPr>
        <w:snapToGrid w:val="0"/>
        <w:spacing w:line="360" w:lineRule="auto"/>
        <w:ind w:firstLine="480"/>
        <w:jc w:val="left"/>
        <w:rPr>
          <w:rFonts w:ascii="宋体" w:hAnsi="宋体" w:eastAsia="宋体"/>
          <w:sz w:val="24"/>
          <w:szCs w:val="24"/>
        </w:rPr>
      </w:pPr>
      <w:r>
        <w:rPr>
          <w:rFonts w:hint="eastAsia" w:ascii="宋体" w:hAnsi="宋体" w:eastAsia="宋体" w:cs="宋体"/>
          <w:sz w:val="24"/>
          <w:szCs w:val="24"/>
        </w:rPr>
        <w:t>（四）固体废物</w:t>
      </w:r>
    </w:p>
    <w:p>
      <w:pPr>
        <w:spacing w:line="440" w:lineRule="exact"/>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zh-CN" w:eastAsia="zh-CN"/>
        </w:rPr>
        <w:t>下脚料、废包装物收集后外售综合利用;污水处理站污泥交由污泥处置单位进行安全处置。化学试剂桶、废润滑油/桶、废活性炭属于危险废物，须交由有相关资质的单位进行处理，并执行联单转移制度;生活垃圾</w:t>
      </w:r>
      <w:r>
        <w:rPr>
          <w:rFonts w:hint="eastAsia" w:ascii="宋体" w:hAnsi="宋体" w:eastAsia="宋体" w:cs="宋体"/>
          <w:sz w:val="24"/>
          <w:szCs w:val="24"/>
          <w:lang w:val="en-US" w:eastAsia="zh-CN"/>
        </w:rPr>
        <w:t>交由环卫部门同意处理。</w:t>
      </w:r>
    </w:p>
    <w:p>
      <w:pPr>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（五）其他环境保护设施及情况</w:t>
      </w:r>
    </w:p>
    <w:p>
      <w:pPr>
        <w:spacing w:line="440" w:lineRule="exact"/>
        <w:ind w:firstLine="480" w:firstLineChars="200"/>
        <w:jc w:val="left"/>
        <w:rPr>
          <w:rFonts w:hint="eastAsia" w:ascii="宋体" w:hAnsi="宋体" w:eastAsia="宋体"/>
          <w:sz w:val="24"/>
          <w:szCs w:val="24"/>
        </w:rPr>
      </w:pPr>
      <w:r>
        <w:rPr>
          <w:rFonts w:hint="eastAsia" w:ascii="宋体" w:hAnsi="宋体" w:eastAsia="宋体"/>
          <w:sz w:val="24"/>
          <w:szCs w:val="24"/>
        </w:rPr>
        <w:t>1、在线监测装置</w:t>
      </w:r>
    </w:p>
    <w:p>
      <w:pPr>
        <w:spacing w:line="440" w:lineRule="exact"/>
        <w:ind w:firstLine="480" w:firstLineChars="200"/>
        <w:jc w:val="left"/>
        <w:rPr>
          <w:rFonts w:hint="eastAsia" w:ascii="宋体" w:hAnsi="宋体" w:eastAsia="宋体"/>
          <w:sz w:val="24"/>
          <w:szCs w:val="24"/>
        </w:rPr>
      </w:pPr>
      <w:r>
        <w:rPr>
          <w:rFonts w:hint="eastAsia" w:ascii="宋体" w:hAnsi="宋体" w:eastAsia="宋体"/>
          <w:sz w:val="24"/>
          <w:szCs w:val="24"/>
        </w:rPr>
        <w:t>按照现行环境管理要求，该项目不需要设置在线监测装置。</w:t>
      </w:r>
    </w:p>
    <w:p>
      <w:pPr>
        <w:spacing w:line="360" w:lineRule="auto"/>
        <w:ind w:firstLine="482" w:firstLineChars="200"/>
        <w:outlineLvl w:val="0"/>
        <w:rPr>
          <w:rFonts w:ascii="宋体" w:hAnsi="宋体" w:eastAsia="宋体"/>
          <w:b/>
          <w:sz w:val="24"/>
          <w:szCs w:val="24"/>
        </w:rPr>
      </w:pPr>
      <w:r>
        <w:rPr>
          <w:rFonts w:hint="eastAsia" w:ascii="宋体" w:hAnsi="宋体" w:eastAsia="宋体" w:cs="宋体"/>
          <w:b/>
          <w:sz w:val="24"/>
          <w:szCs w:val="24"/>
        </w:rPr>
        <w:t>四、环境保护设施调试效果</w:t>
      </w:r>
    </w:p>
    <w:p>
      <w:pPr>
        <w:pStyle w:val="45"/>
        <w:rPr>
          <w:rFonts w:hint="eastAsia" w:ascii="宋体" w:hAnsi="宋体" w:eastAsia="宋体"/>
          <w:color w:val="auto"/>
          <w:sz w:val="24"/>
          <w:szCs w:val="24"/>
          <w:lang w:val="en-US" w:eastAsia="zh-CN" w:bidi="ar-SA"/>
        </w:rPr>
      </w:pPr>
    </w:p>
    <w:p>
      <w:pPr>
        <w:snapToGrid w:val="0"/>
        <w:spacing w:line="360" w:lineRule="auto"/>
        <w:ind w:firstLine="480"/>
        <w:rPr>
          <w:rFonts w:ascii="宋体" w:hAnsi="宋体" w:eastAsia="宋体"/>
          <w:sz w:val="24"/>
          <w:szCs w:val="24"/>
        </w:rPr>
      </w:pPr>
      <w:r>
        <w:rPr>
          <w:rFonts w:hint="eastAsia" w:ascii="宋体" w:hAnsi="宋体" w:eastAsia="宋体" w:cs="宋体"/>
          <w:sz w:val="24"/>
          <w:szCs w:val="24"/>
        </w:rPr>
        <w:t>污染物达标排放情况</w:t>
      </w:r>
    </w:p>
    <w:p>
      <w:pPr>
        <w:spacing w:line="360" w:lineRule="auto"/>
        <w:ind w:firstLine="480"/>
        <w:outlineLvl w:val="0"/>
        <w:rPr>
          <w:rFonts w:ascii="宋体" w:hAnsi="宋体" w:eastAsia="宋体"/>
          <w:sz w:val="24"/>
          <w:szCs w:val="24"/>
        </w:rPr>
      </w:pPr>
      <w:r>
        <w:rPr>
          <w:rFonts w:ascii="宋体" w:hAnsi="宋体" w:eastAsia="宋体"/>
          <w:sz w:val="24"/>
          <w:szCs w:val="24"/>
        </w:rPr>
        <w:t>1.</w:t>
      </w:r>
      <w:r>
        <w:rPr>
          <w:rFonts w:hint="eastAsia" w:ascii="宋体" w:hAnsi="宋体" w:eastAsia="宋体" w:cs="宋体"/>
          <w:sz w:val="24"/>
          <w:szCs w:val="24"/>
        </w:rPr>
        <w:t>废水</w:t>
      </w:r>
    </w:p>
    <w:p>
      <w:pPr>
        <w:pageBreakBefore w:val="0"/>
        <w:numPr>
          <w:ilvl w:val="0"/>
          <w:numId w:val="0"/>
        </w:numPr>
        <w:autoSpaceDE/>
        <w:autoSpaceDN/>
        <w:bidi w:val="0"/>
        <w:snapToGrid/>
        <w:spacing w:before="0" w:after="0" w:line="360" w:lineRule="auto"/>
        <w:ind w:right="0" w:firstLine="480" w:firstLineChars="200"/>
        <w:jc w:val="both"/>
        <w:rPr>
          <w:rFonts w:hint="eastAsia" w:ascii="Times New Roman" w:hAnsi="Times New Roman"/>
          <w:color w:val="auto"/>
          <w:position w:val="0"/>
          <w:sz w:val="24"/>
          <w:szCs w:val="24"/>
          <w:lang w:val="en-US" w:eastAsia="zh-CN"/>
        </w:rPr>
      </w:pPr>
      <w:r>
        <w:rPr>
          <w:rFonts w:hint="eastAsia" w:ascii="Times New Roman" w:hAnsi="Times New Roman" w:eastAsia="Times New Roman"/>
          <w:color w:val="auto"/>
          <w:position w:val="0"/>
          <w:sz w:val="24"/>
          <w:szCs w:val="24"/>
          <w:lang w:val="en-US" w:eastAsia="zh-CN"/>
        </w:rPr>
        <w:t>污水外排口CODcr</w:t>
      </w:r>
      <w:r>
        <w:rPr>
          <w:rFonts w:hint="default" w:ascii="Times New Roman" w:hAnsi="Times New Roman" w:eastAsia="Times New Roman"/>
          <w:color w:val="auto"/>
          <w:position w:val="0"/>
          <w:sz w:val="24"/>
          <w:szCs w:val="24"/>
        </w:rPr>
        <w:t>的</w:t>
      </w:r>
      <w:r>
        <w:rPr>
          <w:rFonts w:hint="eastAsia" w:ascii="Times New Roman" w:hAnsi="Times New Roman" w:eastAsia="宋体"/>
          <w:color w:val="auto"/>
          <w:position w:val="0"/>
          <w:sz w:val="24"/>
          <w:szCs w:val="24"/>
          <w:lang w:val="en-US" w:eastAsia="zh-CN"/>
        </w:rPr>
        <w:t>平均值排</w:t>
      </w:r>
      <w:r>
        <w:rPr>
          <w:rFonts w:hint="default" w:ascii="Times New Roman" w:hAnsi="Times New Roman" w:eastAsia="Times New Roman"/>
          <w:color w:val="auto"/>
          <w:position w:val="0"/>
          <w:sz w:val="24"/>
          <w:szCs w:val="24"/>
        </w:rPr>
        <w:t>放浓度为</w:t>
      </w:r>
      <w:r>
        <w:rPr>
          <w:rFonts w:hint="eastAsia" w:ascii="Times New Roman" w:hAnsi="Times New Roman" w:eastAsia="宋体"/>
          <w:color w:val="auto"/>
          <w:position w:val="0"/>
          <w:sz w:val="24"/>
          <w:szCs w:val="24"/>
          <w:lang w:val="en-US" w:eastAsia="zh-CN"/>
        </w:rPr>
        <w:t>155</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L；SS</w:t>
      </w:r>
      <w:r>
        <w:rPr>
          <w:rFonts w:hint="default" w:ascii="Times New Roman" w:hAnsi="Times New Roman" w:eastAsia="Times New Roman"/>
          <w:color w:val="auto"/>
          <w:position w:val="0"/>
          <w:sz w:val="24"/>
          <w:szCs w:val="24"/>
        </w:rPr>
        <w:t>的</w:t>
      </w:r>
      <w:r>
        <w:rPr>
          <w:rFonts w:hint="eastAsia" w:ascii="Times New Roman" w:hAnsi="Times New Roman" w:eastAsia="宋体"/>
          <w:color w:val="auto"/>
          <w:position w:val="0"/>
          <w:sz w:val="24"/>
          <w:szCs w:val="24"/>
          <w:lang w:val="en-US" w:eastAsia="zh-CN"/>
        </w:rPr>
        <w:t>平均值排</w:t>
      </w:r>
      <w:r>
        <w:rPr>
          <w:rFonts w:hint="default" w:ascii="Times New Roman" w:hAnsi="Times New Roman" w:eastAsia="Times New Roman"/>
          <w:color w:val="auto"/>
          <w:position w:val="0"/>
          <w:sz w:val="24"/>
          <w:szCs w:val="24"/>
        </w:rPr>
        <w:t>放浓度为</w:t>
      </w:r>
      <w:r>
        <w:rPr>
          <w:rFonts w:hint="eastAsia" w:ascii="Times New Roman" w:hAnsi="Times New Roman" w:eastAsia="宋体"/>
          <w:color w:val="auto"/>
          <w:position w:val="0"/>
          <w:sz w:val="24"/>
          <w:szCs w:val="24"/>
          <w:lang w:val="en-US" w:eastAsia="zh-CN"/>
        </w:rPr>
        <w:t>137</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L；氨氮</w:t>
      </w:r>
      <w:r>
        <w:rPr>
          <w:rFonts w:hint="default" w:ascii="Times New Roman" w:hAnsi="Times New Roman" w:eastAsia="Times New Roman"/>
          <w:color w:val="auto"/>
          <w:position w:val="0"/>
          <w:sz w:val="24"/>
          <w:szCs w:val="24"/>
        </w:rPr>
        <w:t>的</w:t>
      </w:r>
      <w:r>
        <w:rPr>
          <w:rFonts w:hint="eastAsia" w:ascii="Times New Roman" w:hAnsi="Times New Roman" w:eastAsia="宋体"/>
          <w:color w:val="auto"/>
          <w:position w:val="0"/>
          <w:sz w:val="24"/>
          <w:szCs w:val="24"/>
          <w:lang w:val="en-US" w:eastAsia="zh-CN"/>
        </w:rPr>
        <w:t>平均值排</w:t>
      </w:r>
      <w:r>
        <w:rPr>
          <w:rFonts w:hint="default" w:ascii="Times New Roman" w:hAnsi="Times New Roman" w:eastAsia="Times New Roman"/>
          <w:color w:val="auto"/>
          <w:position w:val="0"/>
          <w:sz w:val="24"/>
          <w:szCs w:val="24"/>
        </w:rPr>
        <w:t>放浓度为</w:t>
      </w:r>
      <w:r>
        <w:rPr>
          <w:rFonts w:hint="eastAsia" w:ascii="Times New Roman" w:hAnsi="Times New Roman" w:eastAsia="宋体"/>
          <w:color w:val="auto"/>
          <w:position w:val="0"/>
          <w:sz w:val="24"/>
          <w:szCs w:val="24"/>
          <w:lang w:val="en-US" w:eastAsia="zh-CN"/>
        </w:rPr>
        <w:t>8</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w:t>
      </w:r>
      <w:r>
        <w:rPr>
          <w:rFonts w:hint="eastAsia" w:ascii="Times New Roman" w:hAnsi="Times New Roman"/>
          <w:color w:val="auto"/>
          <w:position w:val="0"/>
          <w:sz w:val="24"/>
          <w:szCs w:val="24"/>
          <w:lang w:val="en-US" w:eastAsia="zh-CN"/>
        </w:rPr>
        <w:t>总磷</w:t>
      </w:r>
      <w:r>
        <w:rPr>
          <w:rFonts w:hint="default" w:ascii="Times New Roman" w:hAnsi="Times New Roman" w:eastAsia="Times New Roman"/>
          <w:color w:val="auto"/>
          <w:position w:val="0"/>
          <w:sz w:val="24"/>
          <w:szCs w:val="24"/>
        </w:rPr>
        <w:t>的</w:t>
      </w:r>
      <w:r>
        <w:rPr>
          <w:rFonts w:hint="eastAsia" w:ascii="Times New Roman" w:hAnsi="Times New Roman" w:eastAsia="宋体"/>
          <w:color w:val="auto"/>
          <w:position w:val="0"/>
          <w:sz w:val="24"/>
          <w:szCs w:val="24"/>
          <w:lang w:val="en-US" w:eastAsia="zh-CN"/>
        </w:rPr>
        <w:t>平均值排</w:t>
      </w:r>
      <w:r>
        <w:rPr>
          <w:rFonts w:hint="default" w:ascii="Times New Roman" w:hAnsi="Times New Roman" w:eastAsia="Times New Roman"/>
          <w:color w:val="auto"/>
          <w:position w:val="0"/>
          <w:sz w:val="24"/>
          <w:szCs w:val="24"/>
        </w:rPr>
        <w:t>放浓度为</w:t>
      </w:r>
      <w:r>
        <w:rPr>
          <w:rFonts w:hint="eastAsia" w:ascii="Times New Roman" w:hAnsi="Times New Roman" w:eastAsia="宋体"/>
          <w:color w:val="auto"/>
          <w:position w:val="0"/>
          <w:sz w:val="24"/>
          <w:szCs w:val="24"/>
          <w:lang w:val="en-US" w:eastAsia="zh-CN"/>
        </w:rPr>
        <w:t>7.58</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L；总氮</w:t>
      </w:r>
      <w:r>
        <w:rPr>
          <w:rFonts w:hint="eastAsia" w:ascii="Times New Roman" w:hAnsi="Times New Roman" w:eastAsia="宋体"/>
          <w:color w:val="auto"/>
          <w:position w:val="0"/>
          <w:sz w:val="24"/>
          <w:szCs w:val="24"/>
          <w:lang w:val="en-US" w:eastAsia="zh-CN"/>
        </w:rPr>
        <w:t>平均值排</w:t>
      </w:r>
      <w:r>
        <w:rPr>
          <w:rFonts w:hint="default" w:ascii="Times New Roman" w:hAnsi="Times New Roman" w:eastAsia="Times New Roman"/>
          <w:color w:val="auto"/>
          <w:position w:val="0"/>
          <w:sz w:val="24"/>
          <w:szCs w:val="24"/>
        </w:rPr>
        <w:t>放浓度为</w:t>
      </w:r>
      <w:r>
        <w:rPr>
          <w:rFonts w:hint="eastAsia" w:ascii="Times New Roman" w:hAnsi="Times New Roman" w:eastAsia="宋体"/>
          <w:color w:val="auto"/>
          <w:position w:val="0"/>
          <w:sz w:val="24"/>
          <w:szCs w:val="24"/>
          <w:lang w:eastAsia="zh-CN"/>
        </w:rPr>
        <w:t>：</w:t>
      </w:r>
      <w:r>
        <w:rPr>
          <w:rFonts w:hint="eastAsia" w:ascii="Times New Roman" w:hAnsi="Times New Roman" w:eastAsia="宋体"/>
          <w:color w:val="auto"/>
          <w:position w:val="0"/>
          <w:sz w:val="24"/>
          <w:szCs w:val="24"/>
          <w:lang w:val="en-US" w:eastAsia="zh-CN"/>
        </w:rPr>
        <w:t>13.2</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w:t>
      </w:r>
      <w:r>
        <w:rPr>
          <w:rFonts w:hint="eastAsia" w:ascii="Times New Roman" w:hAnsi="Times New Roman"/>
          <w:color w:val="auto"/>
          <w:position w:val="0"/>
          <w:sz w:val="24"/>
          <w:szCs w:val="24"/>
          <w:lang w:val="en-US" w:eastAsia="zh-CN"/>
        </w:rPr>
        <w:t>PH值</w:t>
      </w:r>
      <w:r>
        <w:rPr>
          <w:rFonts w:hint="default" w:ascii="Times New Roman" w:hAnsi="Times New Roman" w:eastAsia="Times New Roman"/>
          <w:color w:val="auto"/>
          <w:position w:val="0"/>
          <w:sz w:val="24"/>
          <w:szCs w:val="24"/>
        </w:rPr>
        <w:t>为</w:t>
      </w:r>
      <w:r>
        <w:rPr>
          <w:rFonts w:hint="eastAsia" w:ascii="Times New Roman" w:hAnsi="Times New Roman" w:eastAsia="宋体"/>
          <w:color w:val="auto"/>
          <w:position w:val="0"/>
          <w:sz w:val="24"/>
          <w:szCs w:val="24"/>
          <w:lang w:val="en-US" w:eastAsia="zh-CN"/>
        </w:rPr>
        <w:t>7.22-7.69</w:t>
      </w:r>
      <w:r>
        <w:rPr>
          <w:rFonts w:hint="eastAsia" w:ascii="Times New Roman" w:hAnsi="Times New Roman"/>
          <w:color w:val="auto"/>
          <w:position w:val="0"/>
          <w:sz w:val="24"/>
          <w:szCs w:val="24"/>
          <w:lang w:val="en-US" w:eastAsia="zh-CN"/>
        </w:rPr>
        <w:t>；阴离子表面活性剂</w:t>
      </w:r>
      <w:r>
        <w:rPr>
          <w:rFonts w:hint="eastAsia" w:ascii="Times New Roman" w:hAnsi="Times New Roman" w:eastAsia="宋体"/>
          <w:color w:val="auto"/>
          <w:position w:val="0"/>
          <w:sz w:val="24"/>
          <w:szCs w:val="24"/>
          <w:lang w:val="en-US" w:eastAsia="zh-CN"/>
        </w:rPr>
        <w:t>平均值排</w:t>
      </w:r>
      <w:r>
        <w:rPr>
          <w:rFonts w:hint="default" w:ascii="Times New Roman" w:hAnsi="Times New Roman" w:eastAsia="Times New Roman"/>
          <w:color w:val="auto"/>
          <w:position w:val="0"/>
          <w:sz w:val="24"/>
          <w:szCs w:val="24"/>
        </w:rPr>
        <w:t>放浓度为</w:t>
      </w:r>
      <w:r>
        <w:rPr>
          <w:rFonts w:hint="eastAsia" w:ascii="Times New Roman" w:hAnsi="Times New Roman" w:eastAsia="宋体"/>
          <w:color w:val="auto"/>
          <w:position w:val="0"/>
          <w:sz w:val="24"/>
          <w:szCs w:val="24"/>
          <w:lang w:val="en-US" w:eastAsia="zh-CN"/>
        </w:rPr>
        <w:t>0.064</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L；五日生化需氧量</w:t>
      </w:r>
      <w:r>
        <w:rPr>
          <w:rFonts w:hint="eastAsia" w:ascii="Times New Roman" w:hAnsi="Times New Roman" w:eastAsia="宋体"/>
          <w:color w:val="auto"/>
          <w:position w:val="0"/>
          <w:sz w:val="24"/>
          <w:szCs w:val="24"/>
          <w:lang w:val="en-US" w:eastAsia="zh-CN"/>
        </w:rPr>
        <w:t>平均值排</w:t>
      </w:r>
      <w:r>
        <w:rPr>
          <w:rFonts w:hint="default" w:ascii="Times New Roman" w:hAnsi="Times New Roman" w:eastAsia="Times New Roman"/>
          <w:color w:val="auto"/>
          <w:position w:val="0"/>
          <w:sz w:val="24"/>
          <w:szCs w:val="24"/>
        </w:rPr>
        <w:t>放浓度</w:t>
      </w:r>
      <w:r>
        <w:rPr>
          <w:rFonts w:hint="eastAsia" w:ascii="Times New Roman" w:hAnsi="Times New Roman" w:eastAsia="Times New Roman"/>
          <w:color w:val="auto"/>
          <w:position w:val="0"/>
          <w:sz w:val="24"/>
          <w:szCs w:val="24"/>
          <w:lang w:val="en-US" w:eastAsia="zh-CN"/>
        </w:rPr>
        <w:t>为：27.9</w:t>
      </w:r>
      <w:r>
        <w:rPr>
          <w:rFonts w:hint="default" w:ascii="Times New Roman" w:hAnsi="Times New Roman" w:eastAsia="Times New Roman"/>
          <w:color w:val="auto"/>
          <w:position w:val="0"/>
          <w:sz w:val="24"/>
          <w:szCs w:val="24"/>
        </w:rPr>
        <w:t>mg/</w:t>
      </w:r>
      <w:r>
        <w:rPr>
          <w:rFonts w:hint="eastAsia" w:ascii="Times New Roman" w:hAnsi="Times New Roman" w:eastAsia="Times New Roman"/>
          <w:color w:val="auto"/>
          <w:position w:val="0"/>
          <w:sz w:val="24"/>
          <w:szCs w:val="24"/>
          <w:lang w:val="en-US" w:eastAsia="zh-CN"/>
        </w:rPr>
        <w:t>L</w:t>
      </w:r>
      <w:r>
        <w:rPr>
          <w:rFonts w:hint="default" w:ascii="Times New Roman" w:hAnsi="Times New Roman" w:eastAsia="Times New Roman"/>
          <w:color w:val="auto"/>
          <w:position w:val="0"/>
          <w:sz w:val="24"/>
          <w:szCs w:val="24"/>
        </w:rPr>
        <w:t>均满足</w:t>
      </w:r>
      <w:r>
        <w:rPr>
          <w:rFonts w:hint="default" w:ascii="Times New Roman" w:hAnsi="宋体" w:eastAsia="宋体"/>
          <w:color w:val="auto"/>
          <w:position w:val="0"/>
          <w:sz w:val="24"/>
          <w:szCs w:val="24"/>
        </w:rPr>
        <w:t>《污水排入下城镇水道水质标准》（GB/T31962-2015）表1中B等级标准。</w:t>
      </w:r>
      <w:r>
        <w:rPr>
          <w:rFonts w:hint="eastAsia" w:ascii="Times New Roman" w:hAnsi="Times New Roman" w:eastAsia="Times New Roman"/>
          <w:color w:val="auto"/>
          <w:position w:val="0"/>
          <w:sz w:val="24"/>
          <w:szCs w:val="24"/>
          <w:lang w:val="en-US" w:eastAsia="zh-CN"/>
        </w:rPr>
        <w:t>（CODcr≤500mg/L</w:t>
      </w:r>
      <w:r>
        <w:rPr>
          <w:rFonts w:hint="default" w:ascii="Times New Roman" w:hAnsi="Times New Roman" w:eastAsia="Times New Roman"/>
          <w:color w:val="auto"/>
          <w:position w:val="0"/>
          <w:sz w:val="24"/>
          <w:szCs w:val="24"/>
        </w:rPr>
        <w:t>、</w:t>
      </w:r>
      <w:r>
        <w:rPr>
          <w:rFonts w:hint="eastAsia" w:ascii="Times New Roman" w:hAnsi="Times New Roman" w:eastAsia="宋体"/>
          <w:color w:val="auto"/>
          <w:position w:val="0"/>
          <w:sz w:val="24"/>
          <w:szCs w:val="24"/>
          <w:lang w:val="en-US" w:eastAsia="zh-CN"/>
        </w:rPr>
        <w:t>BOD5</w:t>
      </w:r>
      <w:r>
        <w:rPr>
          <w:rFonts w:hint="eastAsia" w:ascii="Times New Roman" w:hAnsi="Times New Roman" w:eastAsia="Times New Roman"/>
          <w:color w:val="auto"/>
          <w:position w:val="0"/>
          <w:sz w:val="24"/>
          <w:szCs w:val="24"/>
          <w:lang w:val="en-US" w:eastAsia="zh-CN"/>
        </w:rPr>
        <w:t>≤350mg/L、SS≤400mg/L、氨氮≤45mg/L</w:t>
      </w:r>
      <w:r>
        <w:rPr>
          <w:rFonts w:hint="eastAsia" w:ascii="Times New Roman" w:hAnsi="Times New Roman"/>
          <w:color w:val="auto"/>
          <w:position w:val="0"/>
          <w:sz w:val="24"/>
          <w:szCs w:val="24"/>
          <w:lang w:val="en-US" w:eastAsia="zh-CN"/>
        </w:rPr>
        <w:t>、总磷</w:t>
      </w:r>
      <w:r>
        <w:rPr>
          <w:rFonts w:hint="eastAsia" w:ascii="Times New Roman" w:hAnsi="Times New Roman" w:eastAsia="Times New Roman"/>
          <w:color w:val="auto"/>
          <w:position w:val="0"/>
          <w:sz w:val="24"/>
          <w:szCs w:val="24"/>
          <w:lang w:val="en-US" w:eastAsia="zh-CN"/>
        </w:rPr>
        <w:t>≤</w:t>
      </w:r>
      <w:r>
        <w:rPr>
          <w:rFonts w:hint="eastAsia" w:ascii="Times New Roman" w:hAnsi="Times New Roman"/>
          <w:color w:val="auto"/>
          <w:position w:val="0"/>
          <w:sz w:val="24"/>
          <w:szCs w:val="24"/>
          <w:lang w:val="en-US" w:eastAsia="zh-CN"/>
        </w:rPr>
        <w:t>8</w:t>
      </w:r>
      <w:r>
        <w:rPr>
          <w:rFonts w:hint="eastAsia" w:ascii="Times New Roman" w:hAnsi="Times New Roman" w:eastAsia="Times New Roman"/>
          <w:color w:val="auto"/>
          <w:position w:val="0"/>
          <w:sz w:val="24"/>
          <w:szCs w:val="24"/>
          <w:lang w:val="en-US" w:eastAsia="zh-CN"/>
        </w:rPr>
        <w:t>mg/L</w:t>
      </w:r>
      <w:r>
        <w:rPr>
          <w:rFonts w:hint="eastAsia" w:ascii="Times New Roman" w:hAnsi="Times New Roman"/>
          <w:color w:val="auto"/>
          <w:position w:val="0"/>
          <w:sz w:val="24"/>
          <w:szCs w:val="24"/>
          <w:lang w:val="en-US" w:eastAsia="zh-CN"/>
        </w:rPr>
        <w:t>、PH值6.5~9.5、阴离子表面活性剂</w:t>
      </w:r>
      <w:r>
        <w:rPr>
          <w:rFonts w:hint="eastAsia" w:ascii="Times New Roman" w:hAnsi="Times New Roman" w:eastAsia="Times New Roman"/>
          <w:color w:val="auto"/>
          <w:position w:val="0"/>
          <w:sz w:val="24"/>
          <w:szCs w:val="24"/>
          <w:lang w:val="en-US" w:eastAsia="zh-CN"/>
        </w:rPr>
        <w:t>≤20mg/L、总氮≤70mg/L）</w:t>
      </w:r>
      <w:r>
        <w:rPr>
          <w:rFonts w:hint="default" w:ascii="Times New Roman" w:hAnsi="Times New Roman" w:eastAsia="Times New Roman"/>
          <w:color w:val="auto"/>
          <w:position w:val="0"/>
          <w:sz w:val="24"/>
          <w:szCs w:val="24"/>
        </w:rPr>
        <w:t>。</w:t>
      </w:r>
      <w:r>
        <w:rPr>
          <w:rFonts w:hint="eastAsia" w:ascii="Times New Roman" w:hAnsi="Times New Roman" w:eastAsia="Times New Roman"/>
          <w:color w:val="auto"/>
          <w:position w:val="0"/>
          <w:sz w:val="24"/>
          <w:szCs w:val="24"/>
          <w:lang w:val="en-US" w:eastAsia="zh-CN"/>
        </w:rPr>
        <w:t>能够实现达标排放。</w:t>
      </w:r>
    </w:p>
    <w:p>
      <w:pPr>
        <w:spacing w:line="360" w:lineRule="auto"/>
        <w:ind w:firstLine="480"/>
        <w:outlineLvl w:val="0"/>
        <w:rPr>
          <w:rFonts w:ascii="宋体" w:hAnsi="宋体" w:eastAsia="宋体"/>
          <w:sz w:val="24"/>
          <w:szCs w:val="24"/>
        </w:rPr>
      </w:pPr>
      <w:r>
        <w:rPr>
          <w:rFonts w:ascii="宋体" w:hAnsi="宋体" w:eastAsia="宋体"/>
          <w:sz w:val="24"/>
          <w:szCs w:val="24"/>
        </w:rPr>
        <w:t>2.</w:t>
      </w:r>
      <w:r>
        <w:rPr>
          <w:rFonts w:hint="eastAsia" w:ascii="宋体" w:hAnsi="宋体" w:eastAsia="宋体" w:cs="宋体"/>
          <w:sz w:val="24"/>
          <w:szCs w:val="24"/>
        </w:rPr>
        <w:t>废气</w:t>
      </w:r>
    </w:p>
    <w:p>
      <w:pPr>
        <w:pStyle w:val="138"/>
        <w:spacing w:line="360" w:lineRule="auto"/>
        <w:ind w:firstLine="480"/>
        <w:rPr>
          <w:rFonts w:ascii="宋体" w:hAnsi="宋体" w:eastAsia="宋体"/>
          <w:sz w:val="24"/>
          <w:szCs w:val="24"/>
        </w:rPr>
      </w:pPr>
      <w:r>
        <w:rPr>
          <w:rFonts w:ascii="宋体" w:hAnsi="宋体" w:eastAsia="宋体"/>
          <w:sz w:val="24"/>
          <w:szCs w:val="24"/>
        </w:rPr>
        <w:t>（1）无组织废气</w:t>
      </w:r>
    </w:p>
    <w:p>
      <w:pPr>
        <w:pageBreakBefore w:val="0"/>
        <w:numPr>
          <w:ilvl w:val="0"/>
          <w:numId w:val="0"/>
        </w:numPr>
        <w:autoSpaceDE/>
        <w:autoSpaceDN/>
        <w:bidi w:val="0"/>
        <w:snapToGrid/>
        <w:spacing w:before="0" w:after="0" w:line="360" w:lineRule="auto"/>
        <w:ind w:right="0" w:firstLine="480"/>
        <w:jc w:val="left"/>
        <w:rPr>
          <w:rFonts w:hint="eastAsia" w:ascii="Times New Roman" w:hAnsi="Times New Roman" w:eastAsia="Times New Roman" w:cs="宋体"/>
          <w:color w:val="auto"/>
          <w:position w:val="0"/>
          <w:sz w:val="24"/>
          <w:szCs w:val="24"/>
          <w:lang w:val="en-US" w:eastAsia="zh-CN"/>
        </w:rPr>
      </w:pPr>
      <w:r>
        <w:rPr>
          <w:rFonts w:hint="eastAsia" w:ascii="宋体" w:hAnsi="宋体" w:eastAsia="宋体"/>
          <w:color w:val="auto"/>
          <w:position w:val="0"/>
          <w:sz w:val="24"/>
          <w:szCs w:val="24"/>
          <w:lang w:val="en-US" w:eastAsia="zh-CN"/>
        </w:rPr>
        <w:t>无组织氨排放浓度为0.194mg/m³，无组织臭气浓度为15无量纲，无组织硫化氢为0.025mg/m³满足《恶臭污染物排放标准》（GB14554-93）二级新建标准（臭气浓度≤20、硫化氢≤0.06mg/m³、氨≤1.5mg/m³）无组织硫酸雾最大排放浓度为0.194mg/m³ ，满足</w:t>
      </w:r>
      <w:r>
        <w:rPr>
          <w:rFonts w:hint="default" w:ascii="宋体" w:hAnsi="宋体" w:eastAsia="宋体"/>
          <w:color w:val="auto"/>
          <w:position w:val="0"/>
          <w:sz w:val="24"/>
          <w:szCs w:val="24"/>
          <w:lang w:val="en-US" w:eastAsia="zh-CN"/>
        </w:rPr>
        <w:t>《大气污染物综合排放标准》（GB16297-1996）表2二级标准无组织排放监控浓度限值</w:t>
      </w:r>
      <w:r>
        <w:rPr>
          <w:rFonts w:hint="eastAsia" w:ascii="宋体" w:hAnsi="宋体" w:eastAsia="宋体"/>
          <w:color w:val="auto"/>
          <w:position w:val="0"/>
          <w:sz w:val="24"/>
          <w:szCs w:val="24"/>
          <w:lang w:val="en-US" w:eastAsia="zh-CN"/>
        </w:rPr>
        <w:t>1.2mg/m³</w:t>
      </w:r>
    </w:p>
    <w:p>
      <w:pPr>
        <w:pStyle w:val="138"/>
        <w:spacing w:line="360" w:lineRule="auto"/>
        <w:ind w:left="420" w:firstLine="0"/>
        <w:rPr>
          <w:rFonts w:ascii="宋体" w:hAnsi="宋体" w:eastAsia="宋体"/>
          <w:sz w:val="24"/>
          <w:szCs w:val="24"/>
        </w:rPr>
      </w:pPr>
      <w:r>
        <w:rPr>
          <w:rFonts w:ascii="宋体" w:hAnsi="宋体" w:eastAsia="宋体"/>
          <w:sz w:val="24"/>
          <w:szCs w:val="24"/>
        </w:rPr>
        <w:t>（2）有组织废气</w:t>
      </w:r>
    </w:p>
    <w:p>
      <w:pPr>
        <w:pageBreakBefore w:val="0"/>
        <w:numPr>
          <w:ilvl w:val="0"/>
          <w:numId w:val="0"/>
        </w:numPr>
        <w:tabs>
          <w:tab w:val="left" w:pos="1785"/>
        </w:tabs>
        <w:autoSpaceDE/>
        <w:autoSpaceDN/>
        <w:bidi w:val="0"/>
        <w:snapToGrid w:val="0"/>
        <w:spacing w:before="0" w:after="0" w:line="360" w:lineRule="auto"/>
        <w:ind w:right="0" w:rightChars="0" w:firstLine="480" w:firstLineChars="200"/>
        <w:jc w:val="both"/>
        <w:rPr>
          <w:rFonts w:hint="default" w:ascii="Times New Roman" w:hAnsi="Times New Roman" w:eastAsia="Times New Roman"/>
          <w:b w:val="0"/>
          <w:color w:val="auto"/>
          <w:position w:val="0"/>
          <w:sz w:val="24"/>
          <w:szCs w:val="24"/>
        </w:rPr>
      </w:pPr>
      <w:r>
        <w:rPr>
          <w:rFonts w:hint="eastAsia" w:ascii="Times New Roman" w:hAnsi="Times New Roman" w:eastAsia="宋体"/>
          <w:b w:val="0"/>
          <w:color w:val="auto"/>
          <w:position w:val="0"/>
          <w:sz w:val="24"/>
          <w:szCs w:val="24"/>
          <w:lang w:val="en-US" w:eastAsia="zh-CN"/>
        </w:rPr>
        <w:t>有</w:t>
      </w:r>
      <w:r>
        <w:rPr>
          <w:rFonts w:hint="default" w:ascii="Times New Roman" w:hAnsi="Times New Roman" w:eastAsia="Times New Roman"/>
          <w:b w:val="0"/>
          <w:color w:val="auto"/>
          <w:position w:val="0"/>
          <w:sz w:val="24"/>
          <w:szCs w:val="24"/>
        </w:rPr>
        <w:t>组织废气排放监测结果</w:t>
      </w:r>
    </w:p>
    <w:p>
      <w:pPr>
        <w:pageBreakBefore w:val="0"/>
        <w:numPr>
          <w:ilvl w:val="0"/>
          <w:numId w:val="0"/>
        </w:numPr>
        <w:autoSpaceDE/>
        <w:autoSpaceDN/>
        <w:bidi w:val="0"/>
        <w:snapToGrid/>
        <w:spacing w:before="0" w:after="0" w:line="360" w:lineRule="auto"/>
        <w:ind w:right="0" w:firstLine="480"/>
        <w:jc w:val="left"/>
        <w:rPr>
          <w:rFonts w:hint="eastAsia" w:ascii="宋体" w:hAnsi="宋体" w:eastAsia="宋体"/>
          <w:color w:val="auto"/>
          <w:position w:val="0"/>
          <w:sz w:val="24"/>
          <w:szCs w:val="24"/>
          <w:lang w:val="en-US" w:eastAsia="zh-CN"/>
        </w:rPr>
      </w:pPr>
      <w:r>
        <w:rPr>
          <w:rFonts w:hint="default" w:ascii="宋体" w:hAnsi="宋体" w:eastAsia="宋体"/>
          <w:color w:val="auto"/>
          <w:position w:val="0"/>
          <w:sz w:val="24"/>
          <w:szCs w:val="24"/>
          <w:lang w:val="en-US" w:eastAsia="zh-CN"/>
        </w:rPr>
        <w:t>经监测，</w:t>
      </w:r>
      <w:r>
        <w:rPr>
          <w:rFonts w:hint="eastAsia" w:ascii="宋体" w:hAnsi="宋体" w:eastAsia="宋体"/>
          <w:color w:val="auto"/>
          <w:position w:val="0"/>
          <w:sz w:val="24"/>
          <w:szCs w:val="24"/>
          <w:lang w:val="en-US" w:eastAsia="zh-CN"/>
        </w:rPr>
        <w:t>泡酸中和</w:t>
      </w:r>
      <w:r>
        <w:rPr>
          <w:rFonts w:hint="default" w:ascii="宋体" w:hAnsi="宋体" w:eastAsia="宋体"/>
          <w:color w:val="auto"/>
          <w:position w:val="0"/>
          <w:sz w:val="24"/>
          <w:szCs w:val="24"/>
          <w:lang w:val="en-US" w:eastAsia="zh-CN"/>
        </w:rPr>
        <w:t>有组织</w:t>
      </w:r>
      <w:r>
        <w:rPr>
          <w:rFonts w:hint="eastAsia" w:ascii="宋体" w:hAnsi="宋体" w:eastAsia="宋体"/>
          <w:color w:val="auto"/>
          <w:position w:val="0"/>
          <w:sz w:val="24"/>
          <w:szCs w:val="24"/>
          <w:lang w:val="en-US" w:eastAsia="zh-CN"/>
        </w:rPr>
        <w:t>硫酸雾</w:t>
      </w:r>
      <w:r>
        <w:rPr>
          <w:rFonts w:hint="default" w:ascii="宋体" w:hAnsi="宋体" w:eastAsia="宋体"/>
          <w:color w:val="auto"/>
          <w:position w:val="0"/>
          <w:sz w:val="24"/>
          <w:szCs w:val="24"/>
          <w:lang w:val="en-US" w:eastAsia="zh-CN"/>
        </w:rPr>
        <w:t>排放最大浓度</w:t>
      </w:r>
      <w:r>
        <w:rPr>
          <w:rFonts w:hint="eastAsia" w:ascii="宋体" w:hAnsi="宋体" w:eastAsia="宋体"/>
          <w:color w:val="auto"/>
          <w:position w:val="0"/>
          <w:sz w:val="24"/>
          <w:szCs w:val="24"/>
          <w:lang w:val="en-US" w:eastAsia="zh-CN"/>
        </w:rPr>
        <w:t>分别</w:t>
      </w:r>
      <w:r>
        <w:rPr>
          <w:rFonts w:hint="default" w:ascii="宋体" w:hAnsi="宋体" w:eastAsia="宋体"/>
          <w:color w:val="auto"/>
          <w:position w:val="0"/>
          <w:sz w:val="24"/>
          <w:szCs w:val="24"/>
          <w:lang w:val="en-US" w:eastAsia="zh-CN"/>
        </w:rPr>
        <w:t>为</w:t>
      </w:r>
      <w:r>
        <w:rPr>
          <w:rFonts w:hint="eastAsia" w:ascii="宋体" w:hAnsi="宋体" w:eastAsia="宋体"/>
          <w:color w:val="auto"/>
          <w:position w:val="0"/>
          <w:sz w:val="24"/>
          <w:szCs w:val="24"/>
          <w:lang w:val="en-US" w:eastAsia="zh-CN"/>
        </w:rPr>
        <w:t>8.17</w:t>
      </w:r>
      <w:r>
        <w:rPr>
          <w:rFonts w:hint="default" w:ascii="宋体" w:hAnsi="宋体" w:eastAsia="宋体"/>
          <w:color w:val="auto"/>
          <w:position w:val="0"/>
          <w:sz w:val="24"/>
          <w:szCs w:val="24"/>
          <w:lang w:val="en-US" w:eastAsia="zh-CN"/>
        </w:rPr>
        <w:t>mg/m3，</w:t>
      </w:r>
      <w:r>
        <w:rPr>
          <w:rFonts w:hint="eastAsia" w:ascii="宋体" w:hAnsi="宋体" w:eastAsia="宋体"/>
          <w:color w:val="auto"/>
          <w:position w:val="0"/>
          <w:sz w:val="24"/>
          <w:szCs w:val="24"/>
          <w:lang w:val="en-US" w:eastAsia="zh-CN"/>
        </w:rPr>
        <w:t>排放速率为0.0466kg/h《大气污染物综合排放标准》（GB16297-1996）表2中二级标准要求</w:t>
      </w:r>
      <w:r>
        <w:rPr>
          <w:rFonts w:hint="default" w:ascii="宋体" w:hAnsi="宋体" w:eastAsia="宋体"/>
          <w:color w:val="auto"/>
          <w:position w:val="0"/>
          <w:sz w:val="24"/>
          <w:szCs w:val="24"/>
          <w:lang w:val="en-US" w:eastAsia="zh-CN"/>
        </w:rPr>
        <w:t>。（</w:t>
      </w:r>
      <w:r>
        <w:rPr>
          <w:rFonts w:hint="eastAsia" w:ascii="宋体" w:hAnsi="宋体" w:eastAsia="宋体"/>
          <w:color w:val="auto"/>
          <w:position w:val="0"/>
          <w:sz w:val="24"/>
          <w:szCs w:val="24"/>
          <w:lang w:val="en-US" w:eastAsia="zh-CN"/>
        </w:rPr>
        <w:t>硫酸雾</w:t>
      </w:r>
      <w:r>
        <w:rPr>
          <w:rFonts w:hint="default" w:ascii="宋体" w:hAnsi="宋体" w:eastAsia="宋体"/>
          <w:color w:val="auto"/>
          <w:position w:val="0"/>
          <w:sz w:val="24"/>
          <w:szCs w:val="24"/>
          <w:lang w:val="en-US" w:eastAsia="zh-CN"/>
        </w:rPr>
        <w:t>：</w:t>
      </w:r>
      <w:r>
        <w:rPr>
          <w:rFonts w:hint="eastAsia" w:ascii="宋体" w:hAnsi="宋体" w:eastAsia="宋体"/>
          <w:color w:val="auto"/>
          <w:position w:val="0"/>
          <w:sz w:val="24"/>
          <w:szCs w:val="24"/>
          <w:lang w:val="en-US" w:eastAsia="zh-CN"/>
        </w:rPr>
        <w:t>45</w:t>
      </w:r>
      <w:r>
        <w:rPr>
          <w:rFonts w:hint="default" w:ascii="宋体" w:hAnsi="宋体" w:eastAsia="宋体"/>
          <w:color w:val="auto"/>
          <w:position w:val="0"/>
          <w:sz w:val="24"/>
          <w:szCs w:val="24"/>
          <w:lang w:val="en-US" w:eastAsia="zh-CN"/>
        </w:rPr>
        <w:t>mg/m³</w:t>
      </w:r>
      <w:r>
        <w:rPr>
          <w:rFonts w:hint="eastAsia" w:ascii="宋体" w:hAnsi="宋体" w:eastAsia="宋体"/>
          <w:color w:val="auto"/>
          <w:position w:val="0"/>
          <w:sz w:val="24"/>
          <w:szCs w:val="24"/>
          <w:lang w:val="en-US" w:eastAsia="zh-CN"/>
        </w:rPr>
        <w:t>）。</w:t>
      </w:r>
    </w:p>
    <w:p>
      <w:pPr>
        <w:pageBreakBefore w:val="0"/>
        <w:numPr>
          <w:ilvl w:val="0"/>
          <w:numId w:val="0"/>
        </w:numPr>
        <w:autoSpaceDE/>
        <w:autoSpaceDN/>
        <w:bidi w:val="0"/>
        <w:snapToGrid/>
        <w:spacing w:before="0" w:after="0" w:line="360" w:lineRule="auto"/>
        <w:ind w:right="0" w:firstLine="480"/>
        <w:jc w:val="left"/>
        <w:rPr>
          <w:rFonts w:hint="eastAsia" w:ascii="宋体" w:hAnsi="宋体" w:eastAsia="宋体"/>
          <w:color w:val="auto"/>
          <w:position w:val="0"/>
          <w:sz w:val="24"/>
          <w:szCs w:val="24"/>
          <w:lang w:val="en-US" w:eastAsia="zh-CN"/>
        </w:rPr>
      </w:pPr>
      <w:r>
        <w:rPr>
          <w:rFonts w:hint="eastAsia" w:ascii="宋体" w:hAnsi="宋体" w:eastAsia="宋体"/>
          <w:color w:val="auto"/>
          <w:position w:val="0"/>
          <w:sz w:val="24"/>
          <w:szCs w:val="24"/>
          <w:lang w:val="en-US" w:eastAsia="zh-CN"/>
        </w:rPr>
        <w:t>中和浸泡有组织氨最大</w:t>
      </w:r>
      <w:r>
        <w:rPr>
          <w:rFonts w:hint="default" w:ascii="宋体" w:hAnsi="宋体" w:eastAsia="宋体"/>
          <w:color w:val="auto"/>
          <w:position w:val="0"/>
          <w:sz w:val="24"/>
          <w:szCs w:val="24"/>
          <w:lang w:val="en-US" w:eastAsia="zh-CN"/>
        </w:rPr>
        <w:t>排</w:t>
      </w:r>
      <w:r>
        <w:rPr>
          <w:rFonts w:hint="eastAsia" w:ascii="宋体" w:hAnsi="宋体" w:eastAsia="宋体"/>
          <w:color w:val="auto"/>
          <w:position w:val="0"/>
          <w:sz w:val="24"/>
          <w:szCs w:val="24"/>
          <w:lang w:val="en-US" w:eastAsia="zh-CN"/>
        </w:rPr>
        <w:t>速率</w:t>
      </w:r>
      <w:r>
        <w:rPr>
          <w:rFonts w:hint="default" w:ascii="宋体" w:hAnsi="宋体" w:eastAsia="宋体"/>
          <w:color w:val="auto"/>
          <w:position w:val="0"/>
          <w:sz w:val="24"/>
          <w:szCs w:val="24"/>
          <w:lang w:val="en-US" w:eastAsia="zh-CN"/>
        </w:rPr>
        <w:t>为</w:t>
      </w:r>
      <w:r>
        <w:rPr>
          <w:rFonts w:hint="eastAsia" w:ascii="宋体" w:hAnsi="宋体" w:eastAsia="宋体"/>
          <w:color w:val="auto"/>
          <w:position w:val="0"/>
          <w:sz w:val="24"/>
          <w:szCs w:val="24"/>
          <w:lang w:val="en-US" w:eastAsia="zh-CN"/>
        </w:rPr>
        <w:t>0.00553kg</w:t>
      </w:r>
      <w:r>
        <w:rPr>
          <w:rFonts w:hint="default" w:ascii="宋体" w:hAnsi="宋体" w:eastAsia="宋体"/>
          <w:color w:val="auto"/>
          <w:position w:val="0"/>
          <w:sz w:val="24"/>
          <w:szCs w:val="24"/>
          <w:lang w:val="en-US" w:eastAsia="zh-CN"/>
        </w:rPr>
        <w:t>/</w:t>
      </w:r>
      <w:r>
        <w:rPr>
          <w:rFonts w:hint="eastAsia" w:ascii="宋体" w:hAnsi="宋体" w:eastAsia="宋体"/>
          <w:color w:val="auto"/>
          <w:position w:val="0"/>
          <w:sz w:val="24"/>
          <w:szCs w:val="24"/>
          <w:lang w:val="en-US" w:eastAsia="zh-CN"/>
        </w:rPr>
        <w:t>h《恶臭污染物排放标准》（GB14554-93）二级新建标准要求。（氨排放速率小于等于4.9kg</w:t>
      </w:r>
      <w:r>
        <w:rPr>
          <w:rFonts w:hint="default" w:ascii="宋体" w:hAnsi="宋体" w:eastAsia="宋体"/>
          <w:color w:val="auto"/>
          <w:position w:val="0"/>
          <w:sz w:val="24"/>
          <w:szCs w:val="24"/>
          <w:lang w:val="en-US" w:eastAsia="zh-CN"/>
        </w:rPr>
        <w:t>/</w:t>
      </w:r>
      <w:r>
        <w:rPr>
          <w:rFonts w:hint="eastAsia" w:ascii="宋体" w:hAnsi="宋体" w:eastAsia="宋体"/>
          <w:color w:val="auto"/>
          <w:position w:val="0"/>
          <w:sz w:val="24"/>
          <w:szCs w:val="24"/>
          <w:lang w:val="en-US" w:eastAsia="zh-CN"/>
        </w:rPr>
        <w:t>h）</w:t>
      </w:r>
    </w:p>
    <w:p>
      <w:pPr>
        <w:pStyle w:val="138"/>
        <w:snapToGrid w:val="0"/>
        <w:spacing w:line="360" w:lineRule="auto"/>
        <w:ind w:left="420" w:firstLine="0"/>
        <w:rPr>
          <w:rFonts w:hint="eastAsia" w:ascii="宋体" w:hAnsi="宋体" w:eastAsia="宋体"/>
          <w:color w:val="auto"/>
          <w:position w:val="0"/>
          <w:sz w:val="24"/>
          <w:szCs w:val="24"/>
          <w:lang w:val="en-US" w:eastAsia="zh-CN"/>
        </w:rPr>
      </w:pPr>
      <w:r>
        <w:rPr>
          <w:rFonts w:hint="eastAsia" w:ascii="宋体" w:hAnsi="宋体" w:eastAsia="宋体"/>
          <w:color w:val="auto"/>
          <w:position w:val="0"/>
          <w:sz w:val="24"/>
          <w:szCs w:val="24"/>
          <w:lang w:val="en-US" w:eastAsia="zh-CN"/>
        </w:rPr>
        <w:t xml:space="preserve">   污水处理臭气排放分别为硫化氢：0.00578 kg</w:t>
      </w:r>
      <w:r>
        <w:rPr>
          <w:rFonts w:hint="default" w:ascii="宋体" w:hAnsi="宋体" w:eastAsia="宋体"/>
          <w:color w:val="auto"/>
          <w:position w:val="0"/>
          <w:sz w:val="24"/>
          <w:szCs w:val="24"/>
          <w:lang w:val="en-US" w:eastAsia="zh-CN"/>
        </w:rPr>
        <w:t>/</w:t>
      </w:r>
      <w:r>
        <w:rPr>
          <w:rFonts w:hint="eastAsia" w:ascii="宋体" w:hAnsi="宋体" w:eastAsia="宋体"/>
          <w:color w:val="auto"/>
          <w:position w:val="0"/>
          <w:sz w:val="24"/>
          <w:szCs w:val="24"/>
          <w:lang w:val="en-US" w:eastAsia="zh-CN"/>
        </w:rPr>
        <w:t>h；氨：0.0141kg</w:t>
      </w:r>
      <w:r>
        <w:rPr>
          <w:rFonts w:hint="default" w:ascii="宋体" w:hAnsi="宋体" w:eastAsia="宋体"/>
          <w:color w:val="auto"/>
          <w:position w:val="0"/>
          <w:sz w:val="24"/>
          <w:szCs w:val="24"/>
          <w:lang w:val="en-US" w:eastAsia="zh-CN"/>
        </w:rPr>
        <w:t>/</w:t>
      </w:r>
      <w:r>
        <w:rPr>
          <w:rFonts w:hint="eastAsia" w:ascii="宋体" w:hAnsi="宋体" w:eastAsia="宋体"/>
          <w:color w:val="auto"/>
          <w:position w:val="0"/>
          <w:sz w:val="24"/>
          <w:szCs w:val="24"/>
          <w:lang w:val="en-US" w:eastAsia="zh-CN"/>
        </w:rPr>
        <w:t>h；臭气浓度为741无量纲，满足《恶臭污染物排放标准》（GB14554-93）二级新建标准要求。（臭气浓度≤2000、硫化氢≤0.33kg/h、氨≤4.9kg</w:t>
      </w:r>
      <w:r>
        <w:rPr>
          <w:rFonts w:hint="default" w:ascii="宋体" w:hAnsi="宋体" w:eastAsia="宋体"/>
          <w:color w:val="auto"/>
          <w:position w:val="0"/>
          <w:sz w:val="24"/>
          <w:szCs w:val="24"/>
          <w:lang w:val="en-US" w:eastAsia="zh-CN"/>
        </w:rPr>
        <w:t>/</w:t>
      </w:r>
      <w:r>
        <w:rPr>
          <w:rFonts w:hint="eastAsia" w:ascii="宋体" w:hAnsi="宋体" w:eastAsia="宋体"/>
          <w:color w:val="auto"/>
          <w:position w:val="0"/>
          <w:sz w:val="24"/>
          <w:szCs w:val="24"/>
          <w:lang w:val="en-US" w:eastAsia="zh-CN"/>
        </w:rPr>
        <w:t xml:space="preserve">h）。 </w:t>
      </w:r>
    </w:p>
    <w:p>
      <w:pPr>
        <w:pStyle w:val="138"/>
        <w:snapToGrid w:val="0"/>
        <w:spacing w:line="360" w:lineRule="auto"/>
        <w:ind w:left="420" w:firstLine="0"/>
        <w:rPr>
          <w:rFonts w:ascii="宋体" w:hAnsi="宋体" w:eastAsia="宋体"/>
          <w:sz w:val="24"/>
          <w:szCs w:val="24"/>
        </w:rPr>
      </w:pPr>
      <w:r>
        <w:rPr>
          <w:rFonts w:ascii="宋体" w:hAnsi="宋体" w:eastAsia="宋体"/>
          <w:sz w:val="24"/>
          <w:szCs w:val="24"/>
        </w:rPr>
        <w:t>3、厂界噪声</w:t>
      </w:r>
    </w:p>
    <w:p>
      <w:pPr>
        <w:pStyle w:val="138"/>
        <w:snapToGrid w:val="0"/>
        <w:spacing w:line="360" w:lineRule="auto"/>
        <w:ind w:firstLine="0"/>
        <w:rPr>
          <w:rFonts w:ascii="宋体" w:hAnsi="宋体" w:eastAsia="宋体"/>
          <w:sz w:val="24"/>
          <w:szCs w:val="24"/>
        </w:rPr>
      </w:pPr>
      <w:r>
        <w:rPr>
          <w:rFonts w:ascii="宋体" w:hAnsi="宋体" w:eastAsia="宋体"/>
          <w:sz w:val="24"/>
          <w:szCs w:val="24"/>
        </w:rPr>
        <w:t xml:space="preserve">    监测期间，</w:t>
      </w:r>
      <w:r>
        <w:rPr>
          <w:rFonts w:hint="eastAsia" w:ascii="宋体" w:hAnsi="宋体" w:eastAsia="宋体"/>
          <w:sz w:val="24"/>
          <w:szCs w:val="24"/>
        </w:rPr>
        <w:t>厂界昼间噪声最高值为</w:t>
      </w:r>
      <w:r>
        <w:rPr>
          <w:rFonts w:hint="eastAsia" w:ascii="宋体" w:hAnsi="宋体" w:eastAsia="宋体"/>
          <w:sz w:val="24"/>
          <w:szCs w:val="24"/>
          <w:lang w:val="en-US" w:eastAsia="zh-CN"/>
        </w:rPr>
        <w:t>58</w:t>
      </w:r>
      <w:r>
        <w:rPr>
          <w:rFonts w:ascii="宋体" w:hAnsi="宋体" w:eastAsia="宋体"/>
          <w:bCs/>
          <w:sz w:val="24"/>
          <w:szCs w:val="24"/>
        </w:rPr>
        <w:t>dB(A)</w:t>
      </w:r>
      <w:r>
        <w:rPr>
          <w:rFonts w:hint="eastAsia" w:ascii="宋体" w:hAnsi="宋体" w:eastAsia="宋体"/>
          <w:bCs/>
          <w:sz w:val="24"/>
          <w:szCs w:val="24"/>
        </w:rPr>
        <w:t>，小于</w:t>
      </w:r>
      <w:r>
        <w:rPr>
          <w:rFonts w:ascii="宋体" w:hAnsi="宋体" w:eastAsia="宋体"/>
          <w:bCs/>
          <w:sz w:val="24"/>
          <w:szCs w:val="24"/>
        </w:rPr>
        <w:t>6</w:t>
      </w:r>
      <w:r>
        <w:rPr>
          <w:rFonts w:hint="eastAsia" w:ascii="宋体" w:hAnsi="宋体" w:eastAsia="宋体"/>
          <w:bCs/>
          <w:sz w:val="24"/>
          <w:szCs w:val="24"/>
          <w:lang w:val="en-US" w:eastAsia="zh-CN"/>
        </w:rPr>
        <w:t>5</w:t>
      </w:r>
      <w:r>
        <w:rPr>
          <w:rFonts w:ascii="宋体" w:hAnsi="宋体" w:eastAsia="宋体"/>
          <w:bCs/>
          <w:sz w:val="24"/>
          <w:szCs w:val="24"/>
        </w:rPr>
        <w:t>dB(A)</w:t>
      </w:r>
      <w:r>
        <w:rPr>
          <w:rFonts w:hint="eastAsia" w:ascii="宋体" w:hAnsi="宋体" w:eastAsia="宋体"/>
          <w:bCs/>
          <w:sz w:val="24"/>
          <w:szCs w:val="24"/>
        </w:rPr>
        <w:t>；</w:t>
      </w:r>
      <w:r>
        <w:rPr>
          <w:rFonts w:hint="eastAsia" w:ascii="宋体" w:hAnsi="宋体" w:eastAsia="宋体"/>
          <w:sz w:val="24"/>
          <w:szCs w:val="24"/>
        </w:rPr>
        <w:t>夜间</w:t>
      </w:r>
      <w:r>
        <w:rPr>
          <w:rFonts w:hint="eastAsia" w:ascii="宋体" w:hAnsi="宋体" w:eastAsia="宋体"/>
          <w:sz w:val="24"/>
          <w:szCs w:val="24"/>
          <w:lang w:val="en-US" w:eastAsia="zh-CN"/>
        </w:rPr>
        <w:t>不生产</w:t>
      </w:r>
      <w:r>
        <w:rPr>
          <w:rFonts w:hint="default" w:ascii="Times New Roman" w:hAnsi="Times New Roman" w:eastAsia="Times New Roman"/>
          <w:color w:val="auto"/>
          <w:position w:val="0"/>
          <w:sz w:val="24"/>
          <w:szCs w:val="24"/>
        </w:rPr>
        <w:t>，</w:t>
      </w:r>
      <w:r>
        <w:rPr>
          <w:rFonts w:hint="eastAsia" w:ascii="Times New Roman" w:hAnsi="Times New Roman" w:eastAsia="宋体"/>
          <w:color w:val="auto"/>
          <w:position w:val="0"/>
          <w:sz w:val="24"/>
          <w:szCs w:val="24"/>
          <w:lang w:val="en-US" w:eastAsia="zh-CN"/>
        </w:rPr>
        <w:t>满足</w:t>
      </w:r>
      <w:r>
        <w:rPr>
          <w:rFonts w:hint="eastAsia" w:ascii="宋体" w:hAnsi="宋体" w:eastAsia="宋体"/>
          <w:sz w:val="24"/>
          <w:szCs w:val="24"/>
        </w:rPr>
        <w:t>厂界噪声符合《工业企业厂界环境噪声排放标准》（</w:t>
      </w:r>
      <w:r>
        <w:rPr>
          <w:rFonts w:ascii="宋体" w:hAnsi="宋体" w:eastAsia="宋体"/>
          <w:sz w:val="24"/>
          <w:szCs w:val="24"/>
        </w:rPr>
        <w:t>GB12348-2008</w:t>
      </w:r>
      <w:r>
        <w:rPr>
          <w:rFonts w:hint="eastAsia" w:ascii="宋体" w:hAnsi="宋体" w:eastAsia="宋体"/>
          <w:sz w:val="24"/>
          <w:szCs w:val="24"/>
        </w:rPr>
        <w:t>）中</w:t>
      </w:r>
      <w:r>
        <w:rPr>
          <w:rFonts w:hint="eastAsia" w:ascii="宋体" w:hAnsi="宋体" w:eastAsia="宋体"/>
          <w:sz w:val="24"/>
          <w:szCs w:val="24"/>
          <w:lang w:val="en-US" w:eastAsia="zh-CN"/>
        </w:rPr>
        <w:t>3</w:t>
      </w:r>
      <w:r>
        <w:rPr>
          <w:rFonts w:hint="eastAsia" w:ascii="宋体" w:hAnsi="宋体" w:eastAsia="宋体"/>
          <w:sz w:val="24"/>
          <w:szCs w:val="24"/>
        </w:rPr>
        <w:t>类标准要求。</w:t>
      </w:r>
      <w:r>
        <w:rPr>
          <w:rStyle w:val="139"/>
          <w:rFonts w:hint="eastAsia" w:ascii="宋体" w:hAnsi="宋体" w:eastAsia="宋体" w:cs="宋体"/>
        </w:rPr>
        <w:t>对周围敏感点基本没有影响。</w:t>
      </w:r>
    </w:p>
    <w:p>
      <w:pPr>
        <w:snapToGrid w:val="0"/>
        <w:spacing w:line="360" w:lineRule="auto"/>
        <w:ind w:left="420"/>
        <w:jc w:val="left"/>
        <w:rPr>
          <w:rFonts w:ascii="宋体" w:hAnsi="宋体" w:eastAsia="宋体"/>
          <w:sz w:val="24"/>
          <w:szCs w:val="24"/>
        </w:rPr>
      </w:pPr>
      <w:r>
        <w:rPr>
          <w:rFonts w:ascii="宋体" w:hAnsi="宋体" w:eastAsia="宋体"/>
          <w:sz w:val="24"/>
          <w:szCs w:val="24"/>
        </w:rPr>
        <w:t>4、</w:t>
      </w:r>
      <w:r>
        <w:rPr>
          <w:rFonts w:hint="eastAsia" w:ascii="宋体" w:hAnsi="宋体" w:eastAsia="宋体" w:cs="宋体"/>
          <w:sz w:val="24"/>
          <w:szCs w:val="24"/>
        </w:rPr>
        <w:t>固体废物</w:t>
      </w:r>
      <w:bookmarkStart w:id="45" w:name="_Toc22205"/>
      <w:bookmarkEnd w:id="45"/>
      <w:bookmarkStart w:id="46" w:name="_Toc31270"/>
      <w:bookmarkEnd w:id="46"/>
    </w:p>
    <w:p>
      <w:pPr>
        <w:numPr>
          <w:ilvl w:val="0"/>
          <w:numId w:val="0"/>
        </w:numPr>
        <w:autoSpaceDE/>
        <w:autoSpaceDN/>
        <w:snapToGrid w:val="0"/>
        <w:spacing w:before="0" w:after="0" w:line="360" w:lineRule="auto"/>
        <w:ind w:right="0" w:firstLine="480"/>
        <w:jc w:val="both"/>
        <w:rPr>
          <w:rFonts w:hint="default" w:ascii="Times New Roman" w:hAnsi="Times New Roman" w:eastAsia="Times New Roman" w:cs="宋体"/>
          <w:color w:val="auto"/>
          <w:w w:val="100"/>
          <w:position w:val="0"/>
          <w:sz w:val="24"/>
          <w:szCs w:val="24"/>
          <w:shd w:val="clear"/>
        </w:rPr>
      </w:pPr>
      <w:r>
        <w:rPr>
          <w:rFonts w:hint="default" w:ascii="Times New Roman" w:hAnsi="Times New Roman" w:eastAsia="Times New Roman" w:cs="宋体"/>
          <w:color w:val="auto"/>
          <w:w w:val="100"/>
          <w:position w:val="0"/>
          <w:sz w:val="24"/>
          <w:szCs w:val="24"/>
          <w:shd w:val="clear"/>
          <w:lang w:val="en-US" w:eastAsia="zh-CN"/>
        </w:rPr>
        <w:t>经核实，</w:t>
      </w:r>
      <w:r>
        <w:rPr>
          <w:rFonts w:hint="default" w:ascii="Times New Roman" w:hAnsi="Times New Roman" w:eastAsia="Times New Roman" w:cs="宋体"/>
          <w:color w:val="auto"/>
          <w:w w:val="100"/>
          <w:position w:val="0"/>
          <w:sz w:val="24"/>
          <w:szCs w:val="24"/>
          <w:shd w:val="clear"/>
          <w:lang w:val="zh-CN" w:eastAsia="zh-CN"/>
        </w:rPr>
        <w:t>下脚料、废包装物收集后外售综合利用;污水处理站污泥交由污泥处置单位进行安全处置。化学试剂桶、废润滑油/桶、废活性炭属于危险废物，须交由有相关资质的单位进行处理，并执行联单转移制度;生活垃圾收集后由环卫部门统</w:t>
      </w:r>
      <w:r>
        <w:rPr>
          <w:rFonts w:hint="eastAsia" w:ascii="Times New Roman" w:hAnsi="Times New Roman" w:eastAsia="Times New Roman" w:cs="宋体"/>
          <w:color w:val="auto"/>
          <w:w w:val="100"/>
          <w:position w:val="0"/>
          <w:sz w:val="24"/>
          <w:szCs w:val="24"/>
          <w:shd w:val="clear"/>
          <w:lang w:val="en-US" w:eastAsia="zh-CN"/>
        </w:rPr>
        <w:t>一</w:t>
      </w:r>
      <w:r>
        <w:rPr>
          <w:rFonts w:hint="default" w:ascii="Times New Roman" w:hAnsi="Times New Roman" w:eastAsia="Times New Roman" w:cs="宋体"/>
          <w:color w:val="auto"/>
          <w:w w:val="100"/>
          <w:position w:val="0"/>
          <w:sz w:val="24"/>
          <w:szCs w:val="24"/>
          <w:shd w:val="clear"/>
          <w:lang w:val="zh-CN" w:eastAsia="zh-CN"/>
        </w:rPr>
        <w:t>处理</w:t>
      </w:r>
      <w:r>
        <w:rPr>
          <w:rFonts w:hint="eastAsia" w:ascii="Times New Roman" w:hAnsi="Times New Roman" w:eastAsia="Times New Roman" w:cs="宋体"/>
          <w:color w:val="auto"/>
          <w:w w:val="100"/>
          <w:position w:val="0"/>
          <w:sz w:val="24"/>
          <w:szCs w:val="24"/>
          <w:shd w:val="clear"/>
          <w:lang w:val="zh-CN" w:eastAsia="zh-CN"/>
        </w:rPr>
        <w:t>。</w:t>
      </w:r>
    </w:p>
    <w:p>
      <w:pPr>
        <w:pStyle w:val="2"/>
        <w:spacing w:after="0" w:line="360" w:lineRule="auto"/>
        <w:ind w:left="0" w:leftChars="0" w:firstLine="400" w:firstLineChars="200"/>
        <w:rPr>
          <w:rFonts w:hint="eastAsia" w:ascii="宋体" w:hAnsi="宋体"/>
        </w:rPr>
      </w:pPr>
      <w:r>
        <w:rPr>
          <w:rFonts w:hint="eastAsia" w:ascii="宋体" w:hAnsi="宋体"/>
        </w:rPr>
        <w:t>5、污染物排放总量</w:t>
      </w:r>
    </w:p>
    <w:p>
      <w:pPr>
        <w:pStyle w:val="2"/>
        <w:spacing w:after="0" w:line="360" w:lineRule="auto"/>
        <w:ind w:left="0" w:leftChars="0" w:firstLine="480" w:firstLineChars="200"/>
        <w:rPr>
          <w:rFonts w:hint="eastAsia" w:ascii="宋体" w:hAnsi="宋体" w:eastAsia="宋体" w:cs="宋体"/>
          <w:b w:val="0"/>
          <w:w w:val="100"/>
          <w:sz w:val="24"/>
          <w:szCs w:val="24"/>
          <w:shd w:val="clear"/>
        </w:rPr>
      </w:pPr>
      <w:r>
        <w:rPr>
          <w:rFonts w:hint="eastAsia" w:ascii="宋体" w:hAnsi="宋体" w:eastAsia="宋体" w:cs="宋体"/>
          <w:b w:val="0"/>
          <w:w w:val="100"/>
          <w:sz w:val="24"/>
          <w:szCs w:val="24"/>
          <w:shd w:val="clear"/>
        </w:rPr>
        <w:t>本项目排生产废水</w:t>
      </w:r>
      <w:r>
        <w:rPr>
          <w:rFonts w:hint="eastAsia" w:ascii="宋体" w:hAnsi="宋体" w:eastAsia="宋体" w:cs="宋体"/>
          <w:b w:val="0"/>
          <w:w w:val="100"/>
          <w:sz w:val="24"/>
          <w:szCs w:val="24"/>
          <w:shd w:val="clear"/>
          <w:lang w:val="en-US" w:eastAsia="zh-CN"/>
        </w:rPr>
        <w:t>排入鄄城县第二污水处理站，占用污水处理站总量，不另行申请总量，</w:t>
      </w:r>
      <w:r>
        <w:rPr>
          <w:rFonts w:hint="eastAsia" w:ascii="宋体" w:hAnsi="宋体" w:eastAsia="宋体" w:cs="宋体"/>
          <w:b w:val="0"/>
          <w:w w:val="100"/>
          <w:sz w:val="24"/>
          <w:szCs w:val="24"/>
          <w:shd w:val="clear"/>
        </w:rPr>
        <w:t>无二氧化硫、氮氧化物产生；按照现行规定，无需申请污染物排放总量。</w:t>
      </w:r>
    </w:p>
    <w:p>
      <w:pPr>
        <w:pStyle w:val="2"/>
        <w:spacing w:after="0" w:line="360" w:lineRule="auto"/>
        <w:ind w:left="0" w:leftChars="0" w:firstLine="400" w:firstLineChars="200"/>
        <w:rPr>
          <w:rFonts w:ascii="宋体" w:hAnsi="宋体"/>
        </w:rPr>
      </w:pPr>
      <w:r>
        <w:rPr>
          <w:rFonts w:hint="eastAsia" w:ascii="宋体" w:hAnsi="宋体"/>
        </w:rPr>
        <w:t>6</w:t>
      </w:r>
      <w:r>
        <w:rPr>
          <w:rFonts w:ascii="宋体" w:hAnsi="宋体"/>
        </w:rPr>
        <w:t>、卫生防护距离</w:t>
      </w:r>
    </w:p>
    <w:p>
      <w:pPr>
        <w:snapToGrid w:val="0"/>
        <w:spacing w:line="360" w:lineRule="auto"/>
        <w:jc w:val="left"/>
        <w:rPr>
          <w:rFonts w:ascii="宋体" w:hAnsi="宋体" w:eastAsia="宋体"/>
          <w:sz w:val="24"/>
          <w:szCs w:val="24"/>
        </w:rPr>
      </w:pPr>
      <w:r>
        <w:rPr>
          <w:rFonts w:ascii="宋体" w:hAnsi="宋体" w:eastAsia="宋体"/>
          <w:sz w:val="24"/>
          <w:szCs w:val="24"/>
        </w:rPr>
        <w:t xml:space="preserve">    根据勘查，项目生</w:t>
      </w:r>
      <w:r>
        <w:rPr>
          <w:rStyle w:val="139"/>
          <w:rFonts w:hint="eastAsia" w:ascii="宋体" w:hAnsi="宋体" w:eastAsia="宋体" w:cs="宋体"/>
        </w:rPr>
        <w:t>产车间</w:t>
      </w:r>
      <w:r>
        <w:rPr>
          <w:rFonts w:ascii="宋体" w:hAnsi="宋体" w:eastAsia="宋体"/>
          <w:sz w:val="24"/>
          <w:szCs w:val="24"/>
        </w:rPr>
        <w:t>100m</w:t>
      </w:r>
      <w:r>
        <w:rPr>
          <w:rFonts w:hint="eastAsia" w:ascii="宋体" w:hAnsi="宋体" w:eastAsia="宋体" w:cs="宋体"/>
          <w:sz w:val="24"/>
          <w:szCs w:val="24"/>
        </w:rPr>
        <w:t>范围内，无村庄、学校、医院等敏感点。符合卫生防护距离要求。</w:t>
      </w:r>
    </w:p>
    <w:p>
      <w:pPr>
        <w:spacing w:line="360" w:lineRule="auto"/>
        <w:ind w:firstLine="472" w:firstLineChars="196"/>
        <w:rPr>
          <w:rFonts w:ascii="宋体" w:hAnsi="宋体" w:eastAsia="宋体"/>
          <w:b/>
          <w:sz w:val="24"/>
          <w:szCs w:val="24"/>
        </w:rPr>
      </w:pPr>
      <w:r>
        <w:rPr>
          <w:rFonts w:hint="eastAsia" w:ascii="宋体" w:hAnsi="宋体" w:eastAsia="宋体" w:cs="宋体"/>
          <w:b/>
          <w:sz w:val="24"/>
          <w:szCs w:val="24"/>
        </w:rPr>
        <w:t>五、工程建设对环境的影响</w:t>
      </w:r>
    </w:p>
    <w:p>
      <w:pPr>
        <w:spacing w:line="360" w:lineRule="auto"/>
        <w:ind w:firstLine="480"/>
        <w:outlineLvl w:val="1"/>
        <w:rPr>
          <w:rFonts w:ascii="宋体" w:hAnsi="宋体" w:eastAsia="宋体"/>
          <w:color w:val="000000"/>
          <w:sz w:val="24"/>
          <w:szCs w:val="24"/>
        </w:rPr>
      </w:pPr>
      <w:r>
        <w:rPr>
          <w:rFonts w:hint="eastAsia" w:ascii="宋体" w:hAnsi="宋体" w:eastAsia="宋体" w:cs="宋体"/>
          <w:color w:val="000000"/>
          <w:sz w:val="24"/>
          <w:szCs w:val="24"/>
        </w:rPr>
        <w:t>该项目未对周边环境产生明显环境质量和生态影响。</w:t>
      </w:r>
    </w:p>
    <w:p>
      <w:pPr>
        <w:spacing w:line="360" w:lineRule="auto"/>
        <w:ind w:firstLine="472" w:firstLineChars="196"/>
        <w:rPr>
          <w:rFonts w:ascii="宋体" w:hAnsi="宋体" w:eastAsia="宋体"/>
          <w:b/>
          <w:sz w:val="24"/>
          <w:szCs w:val="24"/>
        </w:rPr>
      </w:pPr>
      <w:r>
        <w:rPr>
          <w:rFonts w:hint="eastAsia" w:ascii="宋体" w:hAnsi="宋体" w:eastAsia="宋体" w:cs="宋体"/>
          <w:b/>
          <w:sz w:val="24"/>
          <w:szCs w:val="24"/>
        </w:rPr>
        <w:t>六、验收结论</w:t>
      </w:r>
    </w:p>
    <w:p>
      <w:pPr>
        <w:spacing w:line="360" w:lineRule="auto"/>
        <w:ind w:firstLine="470" w:firstLineChars="196"/>
        <w:rPr>
          <w:rFonts w:ascii="宋体" w:hAnsi="宋体" w:eastAsia="宋体"/>
          <w:color w:val="000000"/>
          <w:sz w:val="24"/>
          <w:szCs w:val="24"/>
        </w:rPr>
      </w:pPr>
      <w:r>
        <w:rPr>
          <w:rFonts w:hint="eastAsia" w:ascii="宋体" w:hAnsi="宋体" w:eastAsia="宋体" w:cs="宋体"/>
          <w:color w:val="000000"/>
          <w:sz w:val="24"/>
          <w:szCs w:val="24"/>
        </w:rPr>
        <w:t>依据《建设项目竣工环境保护验收暂行办法》，根据该项目竣工环境保护验收监测报告和验收组现场勘察情况，项目环境保护审批手续完备，技术资料齐全。现仅</w:t>
      </w:r>
      <w:r>
        <w:rPr>
          <w:rFonts w:hint="eastAsia" w:ascii="宋体" w:hAnsi="宋体" w:eastAsia="宋体" w:cs="宋体"/>
          <w:color w:val="000000"/>
          <w:sz w:val="24"/>
          <w:szCs w:val="24"/>
          <w:lang w:val="en-US" w:eastAsia="zh-CN"/>
        </w:rPr>
        <w:t>对年产800万件人发制品项目（二期）年产200万件人发制品项目</w:t>
      </w:r>
      <w:r>
        <w:rPr>
          <w:rFonts w:hint="eastAsia" w:ascii="宋体" w:hAnsi="宋体" w:eastAsia="宋体" w:cs="宋体"/>
          <w:color w:val="000000"/>
          <w:sz w:val="24"/>
          <w:szCs w:val="24"/>
        </w:rPr>
        <w:t>进行验收。其产环保设备、设施与环评基本一致。其他均按环评批复的要求建成，无重大变动，具备正常运行条件。项目主要污染物排放满足环评批复标准要求。企业建立了环境管理制度。</w:t>
      </w:r>
    </w:p>
    <w:p>
      <w:pPr>
        <w:spacing w:line="480" w:lineRule="exact"/>
        <w:ind w:firstLine="480" w:firstLineChars="200"/>
        <w:rPr>
          <w:rFonts w:ascii="宋体" w:hAnsi="宋体" w:eastAsia="宋体"/>
          <w:sz w:val="24"/>
          <w:szCs w:val="24"/>
        </w:rPr>
      </w:pPr>
      <w:r>
        <w:rPr>
          <w:rFonts w:hint="eastAsia" w:ascii="宋体" w:hAnsi="宋体" w:eastAsia="宋体" w:cs="宋体"/>
          <w:color w:val="000000"/>
          <w:sz w:val="24"/>
          <w:szCs w:val="24"/>
        </w:rPr>
        <w:t>综上所述，</w:t>
      </w:r>
      <w:r>
        <w:rPr>
          <w:rFonts w:hint="eastAsia" w:ascii="宋体" w:hAnsi="宋体" w:eastAsia="宋体"/>
          <w:sz w:val="24"/>
          <w:szCs w:val="24"/>
          <w:lang w:eastAsia="zh-CN"/>
        </w:rPr>
        <w:t>鄄城龙欣宝典发制品有限公司年产800万件人发制品项目 （</w:t>
      </w:r>
      <w:r>
        <w:rPr>
          <w:rFonts w:hint="eastAsia" w:ascii="宋体" w:hAnsi="宋体" w:eastAsia="宋体"/>
          <w:sz w:val="24"/>
          <w:szCs w:val="24"/>
          <w:lang w:val="en-US" w:eastAsia="zh-CN"/>
        </w:rPr>
        <w:t>二</w:t>
      </w:r>
      <w:r>
        <w:rPr>
          <w:rFonts w:hint="eastAsia" w:ascii="宋体" w:hAnsi="宋体" w:eastAsia="宋体"/>
          <w:sz w:val="24"/>
          <w:szCs w:val="24"/>
          <w:lang w:eastAsia="zh-CN"/>
        </w:rPr>
        <w:t>期）</w:t>
      </w:r>
      <w:r>
        <w:rPr>
          <w:rFonts w:hint="eastAsia" w:ascii="宋体" w:hAnsi="宋体" w:eastAsia="宋体"/>
          <w:sz w:val="24"/>
          <w:szCs w:val="24"/>
        </w:rPr>
        <w:t>（现仅</w:t>
      </w:r>
      <w:r>
        <w:rPr>
          <w:rFonts w:hint="eastAsia" w:ascii="宋体" w:hAnsi="宋体" w:eastAsia="宋体"/>
          <w:sz w:val="24"/>
          <w:szCs w:val="24"/>
          <w:lang w:val="en-US" w:eastAsia="zh-CN"/>
        </w:rPr>
        <w:t>年产200吨发制品</w:t>
      </w:r>
      <w:r>
        <w:rPr>
          <w:rFonts w:hint="eastAsia" w:ascii="宋体" w:hAnsi="宋体" w:eastAsia="宋体"/>
          <w:sz w:val="24"/>
          <w:szCs w:val="24"/>
        </w:rPr>
        <w:t>）基本符合《建设项目竣工环境保护验收暂行办法》（国环规环评</w:t>
      </w:r>
      <w:r>
        <w:rPr>
          <w:rFonts w:ascii="宋体" w:hAnsi="宋体" w:eastAsia="宋体"/>
          <w:sz w:val="24"/>
          <w:szCs w:val="24"/>
        </w:rPr>
        <w:t>[2017]4</w:t>
      </w:r>
      <w:r>
        <w:rPr>
          <w:rFonts w:hint="eastAsia" w:ascii="宋体" w:hAnsi="宋体" w:eastAsia="宋体"/>
          <w:sz w:val="24"/>
          <w:szCs w:val="24"/>
        </w:rPr>
        <w:t>号）的有关规定，在完成后续要求的前提下，同意验收合格。</w:t>
      </w:r>
    </w:p>
    <w:p>
      <w:pPr>
        <w:spacing w:line="480" w:lineRule="exact"/>
        <w:ind w:firstLine="480" w:firstLineChars="200"/>
        <w:rPr>
          <w:rFonts w:ascii="宋体" w:hAnsi="宋体" w:eastAsia="宋体"/>
          <w:sz w:val="24"/>
          <w:szCs w:val="24"/>
        </w:rPr>
      </w:pPr>
      <w:r>
        <w:rPr>
          <w:rFonts w:hint="eastAsia" w:ascii="宋体" w:hAnsi="宋体" w:eastAsia="宋体"/>
          <w:sz w:val="24"/>
          <w:szCs w:val="24"/>
        </w:rPr>
        <w:t>建设单位应当通过环保部网站或其他便于公众知晓的方式，向社会公开信息。</w:t>
      </w:r>
    </w:p>
    <w:p>
      <w:pPr>
        <w:spacing w:line="360" w:lineRule="auto"/>
        <w:ind w:firstLine="482" w:firstLineChars="200"/>
        <w:outlineLvl w:val="1"/>
        <w:rPr>
          <w:rFonts w:ascii="宋体" w:hAnsi="宋体" w:eastAsia="宋体"/>
          <w:b/>
          <w:color w:val="000000"/>
          <w:sz w:val="24"/>
          <w:szCs w:val="24"/>
        </w:rPr>
      </w:pPr>
      <w:r>
        <w:rPr>
          <w:rFonts w:hint="eastAsia" w:ascii="宋体" w:hAnsi="宋体" w:eastAsia="宋体" w:cs="宋体"/>
          <w:b/>
          <w:color w:val="000000"/>
          <w:sz w:val="24"/>
          <w:szCs w:val="24"/>
        </w:rPr>
        <w:t>七、后续要求和建议</w:t>
      </w:r>
    </w:p>
    <w:p>
      <w:pPr>
        <w:spacing w:line="360" w:lineRule="auto"/>
        <w:ind w:firstLine="480"/>
        <w:outlineLvl w:val="1"/>
        <w:rPr>
          <w:rFonts w:ascii="宋体" w:hAnsi="宋体" w:eastAsia="宋体"/>
          <w:color w:val="000000"/>
          <w:sz w:val="24"/>
          <w:szCs w:val="24"/>
        </w:rPr>
      </w:pPr>
      <w:r>
        <w:rPr>
          <w:rFonts w:ascii="宋体" w:hAnsi="宋体" w:eastAsia="宋体"/>
          <w:color w:val="000000"/>
          <w:sz w:val="24"/>
          <w:szCs w:val="24"/>
        </w:rPr>
        <w:t>1、规范废气排放筒监测口及监测平台的建设，完善环保设施标志牌。</w:t>
      </w:r>
    </w:p>
    <w:p>
      <w:pPr>
        <w:spacing w:line="360" w:lineRule="auto"/>
        <w:ind w:firstLine="480"/>
        <w:outlineLvl w:val="1"/>
        <w:rPr>
          <w:rFonts w:hint="eastAsia" w:ascii="宋体" w:hAnsi="宋体" w:eastAsia="宋体"/>
          <w:color w:val="000000"/>
          <w:sz w:val="24"/>
          <w:szCs w:val="24"/>
          <w:lang w:val="en-US" w:eastAsia="zh-CN"/>
        </w:rPr>
      </w:pPr>
      <w:r>
        <w:rPr>
          <w:rFonts w:hint="eastAsia" w:ascii="宋体" w:hAnsi="宋体" w:eastAsia="宋体"/>
          <w:color w:val="000000"/>
          <w:sz w:val="24"/>
          <w:szCs w:val="24"/>
        </w:rPr>
        <w:t>2</w:t>
      </w:r>
      <w:r>
        <w:rPr>
          <w:rFonts w:ascii="宋体" w:hAnsi="宋体" w:eastAsia="宋体"/>
          <w:color w:val="000000"/>
          <w:sz w:val="24"/>
          <w:szCs w:val="24"/>
        </w:rPr>
        <w:t>、</w:t>
      </w:r>
      <w:r>
        <w:rPr>
          <w:rFonts w:hint="eastAsia" w:ascii="宋体" w:hAnsi="宋体" w:eastAsia="宋体"/>
          <w:color w:val="000000"/>
          <w:sz w:val="24"/>
          <w:szCs w:val="24"/>
          <w:lang w:val="en-US" w:eastAsia="zh-CN"/>
        </w:rPr>
        <w:t>加强车间密闭，减少无组织排放。</w:t>
      </w:r>
    </w:p>
    <w:p>
      <w:pPr>
        <w:spacing w:line="360" w:lineRule="auto"/>
        <w:ind w:firstLine="480"/>
        <w:outlineLvl w:val="1"/>
        <w:rPr>
          <w:rFonts w:hint="eastAsia" w:ascii="宋体" w:hAnsi="宋体" w:eastAsia="宋体"/>
          <w:color w:val="000000"/>
          <w:sz w:val="24"/>
          <w:szCs w:val="24"/>
        </w:rPr>
      </w:pPr>
      <w:r>
        <w:rPr>
          <w:rFonts w:hint="eastAsia" w:ascii="宋体" w:hAnsi="宋体" w:eastAsia="宋体"/>
          <w:color w:val="000000"/>
          <w:sz w:val="24"/>
          <w:szCs w:val="24"/>
          <w:lang w:val="en-US" w:eastAsia="zh-CN"/>
        </w:rPr>
        <w:t>3</w:t>
      </w:r>
      <w:r>
        <w:rPr>
          <w:rFonts w:ascii="宋体" w:hAnsi="宋体" w:eastAsia="宋体"/>
          <w:color w:val="000000"/>
          <w:sz w:val="24"/>
          <w:szCs w:val="24"/>
        </w:rPr>
        <w:t>、进一步完善企业环境保护管理制度、完善各种环保台帐、操作规程、运行记录、检修、停运、自主监测计划等。</w:t>
      </w:r>
      <w:r>
        <w:rPr>
          <w:rFonts w:hint="eastAsia" w:ascii="宋体" w:hAnsi="宋体" w:eastAsia="宋体"/>
          <w:color w:val="000000"/>
          <w:sz w:val="24"/>
          <w:szCs w:val="24"/>
        </w:rPr>
        <w:t>加强生产管理。</w:t>
      </w:r>
    </w:p>
    <w:p>
      <w:pPr>
        <w:spacing w:line="360" w:lineRule="auto"/>
        <w:ind w:firstLine="480"/>
        <w:outlineLvl w:val="1"/>
        <w:rPr>
          <w:rFonts w:hint="eastAsia" w:ascii="宋体" w:hAnsi="宋体" w:eastAsia="宋体"/>
          <w:color w:val="000000"/>
          <w:sz w:val="24"/>
          <w:szCs w:val="24"/>
        </w:rPr>
      </w:pPr>
      <w:r>
        <w:rPr>
          <w:rFonts w:hint="eastAsia" w:ascii="宋体" w:hAnsi="宋体" w:eastAsia="宋体"/>
          <w:sz w:val="24"/>
          <w:lang w:val="en-US" w:eastAsia="zh-CN"/>
        </w:rPr>
        <w:t>4</w:t>
      </w:r>
      <w:r>
        <w:rPr>
          <w:rFonts w:hint="eastAsia" w:ascii="宋体" w:hAnsi="宋体" w:eastAsia="宋体"/>
          <w:sz w:val="24"/>
        </w:rPr>
        <w:t>、补充从立项到调试过程中无环境投诉、违法或处罚记录</w:t>
      </w:r>
    </w:p>
    <w:p>
      <w:pPr>
        <w:spacing w:line="440" w:lineRule="exact"/>
        <w:ind w:firstLine="482" w:firstLineChars="200"/>
        <w:rPr>
          <w:rFonts w:hint="eastAsia" w:ascii="宋体" w:hAnsi="宋体" w:eastAsia="宋体"/>
          <w:b/>
          <w:sz w:val="24"/>
          <w:szCs w:val="24"/>
        </w:rPr>
      </w:pPr>
      <w:r>
        <w:rPr>
          <w:rFonts w:hint="eastAsia" w:ascii="宋体" w:hAnsi="宋体" w:eastAsia="宋体"/>
          <w:b/>
          <w:sz w:val="24"/>
          <w:szCs w:val="24"/>
        </w:rPr>
        <w:t>八、验收组人员信息</w:t>
      </w:r>
    </w:p>
    <w:p>
      <w:pPr>
        <w:pStyle w:val="2"/>
        <w:spacing w:after="0" w:line="440" w:lineRule="exact"/>
        <w:ind w:left="0" w:leftChars="0" w:firstLine="555"/>
        <w:rPr>
          <w:rFonts w:hint="eastAsia" w:ascii="宋体" w:hAnsi="宋体" w:eastAsia="宋体" w:cs="宋体"/>
          <w:b w:val="0"/>
          <w:w w:val="100"/>
          <w:sz w:val="24"/>
          <w:szCs w:val="22"/>
          <w:shd w:val="clear"/>
        </w:rPr>
      </w:pPr>
      <w:r>
        <w:rPr>
          <w:rFonts w:hint="eastAsia" w:ascii="宋体" w:hAnsi="宋体" w:eastAsia="宋体" w:cs="宋体"/>
          <w:b w:val="0"/>
          <w:w w:val="100"/>
          <w:sz w:val="24"/>
          <w:szCs w:val="22"/>
          <w:shd w:val="clear"/>
        </w:rPr>
        <w:t xml:space="preserve">验收组人员信息见验收组人员名单 </w:t>
      </w:r>
    </w:p>
    <w:p>
      <w:pPr>
        <w:spacing w:line="440" w:lineRule="exact"/>
        <w:ind w:right="560" w:firstLine="560" w:firstLineChars="200"/>
        <w:jc w:val="right"/>
        <w:rPr>
          <w:rFonts w:hint="eastAsia" w:eastAsia="仿宋_GB2312"/>
          <w:color w:val="FF0000"/>
          <w:sz w:val="28"/>
          <w:szCs w:val="28"/>
        </w:rPr>
      </w:pPr>
      <w:r>
        <w:rPr>
          <w:rFonts w:hint="eastAsia" w:eastAsia="仿宋_GB2312"/>
          <w:color w:val="FF0000"/>
          <w:sz w:val="28"/>
          <w:szCs w:val="28"/>
        </w:rPr>
        <w:t xml:space="preserve">                                                      </w:t>
      </w:r>
    </w:p>
    <w:p>
      <w:pPr>
        <w:wordWrap w:val="0"/>
        <w:spacing w:line="440" w:lineRule="exact"/>
        <w:ind w:right="702" w:firstLine="560" w:firstLineChars="200"/>
        <w:jc w:val="center"/>
        <w:rPr>
          <w:rFonts w:hint="eastAsia" w:ascii="仿宋_GB2312" w:hAnsi="仿宋" w:eastAsia="仿宋_GB2312"/>
          <w:color w:val="000000"/>
          <w:sz w:val="28"/>
          <w:szCs w:val="28"/>
        </w:rPr>
      </w:pPr>
      <w:r>
        <w:rPr>
          <w:rFonts w:hint="eastAsia" w:ascii="仿宋_GB2312" w:hAnsi="仿宋" w:eastAsia="仿宋_GB2312"/>
          <w:color w:val="000000"/>
          <w:sz w:val="28"/>
          <w:szCs w:val="28"/>
        </w:rPr>
        <w:t xml:space="preserve">                           </w:t>
      </w:r>
      <w:r>
        <w:rPr>
          <w:rFonts w:hint="eastAsia" w:ascii="宋体" w:hAnsi="宋体" w:eastAsia="宋体" w:cs="宋体"/>
          <w:sz w:val="24"/>
        </w:rPr>
        <w:t xml:space="preserve"> </w:t>
      </w:r>
      <w:r>
        <w:rPr>
          <w:rFonts w:hint="eastAsia" w:ascii="宋体" w:hAnsi="宋体" w:eastAsia="宋体" w:cs="宋体"/>
          <w:sz w:val="24"/>
          <w:lang w:eastAsia="zh-CN"/>
        </w:rPr>
        <w:t>鄄城龙欣宝典发制品有限公司</w:t>
      </w:r>
      <w:r>
        <w:rPr>
          <w:rFonts w:ascii="仿宋_GB2312" w:hAnsi="仿宋" w:eastAsia="仿宋_GB2312"/>
          <w:color w:val="000000"/>
          <w:sz w:val="28"/>
          <w:szCs w:val="28"/>
        </w:rPr>
        <w:t xml:space="preserve">   </w:t>
      </w:r>
      <w:r>
        <w:rPr>
          <w:rFonts w:hint="eastAsia" w:ascii="仿宋_GB2312" w:hAnsi="仿宋" w:eastAsia="仿宋_GB2312"/>
          <w:color w:val="000000"/>
          <w:sz w:val="28"/>
          <w:szCs w:val="28"/>
        </w:rPr>
        <w:t xml:space="preserve">                              </w:t>
      </w:r>
    </w:p>
    <w:p>
      <w:pPr>
        <w:wordWrap w:val="0"/>
        <w:spacing w:line="440" w:lineRule="exact"/>
        <w:ind w:right="702" w:firstLine="560" w:firstLineChars="200"/>
        <w:jc w:val="center"/>
        <w:rPr>
          <w:rFonts w:ascii="宋体" w:hAnsi="宋体" w:eastAsia="宋体"/>
          <w:color w:val="000000"/>
          <w:sz w:val="24"/>
          <w:szCs w:val="24"/>
        </w:rPr>
      </w:pPr>
      <w:r>
        <w:rPr>
          <w:rFonts w:hint="eastAsia" w:ascii="仿宋_GB2312" w:hAnsi="仿宋" w:eastAsia="仿宋_GB2312"/>
          <w:color w:val="000000"/>
          <w:sz w:val="28"/>
          <w:szCs w:val="28"/>
        </w:rPr>
        <w:t xml:space="preserve">                              </w:t>
      </w:r>
      <w:r>
        <w:rPr>
          <w:rFonts w:hint="eastAsia" w:ascii="宋体" w:hAnsi="宋体" w:eastAsia="宋体"/>
          <w:color w:val="000000"/>
          <w:sz w:val="24"/>
          <w:szCs w:val="24"/>
        </w:rPr>
        <w:t>二〇</w:t>
      </w:r>
      <w:r>
        <w:rPr>
          <w:rFonts w:hint="eastAsia" w:ascii="宋体" w:hAnsi="宋体" w:eastAsia="宋体"/>
          <w:color w:val="000000"/>
          <w:sz w:val="24"/>
          <w:szCs w:val="24"/>
          <w:lang w:val="en-US" w:eastAsia="zh-CN"/>
        </w:rPr>
        <w:t>二一</w:t>
      </w:r>
      <w:r>
        <w:rPr>
          <w:rFonts w:hint="eastAsia" w:ascii="宋体" w:hAnsi="宋体" w:eastAsia="宋体"/>
          <w:color w:val="000000"/>
          <w:sz w:val="24"/>
          <w:szCs w:val="24"/>
        </w:rPr>
        <w:t>年</w:t>
      </w:r>
      <w:r>
        <w:rPr>
          <w:rFonts w:hint="eastAsia" w:ascii="宋体" w:hAnsi="宋体" w:eastAsia="宋体"/>
          <w:color w:val="000000"/>
          <w:sz w:val="24"/>
          <w:szCs w:val="24"/>
          <w:lang w:val="en-US" w:eastAsia="zh-CN"/>
        </w:rPr>
        <w:t>八</w:t>
      </w:r>
      <w:r>
        <w:rPr>
          <w:rFonts w:hint="eastAsia" w:ascii="宋体" w:hAnsi="宋体" w:eastAsia="宋体"/>
          <w:color w:val="000000"/>
          <w:sz w:val="24"/>
          <w:szCs w:val="24"/>
        </w:rPr>
        <w:t>月</w:t>
      </w:r>
      <w:r>
        <w:rPr>
          <w:rFonts w:hint="eastAsia" w:ascii="宋体" w:hAnsi="宋体" w:eastAsia="宋体"/>
          <w:color w:val="000000"/>
          <w:sz w:val="24"/>
          <w:szCs w:val="24"/>
          <w:lang w:val="en-US" w:eastAsia="zh-CN"/>
        </w:rPr>
        <w:t>十五</w:t>
      </w:r>
      <w:r>
        <w:rPr>
          <w:rFonts w:hint="eastAsia" w:ascii="宋体" w:hAnsi="宋体" w:eastAsia="宋体"/>
          <w:color w:val="000000"/>
          <w:sz w:val="24"/>
          <w:szCs w:val="24"/>
        </w:rPr>
        <w:t>日</w:t>
      </w:r>
    </w:p>
    <w:p>
      <w:pPr>
        <w:pStyle w:val="45"/>
        <w:rPr>
          <w:rFonts w:ascii="仿宋_GB2312" w:hAnsi="仿宋" w:eastAsia="仿宋_GB2312"/>
          <w:kern w:val="2"/>
          <w:sz w:val="28"/>
          <w:szCs w:val="28"/>
        </w:rPr>
      </w:pPr>
    </w:p>
    <w:p>
      <w:pPr>
        <w:rPr>
          <w:rFonts w:hint="eastAsia" w:eastAsia="?? ??"/>
          <w:lang w:eastAsia="zh-CN"/>
        </w:rPr>
      </w:pPr>
    </w:p>
    <w:p>
      <w:pPr>
        <w:pStyle w:val="25"/>
        <w:numPr>
          <w:ilvl w:val="0"/>
          <w:numId w:val="0"/>
        </w:numPr>
        <w:wordWrap w:val="0"/>
        <w:spacing w:before="0" w:after="0" w:line="240" w:lineRule="auto"/>
        <w:ind w:left="0" w:firstLine="0"/>
        <w:jc w:val="both"/>
        <w:rPr>
          <w:rFonts w:hint="eastAsia" w:ascii="仿宋" w:hAnsi="仿宋" w:eastAsia="宋体"/>
          <w:color w:val="000000"/>
          <w:position w:val="0"/>
          <w:sz w:val="28"/>
          <w:szCs w:val="28"/>
          <w:lang w:eastAsia="zh-CN"/>
        </w:rPr>
      </w:pPr>
    </w:p>
    <w:p>
      <w:pPr>
        <w:pStyle w:val="25"/>
        <w:numPr>
          <w:ilvl w:val="0"/>
          <w:numId w:val="0"/>
        </w:numPr>
        <w:wordWrap w:val="0"/>
        <w:spacing w:before="0" w:after="0" w:line="240" w:lineRule="auto"/>
        <w:ind w:left="0" w:firstLine="0"/>
        <w:jc w:val="both"/>
        <w:rPr>
          <w:rFonts w:hint="eastAsia" w:ascii="仿宋" w:hAnsi="仿宋" w:eastAsia="宋体"/>
          <w:color w:val="000000"/>
          <w:position w:val="0"/>
          <w:sz w:val="28"/>
          <w:szCs w:val="28"/>
          <w:lang w:eastAsia="zh-CN"/>
        </w:rPr>
      </w:pPr>
    </w:p>
    <w:p>
      <w:pPr>
        <w:pStyle w:val="25"/>
        <w:numPr>
          <w:ilvl w:val="0"/>
          <w:numId w:val="0"/>
        </w:numPr>
        <w:wordWrap w:val="0"/>
        <w:spacing w:before="0" w:after="0" w:line="240" w:lineRule="auto"/>
        <w:ind w:left="0" w:firstLine="0"/>
        <w:jc w:val="both"/>
        <w:rPr>
          <w:rFonts w:hint="eastAsia" w:ascii="仿宋" w:hAnsi="仿宋" w:eastAsia="宋体"/>
          <w:color w:val="000000"/>
          <w:position w:val="0"/>
          <w:sz w:val="28"/>
          <w:szCs w:val="28"/>
          <w:lang w:eastAsia="zh-CN"/>
        </w:rPr>
      </w:pPr>
      <w:r>
        <w:rPr>
          <w:rFonts w:hint="eastAsia" w:ascii="仿宋" w:hAnsi="仿宋" w:eastAsia="宋体"/>
          <w:color w:val="000000"/>
          <w:position w:val="0"/>
          <w:sz w:val="28"/>
          <w:szCs w:val="28"/>
          <w:lang w:eastAsia="zh-CN"/>
        </w:rPr>
        <w:drawing>
          <wp:inline distT="0" distB="0" distL="114300" distR="114300">
            <wp:extent cx="5266690" cy="8556625"/>
            <wp:effectExtent l="0" t="0" r="10160" b="15875"/>
            <wp:docPr id="5" name="图片 5" descr="5257b88063509840466c93c6a3d0e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257b88063509840466c93c6a3d0ecb"/>
                    <pic:cNvPicPr>
                      <a:picLocks noChangeAspect="1"/>
                    </pic:cNvPicPr>
                  </pic:nvPicPr>
                  <pic:blipFill>
                    <a:blip r:embed="rId17"/>
                    <a:stretch>
                      <a:fillRect/>
                    </a:stretch>
                  </pic:blipFill>
                  <pic:spPr>
                    <a:xfrm rot="10800000">
                      <a:off x="0" y="0"/>
                      <a:ext cx="5266690" cy="8556625"/>
                    </a:xfrm>
                    <a:prstGeom prst="rect">
                      <a:avLst/>
                    </a:prstGeom>
                  </pic:spPr>
                </pic:pic>
              </a:graphicData>
            </a:graphic>
          </wp:inline>
        </w:drawing>
      </w:r>
    </w:p>
    <w:p>
      <w:pPr>
        <w:pStyle w:val="25"/>
        <w:numPr>
          <w:ilvl w:val="0"/>
          <w:numId w:val="0"/>
        </w:numPr>
        <w:wordWrap w:val="0"/>
        <w:spacing w:before="0" w:after="0" w:line="240" w:lineRule="auto"/>
        <w:ind w:left="0" w:firstLine="0"/>
        <w:jc w:val="both"/>
        <w:rPr>
          <w:rFonts w:hint="eastAsia" w:ascii="仿宋" w:hAnsi="仿宋" w:eastAsia="宋体"/>
          <w:color w:val="000000"/>
          <w:position w:val="0"/>
          <w:sz w:val="28"/>
          <w:szCs w:val="28"/>
          <w:lang w:eastAsia="zh-CN"/>
        </w:rPr>
      </w:pPr>
    </w:p>
    <w:p>
      <w:pPr>
        <w:pStyle w:val="25"/>
        <w:numPr>
          <w:ilvl w:val="0"/>
          <w:numId w:val="0"/>
        </w:numPr>
        <w:wordWrap w:val="0"/>
        <w:spacing w:before="0" w:after="0" w:line="240" w:lineRule="auto"/>
        <w:ind w:left="0" w:firstLine="0"/>
        <w:jc w:val="both"/>
        <w:rPr>
          <w:rFonts w:hint="eastAsia" w:ascii="仿宋" w:hAnsi="仿宋" w:eastAsia="宋体"/>
          <w:color w:val="000000"/>
          <w:position w:val="0"/>
          <w:sz w:val="28"/>
          <w:szCs w:val="28"/>
          <w:lang w:eastAsia="zh-CN"/>
        </w:rPr>
      </w:pPr>
    </w:p>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仿宋" w:hAnsi="仿宋" w:eastAsia="仿宋" w:cs="仿宋"/>
          <w:b/>
          <w:sz w:val="32"/>
          <w:szCs w:val="32"/>
          <w:lang w:eastAsia="zh-CN"/>
        </w:rPr>
      </w:pPr>
      <w:r>
        <w:rPr>
          <w:rFonts w:hint="eastAsia" w:ascii="仿宋" w:hAnsi="仿宋" w:eastAsia="仿宋" w:cs="仿宋"/>
          <w:b/>
          <w:sz w:val="32"/>
          <w:szCs w:val="32"/>
          <w:lang w:eastAsia="zh-CN"/>
        </w:rPr>
        <w:t>鄄城龙欣宝典发制品有限公司</w:t>
      </w:r>
    </w:p>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b/>
          <w:sz w:val="32"/>
          <w:szCs w:val="32"/>
          <w:lang w:eastAsia="zh-CN"/>
        </w:rPr>
      </w:pPr>
      <w:r>
        <w:rPr>
          <w:rFonts w:hint="eastAsia" w:ascii="仿宋" w:hAnsi="仿宋" w:eastAsia="仿宋" w:cs="仿宋"/>
          <w:b/>
          <w:sz w:val="32"/>
          <w:szCs w:val="32"/>
          <w:lang w:eastAsia="zh-CN"/>
        </w:rPr>
        <w:t>年产800万件人发制品项目 （</w:t>
      </w:r>
      <w:r>
        <w:rPr>
          <w:rFonts w:hint="eastAsia" w:ascii="仿宋" w:hAnsi="仿宋" w:eastAsia="仿宋" w:cs="仿宋"/>
          <w:b/>
          <w:sz w:val="32"/>
          <w:szCs w:val="32"/>
          <w:lang w:val="en-US" w:eastAsia="zh-CN"/>
        </w:rPr>
        <w:t>二</w:t>
      </w:r>
      <w:r>
        <w:rPr>
          <w:rFonts w:hint="eastAsia" w:ascii="仿宋" w:hAnsi="仿宋" w:eastAsia="仿宋" w:cs="仿宋"/>
          <w:b/>
          <w:sz w:val="32"/>
          <w:szCs w:val="32"/>
          <w:lang w:eastAsia="zh-CN"/>
        </w:rPr>
        <w:t>期）</w:t>
      </w:r>
    </w:p>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b/>
          <w:sz w:val="32"/>
          <w:szCs w:val="32"/>
          <w:lang w:val="en-US" w:eastAsia="zh-CN"/>
        </w:rPr>
      </w:pPr>
      <w:r>
        <w:rPr>
          <w:rFonts w:hint="eastAsia" w:ascii="仿宋" w:hAnsi="仿宋" w:eastAsia="仿宋" w:cs="仿宋"/>
          <w:b/>
          <w:sz w:val="32"/>
          <w:szCs w:val="32"/>
          <w:lang w:eastAsia="zh-CN"/>
        </w:rPr>
        <w:t>竣工环境保护验收</w:t>
      </w:r>
      <w:r>
        <w:rPr>
          <w:rFonts w:hint="eastAsia" w:ascii="仿宋" w:hAnsi="仿宋" w:eastAsia="仿宋" w:cs="仿宋"/>
          <w:b/>
          <w:sz w:val="32"/>
          <w:szCs w:val="32"/>
          <w:lang w:val="en-US" w:eastAsia="zh-CN"/>
        </w:rPr>
        <w:t>整改说明</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left"/>
        <w:textAlignment w:val="auto"/>
        <w:rPr>
          <w:rFonts w:hint="eastAsia"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二〇</w:t>
      </w:r>
      <w:r>
        <w:rPr>
          <w:rFonts w:hint="eastAsia" w:ascii="仿宋" w:hAnsi="仿宋" w:eastAsia="仿宋" w:cs="仿宋"/>
          <w:b w:val="0"/>
          <w:bCs w:val="0"/>
          <w:sz w:val="28"/>
          <w:szCs w:val="28"/>
          <w:lang w:val="en-US" w:eastAsia="zh-CN"/>
        </w:rPr>
        <w:t>二一</w:t>
      </w:r>
      <w:r>
        <w:rPr>
          <w:rFonts w:hint="default" w:ascii="仿宋" w:hAnsi="仿宋" w:eastAsia="仿宋" w:cs="仿宋"/>
          <w:b w:val="0"/>
          <w:bCs w:val="0"/>
          <w:sz w:val="28"/>
          <w:szCs w:val="28"/>
          <w:lang w:val="en-US" w:eastAsia="zh-CN"/>
        </w:rPr>
        <w:t>年</w:t>
      </w:r>
      <w:r>
        <w:rPr>
          <w:rFonts w:hint="eastAsia" w:ascii="仿宋" w:hAnsi="仿宋" w:eastAsia="仿宋" w:cs="仿宋"/>
          <w:b w:val="0"/>
          <w:bCs w:val="0"/>
          <w:sz w:val="28"/>
          <w:szCs w:val="28"/>
          <w:lang w:val="en-US" w:eastAsia="zh-CN"/>
        </w:rPr>
        <w:t>八</w:t>
      </w:r>
      <w:r>
        <w:rPr>
          <w:rFonts w:hint="default" w:ascii="仿宋" w:hAnsi="仿宋" w:eastAsia="仿宋" w:cs="仿宋"/>
          <w:b w:val="0"/>
          <w:bCs w:val="0"/>
          <w:sz w:val="28"/>
          <w:szCs w:val="28"/>
          <w:lang w:val="en-US" w:eastAsia="zh-CN"/>
        </w:rPr>
        <w:t>月</w:t>
      </w:r>
      <w:r>
        <w:rPr>
          <w:rFonts w:hint="eastAsia" w:ascii="仿宋" w:hAnsi="仿宋" w:eastAsia="仿宋" w:cs="仿宋"/>
          <w:b w:val="0"/>
          <w:bCs w:val="0"/>
          <w:sz w:val="28"/>
          <w:szCs w:val="28"/>
          <w:lang w:val="en-US" w:eastAsia="zh-CN"/>
        </w:rPr>
        <w:t>十五</w:t>
      </w:r>
      <w:r>
        <w:rPr>
          <w:rFonts w:hint="default" w:ascii="仿宋" w:hAnsi="仿宋" w:eastAsia="仿宋" w:cs="仿宋"/>
          <w:b w:val="0"/>
          <w:bCs w:val="0"/>
          <w:sz w:val="28"/>
          <w:szCs w:val="28"/>
          <w:lang w:val="en-US" w:eastAsia="zh-CN"/>
        </w:rPr>
        <w:t>日</w:t>
      </w:r>
      <w:r>
        <w:rPr>
          <w:rFonts w:hint="eastAsia" w:ascii="仿宋" w:hAnsi="仿宋" w:eastAsia="仿宋" w:cs="仿宋"/>
          <w:b w:val="0"/>
          <w:bCs w:val="0"/>
          <w:sz w:val="28"/>
          <w:szCs w:val="28"/>
          <w:lang w:val="en-US" w:eastAsia="zh-CN"/>
        </w:rPr>
        <w:t>，我公司在菏泽市鄄城县组织召开了鄄城龙欣宝典发制品有限公司年产800万件人发制品项目（二期）竣</w:t>
      </w:r>
      <w:r>
        <w:rPr>
          <w:rFonts w:hint="eastAsia" w:ascii="仿宋" w:hAnsi="仿宋" w:eastAsia="仿宋" w:cs="仿宋"/>
          <w:b w:val="0"/>
          <w:bCs w:val="0"/>
          <w:sz w:val="28"/>
          <w:szCs w:val="28"/>
        </w:rPr>
        <w:t>工环境保护验收会。验收工作组现场检查了有关环境保护设施的建设和运行情况</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审阅并核实相关资料</w:t>
      </w:r>
      <w:r>
        <w:rPr>
          <w:rFonts w:hint="eastAsia" w:ascii="仿宋" w:hAnsi="仿宋" w:eastAsia="仿宋" w:cs="仿宋"/>
          <w:b w:val="0"/>
          <w:bCs w:val="0"/>
          <w:sz w:val="28"/>
          <w:szCs w:val="28"/>
          <w:lang w:val="en-US" w:eastAsia="zh-CN"/>
        </w:rPr>
        <w:t>后，对我公司不足之处提出了宝贵意见，我公司领导高度重视，立即召开专题会议，分析原因并结合实际情况落实整改，现将整改情况汇报如下：</w:t>
      </w:r>
    </w:p>
    <w:tbl>
      <w:tblPr>
        <w:tblStyle w:val="3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5"/>
        <w:gridCol w:w="5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75" w:type="dxa"/>
            <w:noWrap w:val="0"/>
            <w:vAlign w:val="center"/>
          </w:tcPr>
          <w:p>
            <w:pPr>
              <w:keepNext w:val="0"/>
              <w:keepLines w:val="0"/>
              <w:pageBreakBefore w:val="0"/>
              <w:widowControl w:val="0"/>
              <w:kinsoku/>
              <w:wordWrap/>
              <w:overflowPunct/>
              <w:topLinePunct w:val="0"/>
              <w:bidi w:val="0"/>
              <w:adjustRightInd w:val="0"/>
              <w:snapToGrid/>
              <w:spacing w:line="240" w:lineRule="auto"/>
              <w:ind w:firstLine="0" w:firstLineChars="0"/>
              <w:jc w:val="left"/>
              <w:textAlignment w:val="auto"/>
              <w:outlineLvl w:val="9"/>
              <w:rPr>
                <w:rFonts w:hint="eastAsia" w:ascii="仿宋" w:hAnsi="仿宋" w:eastAsia="仿宋" w:cs="宋体"/>
                <w:color w:val="000000"/>
                <w:spacing w:val="-2"/>
                <w:sz w:val="28"/>
                <w:szCs w:val="28"/>
                <w:lang w:val="en-US" w:eastAsia="zh-CN" w:bidi="ar-SA"/>
              </w:rPr>
            </w:pPr>
            <w:r>
              <w:rPr>
                <w:rFonts w:hint="eastAsia" w:ascii="仿宋" w:hAnsi="仿宋" w:eastAsia="仿宋" w:cs="宋体"/>
                <w:color w:val="000000"/>
                <w:spacing w:val="-2"/>
                <w:sz w:val="28"/>
                <w:szCs w:val="28"/>
                <w:lang w:val="en-US" w:eastAsia="zh-CN" w:bidi="ar-SA"/>
              </w:rPr>
              <w:t>整改意见</w:t>
            </w:r>
          </w:p>
        </w:tc>
        <w:tc>
          <w:tcPr>
            <w:tcW w:w="5447" w:type="dxa"/>
            <w:noWrap w:val="0"/>
            <w:vAlign w:val="center"/>
          </w:tcPr>
          <w:p>
            <w:pPr>
              <w:keepNext w:val="0"/>
              <w:keepLines w:val="0"/>
              <w:pageBreakBefore w:val="0"/>
              <w:widowControl w:val="0"/>
              <w:kinsoku/>
              <w:wordWrap/>
              <w:overflowPunct/>
              <w:topLinePunct w:val="0"/>
              <w:bidi w:val="0"/>
              <w:adjustRightInd w:val="0"/>
              <w:snapToGrid/>
              <w:spacing w:line="240" w:lineRule="auto"/>
              <w:ind w:firstLine="0" w:firstLineChars="0"/>
              <w:jc w:val="left"/>
              <w:textAlignment w:val="auto"/>
              <w:outlineLvl w:val="9"/>
              <w:rPr>
                <w:rFonts w:hint="eastAsia" w:ascii="仿宋" w:hAnsi="仿宋" w:eastAsia="仿宋" w:cs="宋体"/>
                <w:color w:val="000000"/>
                <w:spacing w:val="-2"/>
                <w:sz w:val="28"/>
                <w:szCs w:val="28"/>
                <w:lang w:val="en-US" w:eastAsia="zh-CN" w:bidi="ar-SA"/>
              </w:rPr>
            </w:pPr>
            <w:r>
              <w:rPr>
                <w:rFonts w:hint="eastAsia" w:ascii="仿宋" w:hAnsi="仿宋" w:eastAsia="仿宋" w:cs="宋体"/>
                <w:color w:val="000000"/>
                <w:spacing w:val="-2"/>
                <w:sz w:val="28"/>
                <w:szCs w:val="28"/>
                <w:lang w:val="en-US" w:eastAsia="zh-CN" w:bidi="ar-SA"/>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75" w:type="dxa"/>
            <w:noWrap w:val="0"/>
            <w:vAlign w:val="top"/>
          </w:tcPr>
          <w:p>
            <w:pPr>
              <w:pStyle w:val="45"/>
              <w:jc w:val="both"/>
              <w:rPr>
                <w:rFonts w:hint="eastAsia" w:ascii="宋体" w:hAnsi="宋体" w:eastAsia="宋体" w:cs="宋体"/>
                <w:bCs/>
                <w:color w:val="000000"/>
                <w:kern w:val="0"/>
                <w:sz w:val="24"/>
                <w:szCs w:val="24"/>
                <w:lang w:val="en-US" w:eastAsia="zh-CN"/>
              </w:rPr>
            </w:pPr>
            <w:r>
              <w:rPr>
                <w:rFonts w:ascii="宋体" w:hAnsi="宋体" w:eastAsia="宋体"/>
                <w:color w:val="000000"/>
                <w:sz w:val="24"/>
                <w:szCs w:val="24"/>
              </w:rPr>
              <w:t>规范废气排放筒监测口及监测平台的建设，完善环保设施标志牌。</w:t>
            </w:r>
          </w:p>
        </w:tc>
        <w:tc>
          <w:tcPr>
            <w:tcW w:w="5447" w:type="dxa"/>
            <w:noWrap w:val="0"/>
            <w:vAlign w:val="center"/>
          </w:tcPr>
          <w:tbl>
            <w:tblPr>
              <w:tblStyle w:val="39"/>
              <w:tblW w:w="52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5231" w:type="dxa"/>
                  <w:noWrap w:val="0"/>
                  <w:vAlign w:val="top"/>
                </w:tcPr>
                <w:p>
                  <w:pPr>
                    <w:keepNext w:val="0"/>
                    <w:keepLines w:val="0"/>
                    <w:pageBreakBefore w:val="0"/>
                    <w:widowControl w:val="0"/>
                    <w:kinsoku/>
                    <w:wordWrap/>
                    <w:overflowPunct/>
                    <w:topLinePunct w:val="0"/>
                    <w:bidi w:val="0"/>
                    <w:adjustRightInd w:val="0"/>
                    <w:snapToGrid/>
                    <w:spacing w:line="240" w:lineRule="auto"/>
                    <w:jc w:val="left"/>
                    <w:textAlignment w:val="auto"/>
                    <w:outlineLvl w:val="9"/>
                    <w:rPr>
                      <w:rFonts w:hint="eastAsia" w:ascii="宋体" w:hAnsi="宋体" w:eastAsia="宋体" w:cs="宋体"/>
                      <w:bCs/>
                      <w:color w:val="000000"/>
                      <w:kern w:val="0"/>
                      <w:sz w:val="24"/>
                      <w:szCs w:val="24"/>
                      <w:vertAlign w:val="baseline"/>
                      <w:lang w:val="en-US" w:eastAsia="zh-CN"/>
                    </w:rPr>
                  </w:pPr>
                  <w:r>
                    <w:rPr>
                      <w:rFonts w:hint="eastAsia" w:ascii="宋体" w:hAnsi="宋体" w:eastAsia="宋体" w:cs="宋体"/>
                      <w:bCs/>
                      <w:color w:val="000000"/>
                      <w:kern w:val="0"/>
                      <w:sz w:val="24"/>
                      <w:szCs w:val="24"/>
                      <w:vertAlign w:val="baseline"/>
                      <w:lang w:val="en-US" w:eastAsia="zh-CN"/>
                    </w:rPr>
                    <w:drawing>
                      <wp:inline distT="0" distB="0" distL="114300" distR="114300">
                        <wp:extent cx="3181985" cy="2680970"/>
                        <wp:effectExtent l="0" t="0" r="18415" b="5080"/>
                        <wp:docPr id="8" name="图片 8" descr="924a13fd151ebd20b5bdee93852f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24a13fd151ebd20b5bdee93852fce7"/>
                                <pic:cNvPicPr>
                                  <a:picLocks noChangeAspect="1"/>
                                </pic:cNvPicPr>
                              </pic:nvPicPr>
                              <pic:blipFill>
                                <a:blip r:embed="rId18"/>
                                <a:stretch>
                                  <a:fillRect/>
                                </a:stretch>
                              </pic:blipFill>
                              <pic:spPr>
                                <a:xfrm>
                                  <a:off x="0" y="0"/>
                                  <a:ext cx="3181985" cy="2680970"/>
                                </a:xfrm>
                                <a:prstGeom prst="rect">
                                  <a:avLst/>
                                </a:prstGeom>
                              </pic:spPr>
                            </pic:pic>
                          </a:graphicData>
                        </a:graphic>
                      </wp:inline>
                    </w:drawing>
                  </w:r>
                </w:p>
              </w:tc>
            </w:tr>
          </w:tbl>
          <w:p>
            <w:pPr>
              <w:keepNext w:val="0"/>
              <w:keepLines w:val="0"/>
              <w:pageBreakBefore w:val="0"/>
              <w:widowControl w:val="0"/>
              <w:kinsoku/>
              <w:wordWrap/>
              <w:overflowPunct/>
              <w:topLinePunct w:val="0"/>
              <w:bidi w:val="0"/>
              <w:adjustRightInd w:val="0"/>
              <w:snapToGrid/>
              <w:spacing w:line="240" w:lineRule="auto"/>
              <w:ind w:firstLine="0" w:firstLineChars="0"/>
              <w:jc w:val="left"/>
              <w:textAlignment w:val="auto"/>
              <w:outlineLvl w:val="9"/>
              <w:rPr>
                <w:rFonts w:hint="eastAsia" w:ascii="宋体" w:hAnsi="宋体" w:eastAsia="宋体" w:cs="宋体"/>
                <w:bCs/>
                <w:color w:val="000000"/>
                <w:kern w:val="0"/>
                <w:sz w:val="24"/>
                <w:szCs w:val="24"/>
                <w:lang w:val="en-US" w:eastAsia="zh-CN"/>
              </w:rPr>
            </w:pPr>
          </w:p>
          <w:p>
            <w:pPr>
              <w:keepNext w:val="0"/>
              <w:keepLines w:val="0"/>
              <w:pageBreakBefore w:val="0"/>
              <w:widowControl w:val="0"/>
              <w:kinsoku/>
              <w:wordWrap/>
              <w:overflowPunct/>
              <w:topLinePunct w:val="0"/>
              <w:bidi w:val="0"/>
              <w:adjustRightInd w:val="0"/>
              <w:snapToGrid/>
              <w:spacing w:line="240" w:lineRule="auto"/>
              <w:ind w:firstLine="0" w:firstLineChars="0"/>
              <w:jc w:val="left"/>
              <w:textAlignment w:val="auto"/>
              <w:outlineLvl w:val="9"/>
              <w:rPr>
                <w:rFonts w:hint="eastAsia" w:ascii="宋体" w:hAnsi="宋体" w:eastAsia="宋体" w:cs="宋体"/>
                <w:bCs/>
                <w:color w:val="000000"/>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75" w:type="dxa"/>
            <w:noWrap w:val="0"/>
            <w:vAlign w:val="top"/>
          </w:tcPr>
          <w:p>
            <w:pPr>
              <w:keepNext w:val="0"/>
              <w:keepLines w:val="0"/>
              <w:pageBreakBefore w:val="0"/>
              <w:kinsoku/>
              <w:wordWrap/>
              <w:overflowPunct/>
              <w:topLinePunct w:val="0"/>
              <w:bidi w:val="0"/>
              <w:spacing w:after="0" w:line="360" w:lineRule="auto"/>
              <w:jc w:val="both"/>
              <w:textAlignment w:val="auto"/>
              <w:rPr>
                <w:rFonts w:hint="default" w:ascii="Times New Roman" w:hAnsi="Times New Roman" w:eastAsia="仿宋" w:cs="Times New Roman"/>
                <w:sz w:val="28"/>
                <w:szCs w:val="28"/>
              </w:rPr>
            </w:pP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w:t>
            </w:r>
            <w:r>
              <w:rPr>
                <w:rFonts w:hint="eastAsia" w:ascii="宋体" w:hAnsi="宋体" w:eastAsia="宋体"/>
                <w:color w:val="000000"/>
                <w:sz w:val="24"/>
                <w:szCs w:val="24"/>
                <w:lang w:val="en-US" w:eastAsia="zh-CN"/>
              </w:rPr>
              <w:t>加强车间密闭，减少无组织排放。。</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eastAsia" w:ascii="宋体" w:hAnsi="宋体" w:eastAsia="宋体" w:cs="宋体"/>
                <w:sz w:val="24"/>
                <w:szCs w:val="24"/>
                <w:lang w:val="en-US" w:eastAsia="zh-CN"/>
              </w:rPr>
            </w:pPr>
          </w:p>
        </w:tc>
        <w:tc>
          <w:tcPr>
            <w:tcW w:w="5447" w:type="dxa"/>
            <w:noWrap w:val="0"/>
            <w:vAlign w:val="center"/>
          </w:tcPr>
          <w:p>
            <w:pPr>
              <w:keepNext w:val="0"/>
              <w:keepLines w:val="0"/>
              <w:pageBreakBefore w:val="0"/>
              <w:widowControl w:val="0"/>
              <w:kinsoku/>
              <w:wordWrap/>
              <w:overflowPunct/>
              <w:topLinePunct w:val="0"/>
              <w:bidi w:val="0"/>
              <w:adjustRightInd w:val="0"/>
              <w:snapToGrid/>
              <w:spacing w:line="240" w:lineRule="auto"/>
              <w:ind w:firstLine="0" w:firstLineChars="0"/>
              <w:jc w:val="left"/>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以加强</w:t>
            </w:r>
          </w:p>
          <w:p>
            <w:pPr>
              <w:keepNext w:val="0"/>
              <w:keepLines w:val="0"/>
              <w:pageBreakBefore w:val="0"/>
              <w:widowControl w:val="0"/>
              <w:kinsoku/>
              <w:wordWrap/>
              <w:overflowPunct/>
              <w:topLinePunct w:val="0"/>
              <w:bidi w:val="0"/>
              <w:adjustRightInd w:val="0"/>
              <w:snapToGrid/>
              <w:spacing w:line="240" w:lineRule="auto"/>
              <w:ind w:firstLine="0" w:firstLineChars="0"/>
              <w:jc w:val="left"/>
              <w:textAlignment w:val="auto"/>
              <w:outlineLvl w:val="9"/>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75" w:type="dxa"/>
            <w:noWrap w:val="0"/>
            <w:vAlign w:val="top"/>
          </w:tcPr>
          <w:p>
            <w:pPr>
              <w:keepNext w:val="0"/>
              <w:keepLines w:val="0"/>
              <w:pageBreakBefore w:val="0"/>
              <w:kinsoku/>
              <w:wordWrap/>
              <w:overflowPunct/>
              <w:topLinePunct w:val="0"/>
              <w:bidi w:val="0"/>
              <w:spacing w:after="0" w:line="360" w:lineRule="auto"/>
              <w:jc w:val="both"/>
              <w:textAlignment w:val="auto"/>
              <w:rPr>
                <w:rFonts w:hint="default" w:ascii="Times New Roman" w:hAnsi="Times New Roman" w:eastAsia="仿宋" w:cs="Times New Roman"/>
                <w:sz w:val="28"/>
                <w:szCs w:val="28"/>
              </w:rPr>
            </w:pPr>
            <w:r>
              <w:rPr>
                <w:rFonts w:hint="eastAsia" w:ascii="Times New Roman" w:hAnsi="Times New Roman" w:eastAsia="仿宋" w:cs="Times New Roman"/>
                <w:sz w:val="28"/>
                <w:szCs w:val="28"/>
                <w:lang w:val="en-US" w:eastAsia="zh-CN"/>
              </w:rPr>
              <w:t>3、</w:t>
            </w:r>
            <w:r>
              <w:rPr>
                <w:rFonts w:ascii="宋体" w:hAnsi="宋体" w:eastAsia="宋体"/>
                <w:color w:val="000000"/>
                <w:sz w:val="24"/>
                <w:szCs w:val="24"/>
              </w:rPr>
              <w:t>进一步完善企业环境保护管理制度、完善各种环保台帐、操作规程、运行记录、检修、停运、自主监测计划等。</w:t>
            </w:r>
            <w:r>
              <w:rPr>
                <w:rFonts w:hint="eastAsia" w:ascii="宋体" w:hAnsi="宋体" w:eastAsia="宋体"/>
                <w:color w:val="000000"/>
                <w:sz w:val="24"/>
                <w:szCs w:val="24"/>
              </w:rPr>
              <w:t>加强生产管理。</w:t>
            </w:r>
          </w:p>
          <w:p>
            <w:pPr>
              <w:keepNext w:val="0"/>
              <w:keepLines w:val="0"/>
              <w:pageBreakBefore w:val="0"/>
              <w:widowControl/>
              <w:kinsoku/>
              <w:wordWrap/>
              <w:overflowPunct/>
              <w:topLinePunct w:val="0"/>
              <w:autoSpaceDE/>
              <w:autoSpaceDN/>
              <w:bidi w:val="0"/>
              <w:adjustRightInd w:val="0"/>
              <w:snapToGrid w:val="0"/>
              <w:spacing w:after="0" w:line="360" w:lineRule="auto"/>
              <w:jc w:val="left"/>
              <w:textAlignment w:val="auto"/>
              <w:rPr>
                <w:rFonts w:hint="eastAsia" w:ascii="仿宋" w:hAnsi="仿宋" w:eastAsia="仿宋"/>
                <w:sz w:val="28"/>
                <w:szCs w:val="28"/>
              </w:rPr>
            </w:pPr>
          </w:p>
        </w:tc>
        <w:tc>
          <w:tcPr>
            <w:tcW w:w="544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lef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已加强，并设台账记录。</w:t>
            </w:r>
          </w:p>
          <w:p>
            <w:pPr>
              <w:keepNext w:val="0"/>
              <w:keepLines w:val="0"/>
              <w:pageBreakBefore w:val="0"/>
              <w:widowControl w:val="0"/>
              <w:kinsoku/>
              <w:wordWrap/>
              <w:overflowPunct/>
              <w:topLinePunct w:val="0"/>
              <w:bidi w:val="0"/>
              <w:adjustRightInd w:val="0"/>
              <w:snapToGrid/>
              <w:spacing w:line="240" w:lineRule="auto"/>
              <w:ind w:firstLine="0" w:firstLineChars="0"/>
              <w:jc w:val="left"/>
              <w:textAlignment w:val="auto"/>
              <w:outlineLvl w:val="9"/>
              <w:rPr>
                <w:rFonts w:hint="default"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75" w:type="dxa"/>
            <w:noWrap w:val="0"/>
            <w:vAlign w:val="top"/>
          </w:tcPr>
          <w:p>
            <w:pPr>
              <w:spacing w:line="360" w:lineRule="auto"/>
              <w:ind w:firstLine="480"/>
              <w:jc w:val="both"/>
              <w:outlineLvl w:val="1"/>
              <w:rPr>
                <w:rFonts w:hint="eastAsia" w:ascii="宋体" w:hAnsi="宋体" w:eastAsia="宋体"/>
                <w:color w:val="000000"/>
                <w:sz w:val="24"/>
                <w:szCs w:val="24"/>
              </w:rPr>
            </w:pPr>
            <w:r>
              <w:rPr>
                <w:rFonts w:hint="eastAsia"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lang w:val="en-US" w:eastAsia="zh-CN"/>
              </w:rPr>
              <w:t>、</w:t>
            </w:r>
            <w:r>
              <w:rPr>
                <w:rFonts w:hint="eastAsia" w:ascii="宋体" w:hAnsi="宋体" w:eastAsia="宋体"/>
                <w:sz w:val="24"/>
              </w:rPr>
              <w:t>补充从立项到调试过程中无环境投诉、违法或处罚记录</w:t>
            </w:r>
          </w:p>
          <w:p>
            <w:pPr>
              <w:keepNext w:val="0"/>
              <w:keepLines w:val="0"/>
              <w:pageBreakBefore w:val="0"/>
              <w:kinsoku/>
              <w:wordWrap/>
              <w:overflowPunct/>
              <w:topLinePunct w:val="0"/>
              <w:bidi w:val="0"/>
              <w:spacing w:after="0" w:line="360" w:lineRule="auto"/>
              <w:jc w:val="both"/>
              <w:textAlignment w:val="auto"/>
              <w:rPr>
                <w:rFonts w:hint="default" w:ascii="Times New Roman" w:hAnsi="Times New Roman" w:eastAsia="仿宋" w:cs="Times New Roman"/>
                <w:sz w:val="28"/>
                <w:szCs w:val="28"/>
                <w:lang w:val="en-US" w:eastAsia="zh-CN"/>
              </w:rPr>
            </w:pP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left"/>
              <w:textAlignment w:val="auto"/>
              <w:rPr>
                <w:rFonts w:hint="eastAsia" w:ascii="仿宋" w:hAnsi="仿宋" w:eastAsia="仿宋"/>
                <w:sz w:val="28"/>
                <w:szCs w:val="28"/>
                <w:lang w:val="en-US" w:eastAsia="zh-CN"/>
              </w:rPr>
            </w:pPr>
          </w:p>
        </w:tc>
        <w:tc>
          <w:tcPr>
            <w:tcW w:w="5447" w:type="dxa"/>
            <w:noWrap w:val="0"/>
            <w:vAlign w:val="center"/>
          </w:tcPr>
          <w:p>
            <w:pPr>
              <w:keepNext w:val="0"/>
              <w:keepLines w:val="0"/>
              <w:pageBreakBefore w:val="0"/>
              <w:widowControl w:val="0"/>
              <w:kinsoku/>
              <w:wordWrap/>
              <w:overflowPunct/>
              <w:topLinePunct w:val="0"/>
              <w:bidi w:val="0"/>
              <w:adjustRightInd w:val="0"/>
              <w:snapToGrid/>
              <w:spacing w:line="240" w:lineRule="auto"/>
              <w:ind w:firstLine="0" w:firstLineChars="0"/>
              <w:jc w:val="left"/>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已补充</w:t>
            </w:r>
          </w:p>
        </w:tc>
      </w:tr>
    </w:tbl>
    <w:p>
      <w:pPr>
        <w:pStyle w:val="25"/>
        <w:numPr>
          <w:ilvl w:val="0"/>
          <w:numId w:val="0"/>
        </w:numPr>
        <w:wordWrap w:val="0"/>
        <w:spacing w:before="0" w:after="0" w:line="240" w:lineRule="auto"/>
        <w:ind w:left="0" w:firstLine="0"/>
        <w:jc w:val="both"/>
        <w:rPr>
          <w:rFonts w:hint="eastAsia"/>
          <w:lang w:eastAsia="zh-CN"/>
        </w:rPr>
      </w:pPr>
      <w:r>
        <w:rPr>
          <w:rFonts w:hint="eastAsia"/>
          <w:lang w:eastAsia="zh-CN"/>
        </w:rPr>
        <w:drawing>
          <wp:inline distT="0" distB="0" distL="114300" distR="114300">
            <wp:extent cx="5266690" cy="8627745"/>
            <wp:effectExtent l="0" t="0" r="10160" b="1905"/>
            <wp:docPr id="3" name="图片 3" descr="58a4a4aa35c0170470d08dc0ccd4e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8a4a4aa35c0170470d08dc0ccd4eb8"/>
                    <pic:cNvPicPr>
                      <a:picLocks noChangeAspect="1"/>
                    </pic:cNvPicPr>
                  </pic:nvPicPr>
                  <pic:blipFill>
                    <a:blip r:embed="rId19"/>
                    <a:stretch>
                      <a:fillRect/>
                    </a:stretch>
                  </pic:blipFill>
                  <pic:spPr>
                    <a:xfrm>
                      <a:off x="0" y="0"/>
                      <a:ext cx="5266690" cy="8627745"/>
                    </a:xfrm>
                    <a:prstGeom prst="rect">
                      <a:avLst/>
                    </a:prstGeom>
                  </pic:spPr>
                </pic:pic>
              </a:graphicData>
            </a:graphic>
          </wp:inline>
        </w:drawing>
      </w:r>
      <w:r>
        <w:rPr>
          <w:rFonts w:hint="eastAsia"/>
          <w:lang w:eastAsia="zh-CN"/>
        </w:rPr>
        <w:drawing>
          <wp:inline distT="0" distB="0" distL="114300" distR="114300">
            <wp:extent cx="5266690" cy="8640445"/>
            <wp:effectExtent l="0" t="0" r="10160" b="8255"/>
            <wp:docPr id="9" name="图片 9" descr="b517d824ed9e57a70b43e382a39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517d824ed9e57a70b43e382a393734"/>
                    <pic:cNvPicPr>
                      <a:picLocks noChangeAspect="1"/>
                    </pic:cNvPicPr>
                  </pic:nvPicPr>
                  <pic:blipFill>
                    <a:blip r:embed="rId20"/>
                    <a:srcRect b="12893"/>
                    <a:stretch>
                      <a:fillRect/>
                    </a:stretch>
                  </pic:blipFill>
                  <pic:spPr>
                    <a:xfrm>
                      <a:off x="0" y="0"/>
                      <a:ext cx="5266690" cy="8640445"/>
                    </a:xfrm>
                    <a:prstGeom prst="rect">
                      <a:avLst/>
                    </a:prstGeom>
                  </pic:spPr>
                </pic:pic>
              </a:graphicData>
            </a:graphic>
          </wp:inline>
        </w:drawing>
      </w:r>
      <w:bookmarkStart w:id="47" w:name="_GoBack"/>
      <w:r>
        <w:rPr>
          <w:rFonts w:hint="eastAsia"/>
          <w:lang w:eastAsia="zh-CN"/>
        </w:rPr>
        <w:drawing>
          <wp:inline distT="0" distB="0" distL="114300" distR="114300">
            <wp:extent cx="5266690" cy="8736330"/>
            <wp:effectExtent l="0" t="0" r="10160" b="7620"/>
            <wp:docPr id="11" name="图片 11" descr="69bcc8d87ae221e6cad2c5b3c23b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9bcc8d87ae221e6cad2c5b3c23b284"/>
                    <pic:cNvPicPr>
                      <a:picLocks noChangeAspect="1"/>
                    </pic:cNvPicPr>
                  </pic:nvPicPr>
                  <pic:blipFill>
                    <a:blip r:embed="rId21"/>
                    <a:srcRect b="6767"/>
                    <a:stretch>
                      <a:fillRect/>
                    </a:stretch>
                  </pic:blipFill>
                  <pic:spPr>
                    <a:xfrm>
                      <a:off x="0" y="0"/>
                      <a:ext cx="5266690" cy="8736330"/>
                    </a:xfrm>
                    <a:prstGeom prst="rect">
                      <a:avLst/>
                    </a:prstGeom>
                  </pic:spPr>
                </pic:pic>
              </a:graphicData>
            </a:graphic>
          </wp:inline>
        </w:drawing>
      </w:r>
      <w:bookmarkEnd w:id="47"/>
      <w:r>
        <w:rPr>
          <w:rFonts w:hint="eastAsia"/>
          <w:lang w:eastAsia="zh-CN"/>
        </w:rPr>
        <w:drawing>
          <wp:inline distT="0" distB="0" distL="114300" distR="114300">
            <wp:extent cx="5266690" cy="8712200"/>
            <wp:effectExtent l="0" t="0" r="10160" b="12700"/>
            <wp:docPr id="15" name="图片 15" descr="4d1dc8b91604fe153c878647efa0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d1dc8b91604fe153c878647efa0c29"/>
                    <pic:cNvPicPr>
                      <a:picLocks noChangeAspect="1"/>
                    </pic:cNvPicPr>
                  </pic:nvPicPr>
                  <pic:blipFill>
                    <a:blip r:embed="rId22"/>
                    <a:srcRect b="12159"/>
                    <a:stretch>
                      <a:fillRect/>
                    </a:stretch>
                  </pic:blipFill>
                  <pic:spPr>
                    <a:xfrm>
                      <a:off x="0" y="0"/>
                      <a:ext cx="5266690" cy="8712200"/>
                    </a:xfrm>
                    <a:prstGeom prst="rect">
                      <a:avLst/>
                    </a:prstGeom>
                  </pic:spPr>
                </pic:pic>
              </a:graphicData>
            </a:graphic>
          </wp:inline>
        </w:drawing>
      </w:r>
      <w:r>
        <w:rPr>
          <w:rFonts w:hint="eastAsia"/>
          <w:lang w:eastAsia="zh-CN"/>
        </w:rPr>
        <w:drawing>
          <wp:inline distT="0" distB="0" distL="114300" distR="114300">
            <wp:extent cx="5266690" cy="8327390"/>
            <wp:effectExtent l="0" t="0" r="10160" b="16510"/>
            <wp:docPr id="16" name="图片 16" descr="3ec7ace9ff4cbb089eb721ebb9f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ec7ace9ff4cbb089eb721ebb9f3389"/>
                    <pic:cNvPicPr>
                      <a:picLocks noChangeAspect="1"/>
                    </pic:cNvPicPr>
                  </pic:nvPicPr>
                  <pic:blipFill>
                    <a:blip r:embed="rId23"/>
                    <a:srcRect b="17347"/>
                    <a:stretch>
                      <a:fillRect/>
                    </a:stretch>
                  </pic:blipFill>
                  <pic:spPr>
                    <a:xfrm>
                      <a:off x="0" y="0"/>
                      <a:ext cx="5266690" cy="8327390"/>
                    </a:xfrm>
                    <a:prstGeom prst="rect">
                      <a:avLst/>
                    </a:prstGeom>
                  </pic:spPr>
                </pic:pic>
              </a:graphicData>
            </a:graphic>
          </wp:inline>
        </w:drawing>
      </w:r>
      <w:r>
        <w:rPr>
          <w:rFonts w:hint="eastAsia"/>
          <w:lang w:eastAsia="zh-CN"/>
        </w:rPr>
        <w:drawing>
          <wp:inline distT="0" distB="0" distL="114300" distR="114300">
            <wp:extent cx="5266690" cy="8458835"/>
            <wp:effectExtent l="0" t="0" r="10160" b="18415"/>
            <wp:docPr id="17" name="图片 17" descr="0d5e82508a871ae532fb2568e18b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d5e82508a871ae532fb2568e18bbb4"/>
                    <pic:cNvPicPr>
                      <a:picLocks noChangeAspect="1"/>
                    </pic:cNvPicPr>
                  </pic:nvPicPr>
                  <pic:blipFill>
                    <a:blip r:embed="rId24"/>
                    <a:stretch>
                      <a:fillRect/>
                    </a:stretch>
                  </pic:blipFill>
                  <pic:spPr>
                    <a:xfrm>
                      <a:off x="0" y="0"/>
                      <a:ext cx="5266690" cy="8458835"/>
                    </a:xfrm>
                    <a:prstGeom prst="rect">
                      <a:avLst/>
                    </a:prstGeom>
                  </pic:spPr>
                </pic:pic>
              </a:graphicData>
            </a:graphic>
          </wp:inline>
        </w:drawing>
      </w:r>
      <w:r>
        <w:rPr>
          <w:rFonts w:hint="eastAsia"/>
          <w:lang w:eastAsia="zh-CN"/>
        </w:rPr>
        <w:drawing>
          <wp:inline distT="0" distB="0" distL="114300" distR="114300">
            <wp:extent cx="5266690" cy="8472170"/>
            <wp:effectExtent l="0" t="0" r="10160" b="5080"/>
            <wp:docPr id="19" name="图片 19" descr="27f85ba1a925266ca9d6b2118c3b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7f85ba1a925266ca9d6b2118c3bc8d"/>
                    <pic:cNvPicPr>
                      <a:picLocks noChangeAspect="1"/>
                    </pic:cNvPicPr>
                  </pic:nvPicPr>
                  <pic:blipFill>
                    <a:blip r:embed="rId25"/>
                    <a:stretch>
                      <a:fillRect/>
                    </a:stretch>
                  </pic:blipFill>
                  <pic:spPr>
                    <a:xfrm>
                      <a:off x="0" y="0"/>
                      <a:ext cx="5266690" cy="8472170"/>
                    </a:xfrm>
                    <a:prstGeom prst="rect">
                      <a:avLst/>
                    </a:prstGeom>
                  </pic:spPr>
                </pic:pic>
              </a:graphicData>
            </a:graphic>
          </wp:inline>
        </w:drawing>
      </w:r>
      <w:r>
        <w:rPr>
          <w:rFonts w:hint="eastAsia"/>
          <w:lang w:eastAsia="zh-CN"/>
        </w:rPr>
        <w:drawing>
          <wp:inline distT="0" distB="0" distL="114300" distR="114300">
            <wp:extent cx="5266690" cy="8745855"/>
            <wp:effectExtent l="0" t="0" r="10160" b="17145"/>
            <wp:docPr id="20" name="图片 20" descr="cfbf70f49edc8ca8e9bac8190bf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fbf70f49edc8ca8e9bac8190bf5338"/>
                    <pic:cNvPicPr>
                      <a:picLocks noChangeAspect="1"/>
                    </pic:cNvPicPr>
                  </pic:nvPicPr>
                  <pic:blipFill>
                    <a:blip r:embed="rId26"/>
                    <a:srcRect b="16382"/>
                    <a:stretch>
                      <a:fillRect/>
                    </a:stretch>
                  </pic:blipFill>
                  <pic:spPr>
                    <a:xfrm>
                      <a:off x="0" y="0"/>
                      <a:ext cx="5266690" cy="8745855"/>
                    </a:xfrm>
                    <a:prstGeom prst="rect">
                      <a:avLst/>
                    </a:prstGeom>
                  </pic:spPr>
                </pic:pic>
              </a:graphicData>
            </a:graphic>
          </wp:inline>
        </w:drawing>
      </w:r>
      <w:r>
        <w:rPr>
          <w:rFonts w:hint="eastAsia"/>
          <w:lang w:eastAsia="zh-CN"/>
        </w:rPr>
        <w:drawing>
          <wp:inline distT="0" distB="0" distL="114300" distR="114300">
            <wp:extent cx="5266690" cy="8482330"/>
            <wp:effectExtent l="0" t="0" r="10160" b="13970"/>
            <wp:docPr id="21" name="图片 21" descr="d5dfe98a9ec43e513986eb91c8e1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5dfe98a9ec43e513986eb91c8e12a0"/>
                    <pic:cNvPicPr>
                      <a:picLocks noChangeAspect="1"/>
                    </pic:cNvPicPr>
                  </pic:nvPicPr>
                  <pic:blipFill>
                    <a:blip r:embed="rId27"/>
                    <a:stretch>
                      <a:fillRect/>
                    </a:stretch>
                  </pic:blipFill>
                  <pic:spPr>
                    <a:xfrm>
                      <a:off x="0" y="0"/>
                      <a:ext cx="5266690" cy="8482330"/>
                    </a:xfrm>
                    <a:prstGeom prst="rect">
                      <a:avLst/>
                    </a:prstGeom>
                  </pic:spPr>
                </pic:pic>
              </a:graphicData>
            </a:graphic>
          </wp:inline>
        </w:drawing>
      </w:r>
      <w:r>
        <w:rPr>
          <w:rFonts w:hint="eastAsia"/>
          <w:lang w:eastAsia="zh-CN"/>
        </w:rPr>
        <w:drawing>
          <wp:inline distT="0" distB="0" distL="114300" distR="114300">
            <wp:extent cx="5266690" cy="8549005"/>
            <wp:effectExtent l="0" t="0" r="10160" b="4445"/>
            <wp:docPr id="22" name="图片 22" descr="0343477daf9206de57d0339ed7e6f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343477daf9206de57d0339ed7e6f9b"/>
                    <pic:cNvPicPr>
                      <a:picLocks noChangeAspect="1"/>
                    </pic:cNvPicPr>
                  </pic:nvPicPr>
                  <pic:blipFill>
                    <a:blip r:embed="rId28"/>
                    <a:stretch>
                      <a:fillRect/>
                    </a:stretch>
                  </pic:blipFill>
                  <pic:spPr>
                    <a:xfrm>
                      <a:off x="0" y="0"/>
                      <a:ext cx="5266690" cy="8549005"/>
                    </a:xfrm>
                    <a:prstGeom prst="rect">
                      <a:avLst/>
                    </a:prstGeom>
                  </pic:spPr>
                </pic:pic>
              </a:graphicData>
            </a:graphic>
          </wp:inline>
        </w:drawing>
      </w:r>
      <w:r>
        <w:rPr>
          <w:rFonts w:hint="eastAsia"/>
          <w:lang w:eastAsia="zh-CN"/>
        </w:rPr>
        <w:drawing>
          <wp:inline distT="0" distB="0" distL="114300" distR="114300">
            <wp:extent cx="5266690" cy="8425815"/>
            <wp:effectExtent l="0" t="0" r="10160" b="13335"/>
            <wp:docPr id="23" name="图片 23" descr="f58775f48f41d3e33fb202cefa04d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58775f48f41d3e33fb202cefa04dfe"/>
                    <pic:cNvPicPr>
                      <a:picLocks noChangeAspect="1"/>
                    </pic:cNvPicPr>
                  </pic:nvPicPr>
                  <pic:blipFill>
                    <a:blip r:embed="rId29"/>
                    <a:stretch>
                      <a:fillRect/>
                    </a:stretch>
                  </pic:blipFill>
                  <pic:spPr>
                    <a:xfrm>
                      <a:off x="0" y="0"/>
                      <a:ext cx="5266690" cy="8425815"/>
                    </a:xfrm>
                    <a:prstGeom prst="rect">
                      <a:avLst/>
                    </a:prstGeom>
                  </pic:spPr>
                </pic:pic>
              </a:graphicData>
            </a:graphic>
          </wp:inline>
        </w:drawing>
      </w:r>
      <w:r>
        <w:rPr>
          <w:rFonts w:hint="eastAsia"/>
          <w:lang w:eastAsia="zh-CN"/>
        </w:rPr>
        <w:drawing>
          <wp:inline distT="0" distB="0" distL="114300" distR="114300">
            <wp:extent cx="5266690" cy="8495030"/>
            <wp:effectExtent l="0" t="0" r="10160" b="1270"/>
            <wp:docPr id="24" name="图片 24" descr="7d392cc7236b8e34af779b3e80cb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d392cc7236b8e34af779b3e80cb0f7"/>
                    <pic:cNvPicPr>
                      <a:picLocks noChangeAspect="1"/>
                    </pic:cNvPicPr>
                  </pic:nvPicPr>
                  <pic:blipFill>
                    <a:blip r:embed="rId30"/>
                    <a:stretch>
                      <a:fillRect/>
                    </a:stretch>
                  </pic:blipFill>
                  <pic:spPr>
                    <a:xfrm>
                      <a:off x="0" y="0"/>
                      <a:ext cx="5266690" cy="8495030"/>
                    </a:xfrm>
                    <a:prstGeom prst="rect">
                      <a:avLst/>
                    </a:prstGeom>
                  </pic:spPr>
                </pic:pic>
              </a:graphicData>
            </a:graphic>
          </wp:inline>
        </w:drawing>
      </w:r>
      <w:r>
        <w:rPr>
          <w:rFonts w:hint="eastAsia"/>
          <w:lang w:eastAsia="zh-CN"/>
        </w:rPr>
        <w:drawing>
          <wp:inline distT="0" distB="0" distL="114300" distR="114300">
            <wp:extent cx="5266690" cy="8651875"/>
            <wp:effectExtent l="0" t="0" r="10160" b="15875"/>
            <wp:docPr id="25" name="图片 25" descr="819d710bd852faf775e59daf0dc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19d710bd852faf775e59daf0dc6610"/>
                    <pic:cNvPicPr>
                      <a:picLocks noChangeAspect="1"/>
                    </pic:cNvPicPr>
                  </pic:nvPicPr>
                  <pic:blipFill>
                    <a:blip r:embed="rId31"/>
                    <a:stretch>
                      <a:fillRect/>
                    </a:stretch>
                  </pic:blipFill>
                  <pic:spPr>
                    <a:xfrm>
                      <a:off x="0" y="0"/>
                      <a:ext cx="5266690" cy="8651875"/>
                    </a:xfrm>
                    <a:prstGeom prst="rect">
                      <a:avLst/>
                    </a:prstGeom>
                  </pic:spPr>
                </pic:pic>
              </a:graphicData>
            </a:graphic>
          </wp:inline>
        </w:drawing>
      </w:r>
      <w:r>
        <w:rPr>
          <w:rFonts w:hint="eastAsia"/>
          <w:lang w:eastAsia="zh-CN"/>
        </w:rPr>
        <w:drawing>
          <wp:inline distT="0" distB="0" distL="114300" distR="114300">
            <wp:extent cx="5266690" cy="8317230"/>
            <wp:effectExtent l="0" t="0" r="10160" b="7620"/>
            <wp:docPr id="26" name="图片 26" descr="a4ab4d61b91a08af7cea037bc6f6c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4ab4d61b91a08af7cea037bc6f6c9c"/>
                    <pic:cNvPicPr>
                      <a:picLocks noChangeAspect="1"/>
                    </pic:cNvPicPr>
                  </pic:nvPicPr>
                  <pic:blipFill>
                    <a:blip r:embed="rId32"/>
                    <a:stretch>
                      <a:fillRect/>
                    </a:stretch>
                  </pic:blipFill>
                  <pic:spPr>
                    <a:xfrm>
                      <a:off x="0" y="0"/>
                      <a:ext cx="5266690" cy="8317230"/>
                    </a:xfrm>
                    <a:prstGeom prst="rect">
                      <a:avLst/>
                    </a:prstGeom>
                  </pic:spPr>
                </pic:pic>
              </a:graphicData>
            </a:graphic>
          </wp:inline>
        </w:drawing>
      </w:r>
      <w:r>
        <w:rPr>
          <w:rFonts w:hint="eastAsia"/>
          <w:lang w:eastAsia="zh-CN"/>
        </w:rPr>
        <w:drawing>
          <wp:inline distT="0" distB="0" distL="114300" distR="114300">
            <wp:extent cx="5266690" cy="8474075"/>
            <wp:effectExtent l="0" t="0" r="10160" b="3175"/>
            <wp:docPr id="27" name="图片 27" descr="dac6895c3ee42922c99195c8d115c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ac6895c3ee42922c99195c8d115c53"/>
                    <pic:cNvPicPr>
                      <a:picLocks noChangeAspect="1"/>
                    </pic:cNvPicPr>
                  </pic:nvPicPr>
                  <pic:blipFill>
                    <a:blip r:embed="rId33"/>
                    <a:srcRect b="11076"/>
                    <a:stretch>
                      <a:fillRect/>
                    </a:stretch>
                  </pic:blipFill>
                  <pic:spPr>
                    <a:xfrm>
                      <a:off x="0" y="0"/>
                      <a:ext cx="5266690" cy="8474075"/>
                    </a:xfrm>
                    <a:prstGeom prst="rect">
                      <a:avLst/>
                    </a:prstGeom>
                  </pic:spPr>
                </pic:pic>
              </a:graphicData>
            </a:graphic>
          </wp:inline>
        </w:drawing>
      </w:r>
    </w:p>
    <w:sectPr>
      <w:headerReference r:id="rId6" w:type="default"/>
      <w:footerReference r:id="rId7"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Arial Narrow">
    <w:panose1 w:val="020B0606020202030204"/>
    <w:charset w:val="00"/>
    <w:family w:val="auto"/>
    <w:pitch w:val="default"/>
    <w:sig w:usb0="00000287" w:usb1="00000800" w:usb2="00000000" w:usb3="00000000" w:csb0="2000009F" w:csb1="DFD70000"/>
  </w:font>
  <w:font w:name="Century Schoolbook">
    <w:panose1 w:val="02040604050505020304"/>
    <w:charset w:val="00"/>
    <w:family w:val="auto"/>
    <w:pitch w:val="default"/>
    <w:sig w:usb0="00000287" w:usb1="00000000" w:usb2="00000000" w:usb3="00000000" w:csb0="2000009F" w:csb1="DFD70000"/>
  </w:font>
  <w:font w:name="Arial Unicode MS">
    <w:altName w:val="宋体"/>
    <w:panose1 w:val="020B0604020202020204"/>
    <w:charset w:val="86"/>
    <w:family w:val="auto"/>
    <w:pitch w:val="default"/>
    <w:sig w:usb0="00000000" w:usb1="00000000" w:usb2="0000003F" w:usb3="00000000" w:csb0="603F01FF" w:csb1="FFFF0000"/>
  </w:font>
  <w:font w:name="Book Antiqua">
    <w:panose1 w:val="02040602050305030304"/>
    <w:charset w:val="00"/>
    <w:family w:val="auto"/>
    <w:pitch w:val="default"/>
    <w:sig w:usb0="00000287" w:usb1="00000000" w:usb2="00000000" w:usb3="00000000" w:csb0="2000009F" w:csb1="DFD70000"/>
  </w:font>
  <w:font w:name="SSJ-PK74820002705-Identity-H">
    <w:altName w:val="Times New Roman"/>
    <w:panose1 w:val="00000000000000000000"/>
    <w:charset w:val="00"/>
    <w:family w:val="roma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新宋体">
    <w:panose1 w:val="02010609030101010101"/>
    <w:charset w:val="86"/>
    <w:family w:val="modern"/>
    <w:pitch w:val="default"/>
    <w:sig w:usb0="00000283" w:usb1="288F0000" w:usb2="00000006" w:usb3="00000000" w:csb0="00040001" w:csb1="00000000"/>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 ??">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numPr>
        <w:ilvl w:val="0"/>
        <w:numId w:val="0"/>
      </w:numPr>
      <w:autoSpaceDE/>
      <w:autoSpaceDN/>
      <w:snapToGrid w:val="0"/>
      <w:spacing w:before="0" w:after="200" w:line="240" w:lineRule="auto"/>
      <w:ind w:right="0" w:firstLine="0"/>
      <w:jc w:val="left"/>
      <w:rPr>
        <w:rFonts w:hint="default" w:ascii="Tahoma" w:hAnsi="Tahoma" w:eastAsia="Tahoma"/>
        <w:color w:val="auto"/>
        <w:position w:val="0"/>
        <w:sz w:val="18"/>
        <w:szCs w:val="18"/>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1125" cy="264795"/>
              <wp:effectExtent l="0" t="0" r="0" b="0"/>
              <wp:wrapNone/>
              <wp:docPr id="18" name="文本框 69"/>
              <wp:cNvGraphicFramePr/>
              <a:graphic xmlns:a="http://schemas.openxmlformats.org/drawingml/2006/main">
                <a:graphicData uri="http://schemas.microsoft.com/office/word/2010/wordprocessingShape">
                  <wps:wsp>
                    <wps:cNvSpPr txBox="1"/>
                    <wps:spPr>
                      <a:xfrm>
                        <a:off x="0" y="0"/>
                        <a:ext cx="111760" cy="265430"/>
                      </a:xfrm>
                      <a:prstGeom prst="rect">
                        <a:avLst/>
                      </a:prstGeom>
                      <a:noFill/>
                      <a:ln w="6350" cap="flat">
                        <a:noFill/>
                      </a:ln>
                    </wps:spPr>
                    <wps:style>
                      <a:lnRef idx="0">
                        <a:schemeClr val="accent1"/>
                      </a:lnRef>
                      <a:fillRef idx="0">
                        <a:schemeClr val="accent1"/>
                      </a:fillRef>
                      <a:effectRef idx="0">
                        <a:schemeClr val="accent1"/>
                      </a:effectRef>
                      <a:fontRef idx="minor">
                        <a:schemeClr val="dk1"/>
                      </a:fontRef>
                    </wps:style>
                    <wps:txbx>
                      <w:txbxContent>
                        <w:p>
                          <w:pPr>
                            <w:pStyle w:val="27"/>
                            <w:numPr>
                              <w:ilvl w:val="0"/>
                              <w:numId w:val="0"/>
                            </w:numPr>
                            <w:autoSpaceDE/>
                            <w:autoSpaceDN/>
                            <w:snapToGrid w:val="0"/>
                            <w:spacing w:before="0" w:after="200" w:line="240" w:lineRule="auto"/>
                            <w:ind w:right="0" w:firstLine="0"/>
                            <w:jc w:val="left"/>
                            <w:rPr>
                              <w:rFonts w:hint="default" w:ascii="Tahoma" w:hAnsi="微软雅黑" w:eastAsia="微软雅黑"/>
                              <w:color w:val="auto"/>
                              <w:position w:val="0"/>
                              <w:sz w:val="18"/>
                              <w:szCs w:val="18"/>
                            </w:rPr>
                          </w:pPr>
                          <w:r>
                            <w:rPr>
                              <w:rFonts w:hint="default" w:ascii="Tahoma" w:hAnsi="Tahoma" w:eastAsia="Tahoma"/>
                              <w:color w:val="auto"/>
                              <w:position w:val="0"/>
                              <w:sz w:val="18"/>
                              <w:szCs w:val="18"/>
                            </w:rPr>
                            <w:fldChar w:fldCharType="begin"/>
                          </w:r>
                          <w:r>
                            <w:instrText xml:space="preserve">PAGE  \* MERGEFORMAT</w:instrText>
                          </w:r>
                          <w:r>
                            <w:fldChar w:fldCharType="separate"/>
                          </w:r>
                          <w:r>
                            <w:rPr>
                              <w:rFonts w:hint="default" w:ascii="Tahoma" w:hAnsi="Tahoma" w:eastAsia="Tahoma"/>
                              <w:color w:val="auto"/>
                              <w:position w:val="0"/>
                              <w:sz w:val="18"/>
                              <w:szCs w:val="18"/>
                            </w:rPr>
                            <w:t>IV</w:t>
                          </w:r>
                          <w:r>
                            <w:rPr>
                              <w:rFonts w:hint="default" w:ascii="Tahoma" w:hAnsi="Tahoma" w:eastAsia="Tahoma"/>
                              <w:color w:val="auto"/>
                              <w:position w:val="0"/>
                              <w:sz w:val="18"/>
                              <w:szCs w:val="18"/>
                            </w:rPr>
                            <w:fldChar w:fldCharType="end"/>
                          </w:r>
                        </w:p>
                      </w:txbxContent>
                    </wps:txbx>
                    <wps:bodyPr rot="0" spcFirstLastPara="0" vertOverflow="overflow" horzOverflow="overflow" vert="horz" wrap="none" lIns="0" tIns="0" rIns="0" bIns="0" numCol="1" spcCol="0" rtlCol="0" fromWordArt="0" anchor="t" anchorCtr="0" forceAA="0" compatLnSpc="0">
                      <a:spAutoFit/>
                    </wps:bodyPr>
                  </wps:wsp>
                </a:graphicData>
              </a:graphic>
            </wp:anchor>
          </w:drawing>
        </mc:Choice>
        <mc:Fallback>
          <w:pict>
            <v:shape id="文本框 69" o:spid="_x0000_s1026" o:spt="202" type="#_x0000_t202" style="position:absolute;left:0pt;margin-top:0pt;height:20.85pt;width:8.75pt;mso-position-horizontal:center;mso-position-horizontal-relative:margin;mso-wrap-style:none;z-index:251659264;mso-width-relative:page;mso-height-relative:page;" filled="f" stroked="f" coordsize="21600,21600" o:gfxdata="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ktyO0gAAAAMBAAAPAAAAAAAAAAEAIAAAACIAAABkcnMvZG93bnJldi54bWxQ&#10;SwECFAAUAAAACACHTuJAJNl9IjYCAABgBAAADgAAAAAAAAABACAAAAAhAQAAZHJzL2Uyb0RvYy54&#10;bWxQSwUGAAAAAAYABgBZAQAAyQUAAAAA&#10;">
              <v:fill on="f" focussize="0,0"/>
              <v:stroke on="f" weight="0.5pt"/>
              <v:imagedata o:title=""/>
              <o:lock v:ext="edit" aspectratio="f"/>
              <v:textbox inset="0mm,0mm,0mm,0mm" style="mso-fit-shape-to-text:t;">
                <w:txbxContent>
                  <w:p>
                    <w:pPr>
                      <w:pStyle w:val="27"/>
                      <w:numPr>
                        <w:ilvl w:val="0"/>
                        <w:numId w:val="0"/>
                      </w:numPr>
                      <w:autoSpaceDE/>
                      <w:autoSpaceDN/>
                      <w:snapToGrid w:val="0"/>
                      <w:spacing w:before="0" w:after="200" w:line="240" w:lineRule="auto"/>
                      <w:ind w:right="0" w:firstLine="0"/>
                      <w:jc w:val="left"/>
                      <w:rPr>
                        <w:rFonts w:hint="default" w:ascii="Tahoma" w:hAnsi="微软雅黑" w:eastAsia="微软雅黑"/>
                        <w:color w:val="auto"/>
                        <w:position w:val="0"/>
                        <w:sz w:val="18"/>
                        <w:szCs w:val="18"/>
                      </w:rPr>
                    </w:pPr>
                    <w:r>
                      <w:rPr>
                        <w:rFonts w:hint="default" w:ascii="Tahoma" w:hAnsi="Tahoma" w:eastAsia="Tahoma"/>
                        <w:color w:val="auto"/>
                        <w:position w:val="0"/>
                        <w:sz w:val="18"/>
                        <w:szCs w:val="18"/>
                      </w:rPr>
                      <w:fldChar w:fldCharType="begin"/>
                    </w:r>
                    <w:r>
                      <w:instrText xml:space="preserve">PAGE  \* MERGEFORMAT</w:instrText>
                    </w:r>
                    <w:r>
                      <w:fldChar w:fldCharType="separate"/>
                    </w:r>
                    <w:r>
                      <w:rPr>
                        <w:rFonts w:hint="default" w:ascii="Tahoma" w:hAnsi="Tahoma" w:eastAsia="Tahoma"/>
                        <w:color w:val="auto"/>
                        <w:position w:val="0"/>
                        <w:sz w:val="18"/>
                        <w:szCs w:val="18"/>
                      </w:rPr>
                      <w:t>IV</w:t>
                    </w:r>
                    <w:r>
                      <w:rPr>
                        <w:rFonts w:hint="default" w:ascii="Tahoma" w:hAnsi="Tahoma" w:eastAsia="Tahoma"/>
                        <w:color w:val="auto"/>
                        <w:position w:val="0"/>
                        <w:sz w:val="18"/>
                        <w:szCs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numPr>
        <w:ilvl w:val="0"/>
        <w:numId w:val="0"/>
      </w:numPr>
      <w:autoSpaceDE/>
      <w:autoSpaceDN/>
      <w:snapToGrid w:val="0"/>
      <w:spacing w:before="0" w:after="200" w:line="240" w:lineRule="auto"/>
      <w:ind w:right="0" w:firstLine="0"/>
      <w:jc w:val="left"/>
      <w:rPr>
        <w:rFonts w:hint="default" w:ascii="Times New Roman" w:hAnsi="Times New Roman" w:eastAsia="Times New Roman"/>
        <w:color w:val="auto"/>
        <w:position w:val="0"/>
        <w:sz w:val="36"/>
        <w:szCs w:val="36"/>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21310" cy="264795"/>
              <wp:effectExtent l="0" t="0" r="0" b="0"/>
              <wp:wrapNone/>
              <wp:docPr id="84" name="文本框 13"/>
              <wp:cNvGraphicFramePr/>
              <a:graphic xmlns:a="http://schemas.openxmlformats.org/drawingml/2006/main">
                <a:graphicData uri="http://schemas.microsoft.com/office/word/2010/wordprocessingShape">
                  <wps:wsp>
                    <wps:cNvSpPr txBox="1"/>
                    <wps:spPr>
                      <a:xfrm>
                        <a:off x="0" y="0"/>
                        <a:ext cx="321945" cy="265430"/>
                      </a:xfrm>
                      <a:prstGeom prst="rect">
                        <a:avLst/>
                      </a:prstGeom>
                      <a:noFill/>
                      <a:ln w="9525" cap="flat">
                        <a:noFill/>
                      </a:ln>
                    </wps:spPr>
                    <wps:txbx>
                      <w:txbxContent>
                        <w:p>
                          <w:pPr>
                            <w:pStyle w:val="27"/>
                            <w:numPr>
                              <w:ilvl w:val="0"/>
                              <w:numId w:val="0"/>
                            </w:numPr>
                            <w:autoSpaceDE/>
                            <w:autoSpaceDN/>
                            <w:snapToGrid w:val="0"/>
                            <w:spacing w:before="0" w:after="200" w:line="240" w:lineRule="auto"/>
                            <w:ind w:right="0" w:firstLine="0"/>
                            <w:jc w:val="left"/>
                            <w:rPr>
                              <w:rFonts w:hint="default" w:ascii="Tahoma" w:hAnsi="微软雅黑" w:eastAsia="微软雅黑"/>
                              <w:color w:val="auto"/>
                              <w:position w:val="0"/>
                              <w:sz w:val="18"/>
                              <w:szCs w:val="18"/>
                            </w:rPr>
                          </w:pPr>
                          <w:r>
                            <w:rPr>
                              <w:rFonts w:hint="default" w:ascii="Tahoma" w:hAnsi="Tahoma" w:eastAsia="Tahoma"/>
                              <w:color w:val="auto"/>
                              <w:position w:val="0"/>
                              <w:sz w:val="18"/>
                              <w:szCs w:val="18"/>
                            </w:rPr>
                            <w:fldChar w:fldCharType="begin"/>
                          </w:r>
                          <w:r>
                            <w:instrText xml:space="preserve">PAGE  \* MERGEFORMAT</w:instrText>
                          </w:r>
                          <w:r>
                            <w:fldChar w:fldCharType="separate"/>
                          </w:r>
                          <w:r>
                            <w:rPr>
                              <w:rFonts w:hint="default" w:ascii="Tahoma" w:hAnsi="Tahoma" w:eastAsia="Tahoma"/>
                              <w:color w:val="auto"/>
                              <w:position w:val="0"/>
                              <w:sz w:val="18"/>
                              <w:szCs w:val="18"/>
                            </w:rPr>
                            <w:t>- 14 -</w:t>
                          </w:r>
                          <w:r>
                            <w:rPr>
                              <w:rFonts w:hint="default" w:ascii="Tahoma" w:hAnsi="Tahoma" w:eastAsia="Tahoma"/>
                              <w:color w:val="auto"/>
                              <w:position w:val="0"/>
                              <w:sz w:val="18"/>
                              <w:szCs w:val="18"/>
                            </w:rPr>
                            <w:fldChar w:fldCharType="end"/>
                          </w:r>
                        </w:p>
                      </w:txbxContent>
                    </wps:txbx>
                    <wps:bodyPr rot="0" spcFirstLastPara="0" vertOverflow="overflow" horzOverflow="overflow" vert="horz" wrap="none" lIns="0" tIns="0" rIns="0" bIns="0" numCol="1" spcCol="0" rtlCol="0" fromWordArt="0" anchor="ctr" anchorCtr="0" forceAA="0" compatLnSpc="0">
                      <a:spAutoFit/>
                    </wps:bodyPr>
                  </wps:wsp>
                </a:graphicData>
              </a:graphic>
            </wp:anchor>
          </w:drawing>
        </mc:Choice>
        <mc:Fallback>
          <w:pict>
            <v:shape id="文本框 13" o:spid="_x0000_s1026" o:spt="202" type="#_x0000_t202" style="position:absolute;left:0pt;margin-top:0pt;height:20.85pt;width:25.3pt;mso-position-horizontal:center;mso-position-horizontal-relative:margin;mso-wrap-style:none;z-index:251659264;v-text-anchor:middle;mso-width-relative:page;mso-height-relative:page;" filled="f" stroked="f" coordsize="21600,21600" o:gfxdata="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r/afj0wAAAAMBAAAPAAAAAAAAAAEAIAAAACIAAABkcnMvZG93bnJl&#10;di54bWxQSwECFAAUAAAACACHTuJAvQuDJTsCAABiBAAADgAAAAAAAAABACAAAAAiAQAAZHJzL2Uy&#10;b0RvYy54bWxQSwUGAAAAAAYABgBZAQAAzwUAAAAA&#10;">
              <v:fill on="f" focussize="0,0"/>
              <v:stroke on="f"/>
              <v:imagedata o:title=""/>
              <o:lock v:ext="edit" aspectratio="f"/>
              <v:textbox inset="0mm,0mm,0mm,0mm" style="mso-fit-shape-to-text:t;">
                <w:txbxContent>
                  <w:p>
                    <w:pPr>
                      <w:pStyle w:val="27"/>
                      <w:numPr>
                        <w:ilvl w:val="0"/>
                        <w:numId w:val="0"/>
                      </w:numPr>
                      <w:autoSpaceDE/>
                      <w:autoSpaceDN/>
                      <w:snapToGrid w:val="0"/>
                      <w:spacing w:before="0" w:after="200" w:line="240" w:lineRule="auto"/>
                      <w:ind w:right="0" w:firstLine="0"/>
                      <w:jc w:val="left"/>
                      <w:rPr>
                        <w:rFonts w:hint="default" w:ascii="Tahoma" w:hAnsi="微软雅黑" w:eastAsia="微软雅黑"/>
                        <w:color w:val="auto"/>
                        <w:position w:val="0"/>
                        <w:sz w:val="18"/>
                        <w:szCs w:val="18"/>
                      </w:rPr>
                    </w:pPr>
                    <w:r>
                      <w:rPr>
                        <w:rFonts w:hint="default" w:ascii="Tahoma" w:hAnsi="Tahoma" w:eastAsia="Tahoma"/>
                        <w:color w:val="auto"/>
                        <w:position w:val="0"/>
                        <w:sz w:val="18"/>
                        <w:szCs w:val="18"/>
                      </w:rPr>
                      <w:fldChar w:fldCharType="begin"/>
                    </w:r>
                    <w:r>
                      <w:instrText xml:space="preserve">PAGE  \* MERGEFORMAT</w:instrText>
                    </w:r>
                    <w:r>
                      <w:fldChar w:fldCharType="separate"/>
                    </w:r>
                    <w:r>
                      <w:rPr>
                        <w:rFonts w:hint="default" w:ascii="Tahoma" w:hAnsi="Tahoma" w:eastAsia="Tahoma"/>
                        <w:color w:val="auto"/>
                        <w:position w:val="0"/>
                        <w:sz w:val="18"/>
                        <w:szCs w:val="18"/>
                      </w:rPr>
                      <w:t>- 14 -</w:t>
                    </w:r>
                    <w:r>
                      <w:rPr>
                        <w:rFonts w:hint="default" w:ascii="Tahoma" w:hAnsi="Tahoma" w:eastAsia="Tahoma"/>
                        <w:color w:val="auto"/>
                        <w:position w:val="0"/>
                        <w:sz w:val="18"/>
                        <w:szCs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numPr>
        <w:ilvl w:val="0"/>
        <w:numId w:val="0"/>
      </w:numPr>
      <w:autoSpaceDE/>
      <w:autoSpaceDN/>
      <w:snapToGrid w:val="0"/>
      <w:spacing w:before="0" w:after="200" w:line="240" w:lineRule="auto"/>
      <w:ind w:right="0" w:firstLine="0"/>
      <w:jc w:val="left"/>
      <w:rPr>
        <w:rFonts w:hint="default" w:ascii="Times New Roman" w:hAnsi="Times New Roman" w:eastAsia="Times New Roman"/>
        <w:color w:val="auto"/>
        <w:position w:val="0"/>
        <w:sz w:val="36"/>
        <w:szCs w:val="36"/>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59080" cy="264795"/>
              <wp:effectExtent l="0" t="0" r="0" b="0"/>
              <wp:wrapNone/>
              <wp:docPr id="136" name="文本框 35"/>
              <wp:cNvGraphicFramePr/>
              <a:graphic xmlns:a="http://schemas.openxmlformats.org/drawingml/2006/main">
                <a:graphicData uri="http://schemas.microsoft.com/office/word/2010/wordprocessingShape">
                  <wps:wsp>
                    <wps:cNvSpPr txBox="1"/>
                    <wps:spPr>
                      <a:xfrm>
                        <a:off x="0" y="0"/>
                        <a:ext cx="259715" cy="265430"/>
                      </a:xfrm>
                      <a:prstGeom prst="rect">
                        <a:avLst/>
                      </a:prstGeom>
                      <a:noFill/>
                      <a:ln w="6350" cap="flat">
                        <a:noFill/>
                      </a:ln>
                    </wps:spPr>
                    <wps:style>
                      <a:lnRef idx="0">
                        <a:schemeClr val="accent1"/>
                      </a:lnRef>
                      <a:fillRef idx="0">
                        <a:schemeClr val="accent1"/>
                      </a:fillRef>
                      <a:effectRef idx="0">
                        <a:schemeClr val="accent1"/>
                      </a:effectRef>
                      <a:fontRef idx="minor">
                        <a:schemeClr val="dk1"/>
                      </a:fontRef>
                    </wps:style>
                    <wps:txbx>
                      <w:txbxContent>
                        <w:p>
                          <w:pPr>
                            <w:pStyle w:val="27"/>
                            <w:numPr>
                              <w:ilvl w:val="0"/>
                              <w:numId w:val="0"/>
                            </w:numPr>
                            <w:autoSpaceDE/>
                            <w:autoSpaceDN/>
                            <w:snapToGrid w:val="0"/>
                            <w:spacing w:before="0" w:after="200" w:line="240" w:lineRule="auto"/>
                            <w:ind w:right="0" w:firstLine="0"/>
                            <w:jc w:val="left"/>
                            <w:rPr>
                              <w:rFonts w:hint="default" w:ascii="Tahoma" w:hAnsi="微软雅黑" w:eastAsia="微软雅黑"/>
                              <w:color w:val="auto"/>
                              <w:position w:val="0"/>
                              <w:sz w:val="18"/>
                              <w:szCs w:val="18"/>
                            </w:rPr>
                          </w:pPr>
                          <w:r>
                            <w:rPr>
                              <w:rFonts w:hint="default" w:ascii="Tahoma" w:hAnsi="Tahoma" w:eastAsia="Tahoma"/>
                              <w:color w:val="auto"/>
                              <w:position w:val="0"/>
                              <w:sz w:val="18"/>
                              <w:szCs w:val="18"/>
                            </w:rPr>
                            <w:fldChar w:fldCharType="begin"/>
                          </w:r>
                          <w:r>
                            <w:instrText xml:space="preserve">PAGE  \* MERGEFORMAT</w:instrText>
                          </w:r>
                          <w:r>
                            <w:fldChar w:fldCharType="separate"/>
                          </w:r>
                          <w:r>
                            <w:rPr>
                              <w:rFonts w:hint="default" w:ascii="Tahoma" w:hAnsi="Tahoma" w:eastAsia="Tahoma"/>
                              <w:color w:val="auto"/>
                              <w:position w:val="0"/>
                              <w:sz w:val="18"/>
                              <w:szCs w:val="18"/>
                            </w:rPr>
                            <w:t>- 6 -</w:t>
                          </w:r>
                          <w:r>
                            <w:rPr>
                              <w:rFonts w:hint="default" w:ascii="Tahoma" w:hAnsi="Tahoma" w:eastAsia="Tahoma"/>
                              <w:color w:val="auto"/>
                              <w:position w:val="0"/>
                              <w:sz w:val="18"/>
                              <w:szCs w:val="18"/>
                            </w:rPr>
                            <w:fldChar w:fldCharType="end"/>
                          </w:r>
                        </w:p>
                      </w:txbxContent>
                    </wps:txbx>
                    <wps:bodyPr rot="0" spcFirstLastPara="0" vertOverflow="overflow" horzOverflow="overflow" vert="horz" wrap="none" lIns="0" tIns="0" rIns="0" bIns="0" numCol="1" spcCol="0" rtlCol="0" fromWordArt="0" anchor="t" anchorCtr="0" forceAA="0" compatLnSpc="0">
                      <a:spAutoFit/>
                    </wps:bodyPr>
                  </wps:wsp>
                </a:graphicData>
              </a:graphic>
            </wp:anchor>
          </w:drawing>
        </mc:Choice>
        <mc:Fallback>
          <w:pict>
            <v:shape id="文本框 35" o:spid="_x0000_s1026" o:spt="202" type="#_x0000_t202" style="position:absolute;left:0pt;margin-top:0pt;height:20.85pt;width:20.4pt;mso-position-horizontal:center;mso-position-horizontal-relative:margin;mso-wrap-style:none;z-index:251659264;mso-width-relative:page;mso-height-relative:page;" filled="f" stroked="f" coordsize="21600,21600" o:gfxdata="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N883PQAAAAAwEAAA8AAAAAAAAAAQAgAAAAIgAAAGRycy9kb3ducmV2Lnht&#10;bFBLAQIUABQAAAAIAIdO4kBR9m3ZOgIAAGEEAAAOAAAAAAAAAAEAIAAAAB8BAABkcnMvZTJvRG9j&#10;LnhtbFBLBQYAAAAABgAGAFkBAADLBQAAAAA=&#10;">
              <v:fill on="f" focussize="0,0"/>
              <v:stroke on="f" weight="0.5pt"/>
              <v:imagedata o:title=""/>
              <o:lock v:ext="edit" aspectratio="f"/>
              <v:textbox inset="0mm,0mm,0mm,0mm" style="mso-fit-shape-to-text:t;">
                <w:txbxContent>
                  <w:p>
                    <w:pPr>
                      <w:pStyle w:val="27"/>
                      <w:numPr>
                        <w:ilvl w:val="0"/>
                        <w:numId w:val="0"/>
                      </w:numPr>
                      <w:autoSpaceDE/>
                      <w:autoSpaceDN/>
                      <w:snapToGrid w:val="0"/>
                      <w:spacing w:before="0" w:after="200" w:line="240" w:lineRule="auto"/>
                      <w:ind w:right="0" w:firstLine="0"/>
                      <w:jc w:val="left"/>
                      <w:rPr>
                        <w:rFonts w:hint="default" w:ascii="Tahoma" w:hAnsi="微软雅黑" w:eastAsia="微软雅黑"/>
                        <w:color w:val="auto"/>
                        <w:position w:val="0"/>
                        <w:sz w:val="18"/>
                        <w:szCs w:val="18"/>
                      </w:rPr>
                    </w:pPr>
                    <w:r>
                      <w:rPr>
                        <w:rFonts w:hint="default" w:ascii="Tahoma" w:hAnsi="Tahoma" w:eastAsia="Tahoma"/>
                        <w:color w:val="auto"/>
                        <w:position w:val="0"/>
                        <w:sz w:val="18"/>
                        <w:szCs w:val="18"/>
                      </w:rPr>
                      <w:fldChar w:fldCharType="begin"/>
                    </w:r>
                    <w:r>
                      <w:instrText xml:space="preserve">PAGE  \* MERGEFORMAT</w:instrText>
                    </w:r>
                    <w:r>
                      <w:fldChar w:fldCharType="separate"/>
                    </w:r>
                    <w:r>
                      <w:rPr>
                        <w:rFonts w:hint="default" w:ascii="Tahoma" w:hAnsi="Tahoma" w:eastAsia="Tahoma"/>
                        <w:color w:val="auto"/>
                        <w:position w:val="0"/>
                        <w:sz w:val="18"/>
                        <w:szCs w:val="18"/>
                      </w:rPr>
                      <w:t>- 6 -</w:t>
                    </w:r>
                    <w:r>
                      <w:rPr>
                        <w:rFonts w:hint="default" w:ascii="Tahoma" w:hAnsi="Tahoma" w:eastAsia="Tahoma"/>
                        <w:color w:val="auto"/>
                        <w:position w:val="0"/>
                        <w:sz w:val="18"/>
                        <w:szCs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numPr>
        <w:ilvl w:val="0"/>
        <w:numId w:val="0"/>
      </w:numPr>
      <w:tabs>
        <w:tab w:val="center" w:pos="4153"/>
        <w:tab w:val="right" w:pos="8306"/>
      </w:tabs>
      <w:autoSpaceDE/>
      <w:autoSpaceDN/>
      <w:snapToGrid w:val="0"/>
      <w:spacing w:before="0" w:after="200" w:line="240" w:lineRule="auto"/>
      <w:ind w:right="0" w:firstLine="0"/>
      <w:jc w:val="left"/>
      <w:rPr>
        <w:rFonts w:hint="default" w:ascii="Tahoma" w:hAnsi="Times New Roman" w:eastAsia="Times New Roman"/>
        <w:color w:val="auto"/>
        <w:position w:val="0"/>
        <w:sz w:val="21"/>
        <w:szCs w:val="21"/>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93700" cy="295275"/>
              <wp:effectExtent l="0" t="0" r="0" b="0"/>
              <wp:wrapNone/>
              <wp:docPr id="254" name="矩形 14"/>
              <wp:cNvGraphicFramePr/>
              <a:graphic xmlns:a="http://schemas.openxmlformats.org/drawingml/2006/main">
                <a:graphicData uri="http://schemas.microsoft.com/office/word/2010/wordprocessingShape">
                  <wps:wsp>
                    <wps:cNvSpPr txBox="1"/>
                    <wps:spPr>
                      <a:xfrm>
                        <a:off x="0" y="0"/>
                        <a:ext cx="394335" cy="295910"/>
                      </a:xfrm>
                      <a:prstGeom prst="rect">
                        <a:avLst/>
                      </a:prstGeom>
                      <a:noFill/>
                      <a:ln w="9525" cap="flat">
                        <a:noFill/>
                      </a:ln>
                    </wps:spPr>
                    <wps:txbx>
                      <w:txbxContent>
                        <w:p>
                          <w:pPr>
                            <w:numPr>
                              <w:ilvl w:val="0"/>
                              <w:numId w:val="0"/>
                            </w:numPr>
                            <w:tabs>
                              <w:tab w:val="center" w:pos="4153"/>
                              <w:tab w:val="right" w:pos="8306"/>
                            </w:tabs>
                            <w:autoSpaceDE/>
                            <w:autoSpaceDN/>
                            <w:snapToGrid w:val="0"/>
                            <w:spacing w:before="0" w:after="200" w:line="240" w:lineRule="auto"/>
                            <w:ind w:right="0" w:firstLine="0"/>
                            <w:jc w:val="left"/>
                            <w:rPr>
                              <w:rFonts w:hint="default" w:ascii="Tahoma" w:hAnsi="Times New Roman" w:eastAsia="Times New Roman"/>
                              <w:color w:val="auto"/>
                              <w:position w:val="0"/>
                              <w:sz w:val="18"/>
                              <w:szCs w:val="18"/>
                            </w:rPr>
                          </w:pPr>
                          <w:r>
                            <w:rPr>
                              <w:rFonts w:hint="default" w:ascii="Tahoma" w:hAnsi="Times New Roman" w:eastAsia="Times New Roman"/>
                              <w:color w:val="auto"/>
                              <w:position w:val="0"/>
                              <w:sz w:val="22"/>
                              <w:szCs w:val="22"/>
                            </w:rPr>
                            <w:fldChar w:fldCharType="begin"/>
                          </w:r>
                          <w:r>
                            <w:instrText xml:space="preserve">PAGE  \* MERGEFORMAT</w:instrText>
                          </w:r>
                          <w:r>
                            <w:fldChar w:fldCharType="separate"/>
                          </w:r>
                          <w:r>
                            <w:rPr>
                              <w:rFonts w:hint="default" w:ascii="Tahoma" w:hAnsi="Times New Roman" w:eastAsia="Times New Roman"/>
                              <w:color w:val="auto"/>
                              <w:position w:val="0"/>
                              <w:sz w:val="22"/>
                              <w:szCs w:val="22"/>
                            </w:rPr>
                            <w:t>- 45 -</w:t>
                          </w:r>
                          <w:r>
                            <w:rPr>
                              <w:rFonts w:hint="default" w:ascii="Tahoma" w:hAnsi="Times New Roman" w:eastAsia="Times New Roman"/>
                              <w:color w:val="auto"/>
                              <w:position w:val="0"/>
                              <w:sz w:val="18"/>
                              <w:szCs w:val="18"/>
                            </w:rPr>
                            <w:fldChar w:fldCharType="end"/>
                          </w:r>
                        </w:p>
                      </w:txbxContent>
                    </wps:txbx>
                    <wps:bodyPr rot="0" spcFirstLastPara="0" vertOverflow="overflow" horzOverflow="overflow" vert="horz" wrap="none" lIns="0" tIns="0" rIns="0" bIns="0" numCol="1" spcCol="0" rtlCol="0" fromWordArt="0" anchor="ctr" anchorCtr="0" forceAA="0" upright="1" compatLnSpc="0">
                      <a:spAutoFit/>
                    </wps:bodyPr>
                  </wps:wsp>
                </a:graphicData>
              </a:graphic>
            </wp:anchor>
          </w:drawing>
        </mc:Choice>
        <mc:Fallback>
          <w:pict>
            <v:shape id="矩形 14" o:spid="_x0000_s1026" o:spt="202" type="#_x0000_t202" style="position:absolute;left:0pt;margin-top:0pt;height:23.25pt;width:31pt;mso-position-horizontal:center;mso-position-horizontal-relative:margin;mso-wrap-style:none;z-index:251659264;v-text-anchor:middle;mso-width-relative:page;mso-height-relative:page;" filled="f" stroked="f" coordsize="21600,21600" o:gfxdata="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iRbWzSAAAAAwEAAA8AAAAAAAAAAQAgAAAAIgAAAGRycy9kb3du&#10;cmV2LnhtbFBLAQIUABQAAAAIAIdO4kDLZP4sPgIAAGwEAAAOAAAAAAAAAAEAIAAAACEBAABkcnMv&#10;ZTJvRG9jLnhtbFBLBQYAAAAABgAGAFkBAADRBQAAAAA=&#10;">
              <v:fill on="f" focussize="0,0"/>
              <v:stroke on="f"/>
              <v:imagedata o:title=""/>
              <o:lock v:ext="edit" aspectratio="f"/>
              <v:textbox inset="0mm,0mm,0mm,0mm" style="mso-fit-shape-to-text:t;">
                <w:txbxContent>
                  <w:p>
                    <w:pPr>
                      <w:numPr>
                        <w:ilvl w:val="0"/>
                        <w:numId w:val="0"/>
                      </w:numPr>
                      <w:tabs>
                        <w:tab w:val="center" w:pos="4153"/>
                        <w:tab w:val="right" w:pos="8306"/>
                      </w:tabs>
                      <w:autoSpaceDE/>
                      <w:autoSpaceDN/>
                      <w:snapToGrid w:val="0"/>
                      <w:spacing w:before="0" w:after="200" w:line="240" w:lineRule="auto"/>
                      <w:ind w:right="0" w:firstLine="0"/>
                      <w:jc w:val="left"/>
                      <w:rPr>
                        <w:rFonts w:hint="default" w:ascii="Tahoma" w:hAnsi="Times New Roman" w:eastAsia="Times New Roman"/>
                        <w:color w:val="auto"/>
                        <w:position w:val="0"/>
                        <w:sz w:val="18"/>
                        <w:szCs w:val="18"/>
                      </w:rPr>
                    </w:pPr>
                    <w:r>
                      <w:rPr>
                        <w:rFonts w:hint="default" w:ascii="Tahoma" w:hAnsi="Times New Roman" w:eastAsia="Times New Roman"/>
                        <w:color w:val="auto"/>
                        <w:position w:val="0"/>
                        <w:sz w:val="22"/>
                        <w:szCs w:val="22"/>
                      </w:rPr>
                      <w:fldChar w:fldCharType="begin"/>
                    </w:r>
                    <w:r>
                      <w:instrText xml:space="preserve">PAGE  \* MERGEFORMAT</w:instrText>
                    </w:r>
                    <w:r>
                      <w:fldChar w:fldCharType="separate"/>
                    </w:r>
                    <w:r>
                      <w:rPr>
                        <w:rFonts w:hint="default" w:ascii="Tahoma" w:hAnsi="Times New Roman" w:eastAsia="Times New Roman"/>
                        <w:color w:val="auto"/>
                        <w:position w:val="0"/>
                        <w:sz w:val="22"/>
                        <w:szCs w:val="22"/>
                      </w:rPr>
                      <w:t>- 45 -</w:t>
                    </w:r>
                    <w:r>
                      <w:rPr>
                        <w:rFonts w:hint="default" w:ascii="Tahoma" w:hAnsi="Times New Roman" w:eastAsia="Times New Roman"/>
                        <w:color w:val="auto"/>
                        <w:position w:val="0"/>
                        <w:sz w:val="18"/>
                        <w:szCs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numPr>
        <w:ilvl w:val="0"/>
        <w:numId w:val="0"/>
      </w:numPr>
      <w:tabs>
        <w:tab w:val="center" w:pos="4153"/>
        <w:tab w:val="right" w:pos="8306"/>
      </w:tabs>
      <w:autoSpaceDE/>
      <w:autoSpaceDN/>
      <w:snapToGrid w:val="0"/>
      <w:spacing w:before="0" w:after="200" w:line="240" w:lineRule="auto"/>
      <w:ind w:right="0" w:firstLine="0"/>
      <w:jc w:val="center"/>
      <w:rPr>
        <w:rFonts w:hint="default" w:ascii="Tahoma" w:hAnsi="Times New Roman" w:eastAsia="Times New Roman"/>
        <w:color w:val="auto"/>
        <w:position w:val="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AED141"/>
    <w:multiLevelType w:val="singleLevel"/>
    <w:tmpl w:val="F1AED141"/>
    <w:lvl w:ilvl="0" w:tentative="0">
      <w:start w:val="1"/>
      <w:numFmt w:val="bullet"/>
      <w:pStyle w:val="19"/>
      <w:lvlText w:val=""/>
      <w:lvlJc w:val="left"/>
      <w:pPr>
        <w:tabs>
          <w:tab w:val="left" w:pos="2040"/>
        </w:tabs>
        <w:ind w:left="2040" w:hanging="360"/>
      </w:pPr>
      <w:rPr>
        <w:rFonts w:hint="default" w:ascii="Wingdings" w:hAnsi="Wingdings"/>
      </w:rPr>
    </w:lvl>
  </w:abstractNum>
  <w:abstractNum w:abstractNumId="1">
    <w:nsid w:val="00000001"/>
    <w:multiLevelType w:val="multilevel"/>
    <w:tmpl w:val="00000001"/>
    <w:lvl w:ilvl="0" w:tentative="0">
      <w:start w:val="1"/>
      <w:numFmt w:val="decimal"/>
      <w:suff w:val="nothing"/>
      <w:lvlText w:val="%1、"/>
      <w:lvlJc w:val="left"/>
    </w:lvl>
    <w:lvl w:ilvl="1" w:tentative="0">
      <w:start w:val="1"/>
      <w:numFmt w:val="decimal"/>
      <w:suff w:val="nothing"/>
      <w:lvlText w:val="%1、"/>
      <w:lvlJc w:val="left"/>
    </w:lvl>
    <w:lvl w:ilvl="2" w:tentative="0">
      <w:start w:val="1"/>
      <w:numFmt w:val="decimal"/>
      <w:suff w:val="nothing"/>
      <w:lvlText w:val="%1、"/>
      <w:lvlJc w:val="left"/>
    </w:lvl>
    <w:lvl w:ilvl="3" w:tentative="0">
      <w:start w:val="1"/>
      <w:numFmt w:val="decimal"/>
      <w:suff w:val="nothing"/>
      <w:lvlText w:val="%1、"/>
      <w:lvlJc w:val="left"/>
    </w:lvl>
    <w:lvl w:ilvl="4" w:tentative="0">
      <w:start w:val="1"/>
      <w:numFmt w:val="decimal"/>
      <w:suff w:val="nothing"/>
      <w:lvlText w:val="%1、"/>
      <w:lvlJc w:val="left"/>
    </w:lvl>
    <w:lvl w:ilvl="5" w:tentative="0">
      <w:start w:val="1"/>
      <w:numFmt w:val="decimal"/>
      <w:suff w:val="nothing"/>
      <w:lvlText w:val="%1、"/>
      <w:lvlJc w:val="left"/>
    </w:lvl>
    <w:lvl w:ilvl="6" w:tentative="0">
      <w:start w:val="1"/>
      <w:numFmt w:val="decimal"/>
      <w:suff w:val="nothing"/>
      <w:lvlText w:val="%1、"/>
      <w:lvlJc w:val="left"/>
    </w:lvl>
    <w:lvl w:ilvl="7" w:tentative="0">
      <w:start w:val="1"/>
      <w:numFmt w:val="decimal"/>
      <w:suff w:val="nothing"/>
      <w:lvlText w:val="%1、"/>
      <w:lvlJc w:val="left"/>
    </w:lvl>
    <w:lvl w:ilvl="8" w:tentative="0">
      <w:start w:val="1"/>
      <w:numFmt w:val="decimal"/>
      <w:suff w:val="nothing"/>
      <w:lvlText w:val="%1、"/>
      <w:lvlJc w:val="left"/>
    </w:lvl>
  </w:abstractNum>
  <w:abstractNum w:abstractNumId="2">
    <w:nsid w:val="2F000000"/>
    <w:multiLevelType w:val="multilevel"/>
    <w:tmpl w:val="2F000000"/>
    <w:lvl w:ilvl="0" w:tentative="0">
      <w:start w:val="1"/>
      <w:numFmt w:val="decimal"/>
      <w:suff w:val="nothing"/>
      <w:lvlText w:val="（%1）"/>
      <w:lvlJc w:val="left"/>
      <w:rPr>
        <w:rFonts w:cs="Times New Roman"/>
      </w:rPr>
    </w:lvl>
    <w:lvl w:ilvl="1" w:tentative="0">
      <w:start w:val="1"/>
      <w:numFmt w:val="decimal"/>
      <w:suff w:val="nothing"/>
      <w:lvlText w:val="（%1）"/>
      <w:lvlJc w:val="left"/>
      <w:rPr>
        <w:rFonts w:cs="Times New Roman"/>
      </w:rPr>
    </w:lvl>
    <w:lvl w:ilvl="2" w:tentative="0">
      <w:start w:val="1"/>
      <w:numFmt w:val="decimal"/>
      <w:suff w:val="nothing"/>
      <w:lvlText w:val="（%1）"/>
      <w:lvlJc w:val="left"/>
      <w:rPr>
        <w:rFonts w:cs="Times New Roman"/>
      </w:rPr>
    </w:lvl>
    <w:lvl w:ilvl="3" w:tentative="0">
      <w:start w:val="1"/>
      <w:numFmt w:val="decimal"/>
      <w:suff w:val="nothing"/>
      <w:lvlText w:val="（%1）"/>
      <w:lvlJc w:val="left"/>
      <w:rPr>
        <w:rFonts w:cs="Times New Roman"/>
      </w:rPr>
    </w:lvl>
    <w:lvl w:ilvl="4" w:tentative="0">
      <w:start w:val="1"/>
      <w:numFmt w:val="decimal"/>
      <w:suff w:val="nothing"/>
      <w:lvlText w:val="（%1）"/>
      <w:lvlJc w:val="left"/>
      <w:rPr>
        <w:rFonts w:cs="Times New Roman"/>
      </w:rPr>
    </w:lvl>
    <w:lvl w:ilvl="5" w:tentative="0">
      <w:start w:val="1"/>
      <w:numFmt w:val="decimal"/>
      <w:suff w:val="nothing"/>
      <w:lvlText w:val="（%1）"/>
      <w:lvlJc w:val="left"/>
      <w:rPr>
        <w:rFonts w:cs="Times New Roman"/>
      </w:rPr>
    </w:lvl>
    <w:lvl w:ilvl="6" w:tentative="0">
      <w:start w:val="1"/>
      <w:numFmt w:val="decimal"/>
      <w:suff w:val="nothing"/>
      <w:lvlText w:val="（%1）"/>
      <w:lvlJc w:val="left"/>
      <w:rPr>
        <w:rFonts w:cs="Times New Roman"/>
      </w:rPr>
    </w:lvl>
    <w:lvl w:ilvl="7" w:tentative="0">
      <w:start w:val="1"/>
      <w:numFmt w:val="decimal"/>
      <w:suff w:val="nothing"/>
      <w:lvlText w:val="（%1）"/>
      <w:lvlJc w:val="left"/>
      <w:rPr>
        <w:rFonts w:cs="Times New Roman"/>
      </w:rPr>
    </w:lvl>
    <w:lvl w:ilvl="8" w:tentative="0">
      <w:start w:val="1"/>
      <w:numFmt w:val="decimal"/>
      <w:suff w:val="nothing"/>
      <w:lvlText w:val="（%1）"/>
      <w:lvlJc w:val="left"/>
      <w:rPr>
        <w:rFonts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nforcement="0"/>
  <w:defaultTabStop w:val="420"/>
  <w:displayHorizontalDrawingGridEvery w:val="1"/>
  <w:displayVerticalDrawingGridEvery w:val="1"/>
  <w:noPunctuationKerning w:val="1"/>
  <w:characterSpacingControl w:val="compressPunctuation"/>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
  <w:rsids>
    <w:rsidRoot w:val="00000000"/>
    <w:rsid w:val="005D1386"/>
    <w:rsid w:val="00725128"/>
    <w:rsid w:val="007E4CC5"/>
    <w:rsid w:val="00983D8A"/>
    <w:rsid w:val="00A358FD"/>
    <w:rsid w:val="00B46D40"/>
    <w:rsid w:val="01001979"/>
    <w:rsid w:val="01087C13"/>
    <w:rsid w:val="013C4549"/>
    <w:rsid w:val="014969BE"/>
    <w:rsid w:val="02136D34"/>
    <w:rsid w:val="021A571C"/>
    <w:rsid w:val="028F3A22"/>
    <w:rsid w:val="03195A29"/>
    <w:rsid w:val="031E5272"/>
    <w:rsid w:val="03710137"/>
    <w:rsid w:val="03B11D1F"/>
    <w:rsid w:val="03E336CD"/>
    <w:rsid w:val="040E0ED1"/>
    <w:rsid w:val="04940E66"/>
    <w:rsid w:val="0520234E"/>
    <w:rsid w:val="052C5760"/>
    <w:rsid w:val="052D2530"/>
    <w:rsid w:val="05411212"/>
    <w:rsid w:val="06BA0854"/>
    <w:rsid w:val="06D56ADA"/>
    <w:rsid w:val="06D9675B"/>
    <w:rsid w:val="070D112C"/>
    <w:rsid w:val="07D56117"/>
    <w:rsid w:val="083B5718"/>
    <w:rsid w:val="09191799"/>
    <w:rsid w:val="097422C7"/>
    <w:rsid w:val="09BD665B"/>
    <w:rsid w:val="0A19618D"/>
    <w:rsid w:val="0A264178"/>
    <w:rsid w:val="0A286E42"/>
    <w:rsid w:val="0A975F4A"/>
    <w:rsid w:val="0ABF44E1"/>
    <w:rsid w:val="0B1A0473"/>
    <w:rsid w:val="0B1D6747"/>
    <w:rsid w:val="0B4A4205"/>
    <w:rsid w:val="0B5B06EA"/>
    <w:rsid w:val="0BAA7156"/>
    <w:rsid w:val="0CA33053"/>
    <w:rsid w:val="0D010AD3"/>
    <w:rsid w:val="0D6B2EA5"/>
    <w:rsid w:val="0DC91057"/>
    <w:rsid w:val="0E1F4FD4"/>
    <w:rsid w:val="0E623D6C"/>
    <w:rsid w:val="0EFB426B"/>
    <w:rsid w:val="0EFF16FD"/>
    <w:rsid w:val="0F0D250F"/>
    <w:rsid w:val="0F6F6717"/>
    <w:rsid w:val="0F774135"/>
    <w:rsid w:val="0FAB4B67"/>
    <w:rsid w:val="10571A41"/>
    <w:rsid w:val="10974CC1"/>
    <w:rsid w:val="11466C0D"/>
    <w:rsid w:val="114C41B3"/>
    <w:rsid w:val="119A434F"/>
    <w:rsid w:val="122836CF"/>
    <w:rsid w:val="12412FAF"/>
    <w:rsid w:val="12BF510F"/>
    <w:rsid w:val="12E90A38"/>
    <w:rsid w:val="139F4992"/>
    <w:rsid w:val="13FA1E8C"/>
    <w:rsid w:val="14EB06A0"/>
    <w:rsid w:val="15003004"/>
    <w:rsid w:val="15B2544F"/>
    <w:rsid w:val="15E445C2"/>
    <w:rsid w:val="15E9051F"/>
    <w:rsid w:val="16877C00"/>
    <w:rsid w:val="16CA755A"/>
    <w:rsid w:val="17B746BC"/>
    <w:rsid w:val="18BF00C9"/>
    <w:rsid w:val="18E61CB8"/>
    <w:rsid w:val="19D74139"/>
    <w:rsid w:val="1A16116F"/>
    <w:rsid w:val="1A4C3E60"/>
    <w:rsid w:val="1ACF7A00"/>
    <w:rsid w:val="1AE478D8"/>
    <w:rsid w:val="1B366248"/>
    <w:rsid w:val="1B9B7C32"/>
    <w:rsid w:val="1BB57823"/>
    <w:rsid w:val="1C170DB9"/>
    <w:rsid w:val="1C3F3D82"/>
    <w:rsid w:val="1CF647EB"/>
    <w:rsid w:val="1CFB02E3"/>
    <w:rsid w:val="1D4F5A34"/>
    <w:rsid w:val="1D785CBE"/>
    <w:rsid w:val="1DB00DFC"/>
    <w:rsid w:val="1E7334BC"/>
    <w:rsid w:val="1EE03A6B"/>
    <w:rsid w:val="1EE46E27"/>
    <w:rsid w:val="1F391938"/>
    <w:rsid w:val="205C19CE"/>
    <w:rsid w:val="209A00DE"/>
    <w:rsid w:val="20D77FFD"/>
    <w:rsid w:val="20E22EC8"/>
    <w:rsid w:val="215F3367"/>
    <w:rsid w:val="21B97510"/>
    <w:rsid w:val="221A19D3"/>
    <w:rsid w:val="223359BA"/>
    <w:rsid w:val="22770063"/>
    <w:rsid w:val="227C0ABE"/>
    <w:rsid w:val="22F52836"/>
    <w:rsid w:val="24083F3F"/>
    <w:rsid w:val="2422483C"/>
    <w:rsid w:val="248F2588"/>
    <w:rsid w:val="25B347E3"/>
    <w:rsid w:val="25CD2905"/>
    <w:rsid w:val="266336F8"/>
    <w:rsid w:val="267759A7"/>
    <w:rsid w:val="26C81814"/>
    <w:rsid w:val="26F1211B"/>
    <w:rsid w:val="26F539E5"/>
    <w:rsid w:val="271D1E26"/>
    <w:rsid w:val="272F0A05"/>
    <w:rsid w:val="274B6849"/>
    <w:rsid w:val="276A74D0"/>
    <w:rsid w:val="277D6536"/>
    <w:rsid w:val="27B30B3C"/>
    <w:rsid w:val="27BB387A"/>
    <w:rsid w:val="27F12D69"/>
    <w:rsid w:val="289A26E2"/>
    <w:rsid w:val="28AC4089"/>
    <w:rsid w:val="28EC1107"/>
    <w:rsid w:val="29401A01"/>
    <w:rsid w:val="2A3B712B"/>
    <w:rsid w:val="2A6233C2"/>
    <w:rsid w:val="2B050159"/>
    <w:rsid w:val="2B4178DD"/>
    <w:rsid w:val="2B760899"/>
    <w:rsid w:val="2BA0352E"/>
    <w:rsid w:val="2D3E5A78"/>
    <w:rsid w:val="2DA4161B"/>
    <w:rsid w:val="2DD653DE"/>
    <w:rsid w:val="2E910A23"/>
    <w:rsid w:val="2EB00A2F"/>
    <w:rsid w:val="2EF6408B"/>
    <w:rsid w:val="2F2337EB"/>
    <w:rsid w:val="2F364970"/>
    <w:rsid w:val="302F0DFF"/>
    <w:rsid w:val="31656EEC"/>
    <w:rsid w:val="318477F0"/>
    <w:rsid w:val="323A3DF9"/>
    <w:rsid w:val="32456FD2"/>
    <w:rsid w:val="32B26F03"/>
    <w:rsid w:val="32E27FB4"/>
    <w:rsid w:val="335C74D9"/>
    <w:rsid w:val="336C5F28"/>
    <w:rsid w:val="3385530B"/>
    <w:rsid w:val="33C037BA"/>
    <w:rsid w:val="33C80C50"/>
    <w:rsid w:val="33E90F34"/>
    <w:rsid w:val="340101EE"/>
    <w:rsid w:val="346453AE"/>
    <w:rsid w:val="347A55BA"/>
    <w:rsid w:val="348D3B6C"/>
    <w:rsid w:val="34B36778"/>
    <w:rsid w:val="3543702D"/>
    <w:rsid w:val="3579396F"/>
    <w:rsid w:val="35BF620A"/>
    <w:rsid w:val="35CA3878"/>
    <w:rsid w:val="3659080D"/>
    <w:rsid w:val="368B25F4"/>
    <w:rsid w:val="36A50A84"/>
    <w:rsid w:val="378D3988"/>
    <w:rsid w:val="37AE7BC7"/>
    <w:rsid w:val="38542F59"/>
    <w:rsid w:val="385950C0"/>
    <w:rsid w:val="38960CA2"/>
    <w:rsid w:val="39202B1D"/>
    <w:rsid w:val="39C50D61"/>
    <w:rsid w:val="3A7600E1"/>
    <w:rsid w:val="3A786FEA"/>
    <w:rsid w:val="3A857F74"/>
    <w:rsid w:val="3B46405A"/>
    <w:rsid w:val="3B670A8D"/>
    <w:rsid w:val="3B67782C"/>
    <w:rsid w:val="3C013960"/>
    <w:rsid w:val="3C404842"/>
    <w:rsid w:val="3CE131C5"/>
    <w:rsid w:val="3D074051"/>
    <w:rsid w:val="3D0C6BDA"/>
    <w:rsid w:val="3D2F4FEE"/>
    <w:rsid w:val="3D40188F"/>
    <w:rsid w:val="3DE13C25"/>
    <w:rsid w:val="3DF67669"/>
    <w:rsid w:val="3DFE1015"/>
    <w:rsid w:val="3E3852CA"/>
    <w:rsid w:val="3EC364F1"/>
    <w:rsid w:val="3EC734F6"/>
    <w:rsid w:val="400B29F5"/>
    <w:rsid w:val="401A5124"/>
    <w:rsid w:val="405D0C93"/>
    <w:rsid w:val="40781AC7"/>
    <w:rsid w:val="40B400D2"/>
    <w:rsid w:val="41036277"/>
    <w:rsid w:val="41151BB5"/>
    <w:rsid w:val="41DB2025"/>
    <w:rsid w:val="423C5B97"/>
    <w:rsid w:val="42E85253"/>
    <w:rsid w:val="42EC06A0"/>
    <w:rsid w:val="43137EA9"/>
    <w:rsid w:val="43141C16"/>
    <w:rsid w:val="437265F8"/>
    <w:rsid w:val="4480133A"/>
    <w:rsid w:val="45250F67"/>
    <w:rsid w:val="452C1841"/>
    <w:rsid w:val="455B46B5"/>
    <w:rsid w:val="45FC44A0"/>
    <w:rsid w:val="460F7717"/>
    <w:rsid w:val="46F753E6"/>
    <w:rsid w:val="46FB3101"/>
    <w:rsid w:val="474D0A9F"/>
    <w:rsid w:val="478113D2"/>
    <w:rsid w:val="47C10CFC"/>
    <w:rsid w:val="47C8035D"/>
    <w:rsid w:val="48104B75"/>
    <w:rsid w:val="481816E6"/>
    <w:rsid w:val="4877688E"/>
    <w:rsid w:val="48801B58"/>
    <w:rsid w:val="48862470"/>
    <w:rsid w:val="48A26396"/>
    <w:rsid w:val="48D06B03"/>
    <w:rsid w:val="48D54CD4"/>
    <w:rsid w:val="48F84B19"/>
    <w:rsid w:val="49511020"/>
    <w:rsid w:val="49D17706"/>
    <w:rsid w:val="4A0B0A8B"/>
    <w:rsid w:val="4A3246CE"/>
    <w:rsid w:val="4A9047BA"/>
    <w:rsid w:val="4A951740"/>
    <w:rsid w:val="4A9876AC"/>
    <w:rsid w:val="4AC653C5"/>
    <w:rsid w:val="4B1A731D"/>
    <w:rsid w:val="4B211F2C"/>
    <w:rsid w:val="4B2F0A79"/>
    <w:rsid w:val="4B301648"/>
    <w:rsid w:val="4B627F08"/>
    <w:rsid w:val="4BA1159C"/>
    <w:rsid w:val="4C8F05D0"/>
    <w:rsid w:val="4C8F5107"/>
    <w:rsid w:val="4CCA3704"/>
    <w:rsid w:val="4D0F1A04"/>
    <w:rsid w:val="4D740DE7"/>
    <w:rsid w:val="4D7A4F00"/>
    <w:rsid w:val="4E384F1D"/>
    <w:rsid w:val="4EE800E8"/>
    <w:rsid w:val="4F06475B"/>
    <w:rsid w:val="4F480D78"/>
    <w:rsid w:val="4F97124E"/>
    <w:rsid w:val="504877F3"/>
    <w:rsid w:val="50746363"/>
    <w:rsid w:val="507B25C8"/>
    <w:rsid w:val="50C74E29"/>
    <w:rsid w:val="50D27B25"/>
    <w:rsid w:val="511C0BA6"/>
    <w:rsid w:val="51BC3780"/>
    <w:rsid w:val="51C9219C"/>
    <w:rsid w:val="5273418C"/>
    <w:rsid w:val="52A911E6"/>
    <w:rsid w:val="541C7CEB"/>
    <w:rsid w:val="541F3882"/>
    <w:rsid w:val="54B057E4"/>
    <w:rsid w:val="558A678F"/>
    <w:rsid w:val="55D52F8F"/>
    <w:rsid w:val="566729C3"/>
    <w:rsid w:val="56D10852"/>
    <w:rsid w:val="56D15DEB"/>
    <w:rsid w:val="570E51A4"/>
    <w:rsid w:val="5748447A"/>
    <w:rsid w:val="57695103"/>
    <w:rsid w:val="581D4B1C"/>
    <w:rsid w:val="585B03C1"/>
    <w:rsid w:val="58B54654"/>
    <w:rsid w:val="58DE50E9"/>
    <w:rsid w:val="5A75171F"/>
    <w:rsid w:val="5A9D6E4D"/>
    <w:rsid w:val="5B5E30F6"/>
    <w:rsid w:val="5BA11657"/>
    <w:rsid w:val="5BC93F69"/>
    <w:rsid w:val="5C10723E"/>
    <w:rsid w:val="5C846A8F"/>
    <w:rsid w:val="5CA50D51"/>
    <w:rsid w:val="5CB1337A"/>
    <w:rsid w:val="5D8A24C6"/>
    <w:rsid w:val="5F194047"/>
    <w:rsid w:val="5F313724"/>
    <w:rsid w:val="5F4C1C9E"/>
    <w:rsid w:val="5F4F1BC1"/>
    <w:rsid w:val="611677B3"/>
    <w:rsid w:val="61727F8E"/>
    <w:rsid w:val="61E61B4E"/>
    <w:rsid w:val="625C1782"/>
    <w:rsid w:val="62E65979"/>
    <w:rsid w:val="62F63131"/>
    <w:rsid w:val="62FF4770"/>
    <w:rsid w:val="633377E0"/>
    <w:rsid w:val="63472ECB"/>
    <w:rsid w:val="64276986"/>
    <w:rsid w:val="646E2BD3"/>
    <w:rsid w:val="64AF1A15"/>
    <w:rsid w:val="64CB4CBD"/>
    <w:rsid w:val="64FC50F4"/>
    <w:rsid w:val="653D405F"/>
    <w:rsid w:val="65712D54"/>
    <w:rsid w:val="660D369C"/>
    <w:rsid w:val="66EE3E61"/>
    <w:rsid w:val="689B01C4"/>
    <w:rsid w:val="68B20B34"/>
    <w:rsid w:val="68F05865"/>
    <w:rsid w:val="6935145F"/>
    <w:rsid w:val="698A014E"/>
    <w:rsid w:val="69AF6314"/>
    <w:rsid w:val="69DF434A"/>
    <w:rsid w:val="6A212E70"/>
    <w:rsid w:val="6A401B4C"/>
    <w:rsid w:val="6A6F7EB8"/>
    <w:rsid w:val="6ADD5F1B"/>
    <w:rsid w:val="6B06097B"/>
    <w:rsid w:val="6B2548C8"/>
    <w:rsid w:val="6BBB2967"/>
    <w:rsid w:val="6BDF3DF9"/>
    <w:rsid w:val="6C746EEB"/>
    <w:rsid w:val="6CBE78D8"/>
    <w:rsid w:val="6CD82A65"/>
    <w:rsid w:val="6CF6412C"/>
    <w:rsid w:val="6D0B5CF9"/>
    <w:rsid w:val="6D122921"/>
    <w:rsid w:val="6D45205D"/>
    <w:rsid w:val="6D7B55CC"/>
    <w:rsid w:val="6D8336FD"/>
    <w:rsid w:val="6DA84D16"/>
    <w:rsid w:val="6DFA17D6"/>
    <w:rsid w:val="6E244589"/>
    <w:rsid w:val="6E5B6C4A"/>
    <w:rsid w:val="6E727210"/>
    <w:rsid w:val="6ECD70B7"/>
    <w:rsid w:val="6EE727CD"/>
    <w:rsid w:val="6F713C7A"/>
    <w:rsid w:val="6FF7269A"/>
    <w:rsid w:val="7019449A"/>
    <w:rsid w:val="70411C76"/>
    <w:rsid w:val="704911AF"/>
    <w:rsid w:val="70824807"/>
    <w:rsid w:val="71554E1A"/>
    <w:rsid w:val="71624F8C"/>
    <w:rsid w:val="71FE17A9"/>
    <w:rsid w:val="72677DD1"/>
    <w:rsid w:val="72C31F62"/>
    <w:rsid w:val="72DE2365"/>
    <w:rsid w:val="73294750"/>
    <w:rsid w:val="73340ED2"/>
    <w:rsid w:val="73896A46"/>
    <w:rsid w:val="738F50B5"/>
    <w:rsid w:val="74373FE8"/>
    <w:rsid w:val="745517AC"/>
    <w:rsid w:val="75282C41"/>
    <w:rsid w:val="752C34A4"/>
    <w:rsid w:val="757763CA"/>
    <w:rsid w:val="75B07D4E"/>
    <w:rsid w:val="76366250"/>
    <w:rsid w:val="76440A27"/>
    <w:rsid w:val="76635E70"/>
    <w:rsid w:val="76B578AA"/>
    <w:rsid w:val="76FC759A"/>
    <w:rsid w:val="771A4055"/>
    <w:rsid w:val="7753696B"/>
    <w:rsid w:val="775B781B"/>
    <w:rsid w:val="778212DB"/>
    <w:rsid w:val="778F5136"/>
    <w:rsid w:val="77954A54"/>
    <w:rsid w:val="77A02B27"/>
    <w:rsid w:val="77F11A48"/>
    <w:rsid w:val="78067C44"/>
    <w:rsid w:val="79607674"/>
    <w:rsid w:val="79B05545"/>
    <w:rsid w:val="79BE3171"/>
    <w:rsid w:val="7A1E1C85"/>
    <w:rsid w:val="7A240E23"/>
    <w:rsid w:val="7A3C222B"/>
    <w:rsid w:val="7AFF13A6"/>
    <w:rsid w:val="7B281D24"/>
    <w:rsid w:val="7C5F6512"/>
    <w:rsid w:val="7CB2118E"/>
    <w:rsid w:val="7CD83073"/>
    <w:rsid w:val="7D8B2A5A"/>
    <w:rsid w:val="7DD04831"/>
    <w:rsid w:val="7DF2140F"/>
    <w:rsid w:val="7E372130"/>
    <w:rsid w:val="7E936F57"/>
    <w:rsid w:val="7EAD5CA3"/>
    <w:rsid w:val="7F015888"/>
  </w:rsids>
  <m:mathPr>
    <m:brkBin m:val="before"/>
    <m:brkBinSub m:val="--"/>
    <m:smallFrac m:val="1"/>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7" w:semiHidden="0" w:name="heading 1"/>
    <w:lsdException w:qFormat="1" w:unhideWhenUsed="0" w:uiPriority="8" w:semiHidden="0" w:name="heading 2"/>
    <w:lsdException w:qFormat="1" w:unhideWhenUsed="0" w:uiPriority="9" w:semiHidden="0" w:name="heading 3"/>
    <w:lsdException w:qFormat="1" w:unhideWhenUsed="0" w:uiPriority="10" w:semiHidden="0" w:name="heading 4"/>
    <w:lsdException w:qFormat="1" w:unhideWhenUsed="0" w:uiPriority="11" w:semiHidden="0" w:name="heading 5"/>
    <w:lsdException w:qFormat="1" w:unhideWhenUsed="0" w:uiPriority="12" w:semiHidden="0" w:name="heading 6"/>
    <w:lsdException w:qFormat="1" w:unhideWhenUsed="0" w:uiPriority="13" w:semiHidden="0" w:name="heading 7"/>
    <w:lsdException w:qFormat="1" w:unhideWhenUsed="0" w:uiPriority="14" w:semiHidden="0" w:name="heading 8"/>
    <w:lsdException w:qFormat="1" w:unhideWhenUsed="0" w:uiPriority="15"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28" w:semiHidden="0" w:name="toc 1"/>
    <w:lsdException w:qFormat="1" w:unhideWhenUsed="0" w:uiPriority="29" w:semiHidden="0" w:name="toc 2"/>
    <w:lsdException w:qFormat="1" w:unhideWhenUsed="0" w:uiPriority="30" w:semiHidden="0" w:name="toc 3"/>
    <w:lsdException w:qFormat="1" w:uiPriority="31" w:semiHidden="0" w:name="toc 4"/>
    <w:lsdException w:qFormat="1" w:uiPriority="32" w:semiHidden="0" w:name="toc 5"/>
    <w:lsdException w:qFormat="1" w:uiPriority="33" w:semiHidden="0" w:name="toc 6"/>
    <w:lsdException w:qFormat="1" w:uiPriority="34" w:semiHidden="0" w:name="toc 7"/>
    <w:lsdException w:qFormat="1" w:uiPriority="35" w:semiHidden="0" w:name="toc 8"/>
    <w:lsdException w:qFormat="1" w:uiPriority="36"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157" w:semiHidden="0" w:name="header"/>
    <w:lsdException w:qFormat="1" w:unhideWhenUsed="0" w:uiPriority="156"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6" w:semiHidden="0" w:name="Title"/>
    <w:lsdException w:unhideWhenUsed="0" w:uiPriority="0" w:semiHidden="0" w:name="Closing"/>
    <w:lsdException w:unhideWhenUsed="0" w:uiPriority="0" w:semiHidden="0" w:name="Signature"/>
    <w:lsdException w:qFormat="1" w:unhideWhenUsed="0" w:uiPriority="2" w:name="Default Paragraph Font"/>
    <w:lsdException w:qFormat="1" w:unhideWhenUsed="0" w:uiPriority="152" w:semiHidden="0" w:name="Body Text"/>
    <w:lsdException w:qFormat="1" w:unhideWhenUsed="0" w:uiPriority="153"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6"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158"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155" w:semiHidden="0" w:name="Body Text Indent 2"/>
    <w:lsdException w:unhideWhenUsed="0" w:uiPriority="0" w:semiHidden="0" w:name="Body Text Indent 3"/>
    <w:lsdException w:qFormat="1" w:unhideWhenUsed="0" w:uiPriority="99" w:semiHidden="0" w:name="Block Text"/>
    <w:lsdException w:qFormat="1" w:unhideWhenUsed="0" w:uiPriority="159" w:semiHidden="0" w:name="Hyperlink"/>
    <w:lsdException w:unhideWhenUsed="0" w:uiPriority="0" w:semiHidden="0" w:name="FollowedHyperlink"/>
    <w:lsdException w:qFormat="1" w:unhideWhenUsed="0" w:uiPriority="20" w:semiHidden="0" w:name="Strong"/>
    <w:lsdException w:qFormat="1" w:unhideWhenUsed="0" w:uiPriority="18"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3"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7" w:semiHidden="0" w:name="Table Grid"/>
    <w:lsdException w:unhideWhenUsed="0" w:uiPriority="0" w:semiHidden="0" w:name="Table Theme"/>
    <w:lsdException w:qFormat="1" w:unhideWhenUsed="0" w:uiPriority="5"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6" w:semiHidden="0" w:name="List Paragraph"/>
    <w:lsdException w:qFormat="1" w:unhideWhenUsed="0" w:uiPriority="21" w:semiHidden="0" w:name="Quote"/>
    <w:lsdException w:qFormat="1" w:unhideWhenUsed="0" w:uiPriority="22"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wordWrap/>
      <w:autoSpaceDE/>
      <w:autoSpaceDN/>
    </w:pPr>
    <w:rPr>
      <w:rFonts w:ascii="Tahoma" w:hAnsi="Tahoma" w:eastAsia="Times New Roman" w:cs="宋体"/>
      <w:w w:val="100"/>
      <w:sz w:val="22"/>
      <w:szCs w:val="22"/>
      <w:shd w:val="clear"/>
    </w:rPr>
  </w:style>
  <w:style w:type="paragraph" w:styleId="6">
    <w:name w:val="heading 1"/>
    <w:basedOn w:val="1"/>
    <w:next w:val="1"/>
    <w:qFormat/>
    <w:uiPriority w:val="7"/>
    <w:pPr>
      <w:jc w:val="both"/>
    </w:pPr>
    <w:rPr>
      <w:rFonts w:ascii="Times New Roman" w:hAnsi="Times New Roman" w:eastAsia="Times New Roman" w:cs="宋体"/>
      <w:w w:val="100"/>
      <w:sz w:val="28"/>
      <w:szCs w:val="28"/>
      <w:shd w:val="clear"/>
    </w:rPr>
  </w:style>
  <w:style w:type="paragraph" w:styleId="7">
    <w:name w:val="heading 2"/>
    <w:basedOn w:val="1"/>
    <w:next w:val="1"/>
    <w:link w:val="75"/>
    <w:qFormat/>
    <w:uiPriority w:val="8"/>
    <w:pPr>
      <w:keepNext/>
      <w:keepLines/>
      <w:widowControl/>
      <w:wordWrap/>
      <w:autoSpaceDE/>
      <w:autoSpaceDN/>
    </w:pPr>
    <w:rPr>
      <w:rFonts w:ascii="Arial" w:hAnsi="Arial" w:eastAsia="黑体"/>
      <w:b/>
      <w:w w:val="100"/>
      <w:sz w:val="32"/>
      <w:szCs w:val="32"/>
      <w:shd w:val="clear"/>
    </w:rPr>
  </w:style>
  <w:style w:type="paragraph" w:styleId="8">
    <w:name w:val="heading 3"/>
    <w:basedOn w:val="1"/>
    <w:next w:val="1"/>
    <w:qFormat/>
    <w:uiPriority w:val="9"/>
    <w:pPr>
      <w:ind w:left="1000" w:hanging="400"/>
      <w:jc w:val="both"/>
    </w:pPr>
    <w:rPr>
      <w:rFonts w:ascii="Times New Roman" w:hAnsi="Times New Roman" w:eastAsia="Times New Roman" w:cs="宋体"/>
      <w:w w:val="100"/>
      <w:sz w:val="21"/>
      <w:szCs w:val="21"/>
      <w:shd w:val="clear"/>
    </w:rPr>
  </w:style>
  <w:style w:type="paragraph" w:styleId="9">
    <w:name w:val="heading 4"/>
    <w:basedOn w:val="1"/>
    <w:next w:val="1"/>
    <w:qFormat/>
    <w:uiPriority w:val="10"/>
    <w:pPr>
      <w:ind w:left="1200" w:hanging="400"/>
      <w:jc w:val="both"/>
    </w:pPr>
    <w:rPr>
      <w:rFonts w:ascii="Times New Roman" w:hAnsi="Times New Roman" w:eastAsia="Times New Roman" w:cs="宋体"/>
      <w:b/>
      <w:w w:val="100"/>
      <w:sz w:val="21"/>
      <w:szCs w:val="21"/>
      <w:shd w:val="clear"/>
    </w:rPr>
  </w:style>
  <w:style w:type="paragraph" w:styleId="10">
    <w:name w:val="heading 5"/>
    <w:next w:val="1"/>
    <w:qFormat/>
    <w:uiPriority w:val="11"/>
    <w:pPr>
      <w:ind w:left="1400" w:hanging="400"/>
      <w:jc w:val="both"/>
    </w:pPr>
    <w:rPr>
      <w:rFonts w:ascii="Times New Roman" w:hAnsi="Times New Roman" w:eastAsia="Times New Roman" w:cs="宋体"/>
      <w:w w:val="100"/>
      <w:sz w:val="21"/>
      <w:szCs w:val="21"/>
      <w:shd w:val="clear"/>
    </w:rPr>
  </w:style>
  <w:style w:type="paragraph" w:styleId="11">
    <w:name w:val="heading 6"/>
    <w:next w:val="1"/>
    <w:qFormat/>
    <w:uiPriority w:val="12"/>
    <w:pPr>
      <w:ind w:left="1600" w:hanging="400"/>
      <w:jc w:val="both"/>
    </w:pPr>
    <w:rPr>
      <w:rFonts w:ascii="Times New Roman" w:hAnsi="Times New Roman" w:eastAsia="Times New Roman" w:cs="宋体"/>
      <w:b/>
      <w:w w:val="100"/>
      <w:sz w:val="21"/>
      <w:szCs w:val="21"/>
      <w:shd w:val="clear"/>
    </w:rPr>
  </w:style>
  <w:style w:type="paragraph" w:styleId="12">
    <w:name w:val="heading 7"/>
    <w:next w:val="1"/>
    <w:qFormat/>
    <w:uiPriority w:val="13"/>
    <w:pPr>
      <w:ind w:left="1800" w:hanging="400"/>
      <w:jc w:val="both"/>
    </w:pPr>
    <w:rPr>
      <w:rFonts w:ascii="Times New Roman" w:hAnsi="Times New Roman" w:eastAsia="Times New Roman" w:cs="宋体"/>
      <w:w w:val="100"/>
      <w:sz w:val="21"/>
      <w:szCs w:val="21"/>
      <w:shd w:val="clear"/>
    </w:rPr>
  </w:style>
  <w:style w:type="paragraph" w:styleId="13">
    <w:name w:val="heading 8"/>
    <w:next w:val="1"/>
    <w:qFormat/>
    <w:uiPriority w:val="14"/>
    <w:pPr>
      <w:ind w:left="2000" w:hanging="400"/>
      <w:jc w:val="both"/>
    </w:pPr>
    <w:rPr>
      <w:rFonts w:ascii="Times New Roman" w:hAnsi="Times New Roman" w:eastAsia="Times New Roman" w:cs="宋体"/>
      <w:w w:val="100"/>
      <w:sz w:val="21"/>
      <w:szCs w:val="21"/>
      <w:shd w:val="clear"/>
    </w:rPr>
  </w:style>
  <w:style w:type="paragraph" w:styleId="14">
    <w:name w:val="heading 9"/>
    <w:next w:val="1"/>
    <w:qFormat/>
    <w:uiPriority w:val="15"/>
    <w:pPr>
      <w:ind w:left="2200" w:hanging="400"/>
      <w:jc w:val="both"/>
    </w:pPr>
    <w:rPr>
      <w:rFonts w:ascii="Times New Roman" w:hAnsi="Times New Roman" w:eastAsia="Times New Roman" w:cs="宋体"/>
      <w:w w:val="100"/>
      <w:sz w:val="21"/>
      <w:szCs w:val="21"/>
      <w:shd w:val="clear"/>
    </w:rPr>
  </w:style>
  <w:style w:type="character" w:default="1" w:styleId="40">
    <w:name w:val="Default Paragraph Font"/>
    <w:semiHidden/>
    <w:qFormat/>
    <w:uiPriority w:val="2"/>
  </w:style>
  <w:style w:type="table" w:default="1" w:styleId="38">
    <w:name w:val="Normal Table"/>
    <w:semiHidden/>
    <w:qFormat/>
    <w:uiPriority w:val="3"/>
    <w:tblPr>
      <w:tblCellMar>
        <w:top w:w="0" w:type="dxa"/>
        <w:left w:w="108" w:type="dxa"/>
        <w:bottom w:w="0" w:type="dxa"/>
        <w:right w:w="108" w:type="dxa"/>
      </w:tblCellMar>
    </w:tblPr>
  </w:style>
  <w:style w:type="paragraph" w:styleId="2">
    <w:name w:val="Body Text First Indent 2"/>
    <w:basedOn w:val="3"/>
    <w:next w:val="1"/>
    <w:qFormat/>
    <w:uiPriority w:val="158"/>
    <w:pPr>
      <w:widowControl/>
      <w:wordWrap/>
      <w:autoSpaceDE/>
      <w:autoSpaceDN/>
      <w:ind w:left="420" w:firstLine="210"/>
    </w:pPr>
    <w:rPr>
      <w:rFonts w:ascii="Times New Roman" w:hAnsi="Times New Roman" w:eastAsia="Times New Roman"/>
      <w:b/>
      <w:w w:val="100"/>
      <w:sz w:val="20"/>
      <w:szCs w:val="20"/>
      <w:shd w:val="clear"/>
    </w:rPr>
  </w:style>
  <w:style w:type="paragraph" w:styleId="3">
    <w:name w:val="Body Text Indent"/>
    <w:basedOn w:val="1"/>
    <w:next w:val="4"/>
    <w:qFormat/>
    <w:uiPriority w:val="153"/>
    <w:pPr>
      <w:widowControl/>
      <w:wordWrap/>
      <w:autoSpaceDE/>
      <w:autoSpaceDN/>
      <w:ind w:firstLine="560"/>
    </w:pPr>
    <w:rPr>
      <w:rFonts w:ascii="宋体" w:hAnsi="宋体" w:eastAsia="黑体"/>
      <w:w w:val="100"/>
      <w:sz w:val="28"/>
      <w:szCs w:val="28"/>
      <w:shd w:val="clear"/>
    </w:rPr>
  </w:style>
  <w:style w:type="paragraph" w:customStyle="1" w:styleId="4">
    <w:name w:val="样式 正文文本缩进 + 行距: 1.5 倍行距"/>
    <w:basedOn w:val="5"/>
    <w:qFormat/>
    <w:uiPriority w:val="0"/>
    <w:pPr>
      <w:spacing w:after="120" w:line="360" w:lineRule="auto"/>
      <w:ind w:left="90" w:leftChars="32" w:firstLine="560" w:firstLineChars="200"/>
    </w:pPr>
    <w:rPr>
      <w:rFonts w:cs="宋体"/>
    </w:rPr>
  </w:style>
  <w:style w:type="paragraph" w:customStyle="1" w:styleId="5">
    <w:name w:val="Body Text Indent"/>
    <w:basedOn w:val="1"/>
    <w:next w:val="4"/>
    <w:qFormat/>
    <w:uiPriority w:val="0"/>
    <w:pPr>
      <w:spacing w:after="120" w:afterLines="0"/>
      <w:ind w:left="420" w:leftChars="200"/>
    </w:pPr>
    <w:rPr>
      <w:rFonts w:ascii="Times New Roman" w:hAnsi="Times New Roman" w:eastAsia="宋体"/>
      <w:sz w:val="24"/>
    </w:rPr>
  </w:style>
  <w:style w:type="paragraph" w:styleId="15">
    <w:name w:val="toc 7"/>
    <w:next w:val="1"/>
    <w:unhideWhenUsed/>
    <w:qFormat/>
    <w:uiPriority w:val="34"/>
    <w:pPr>
      <w:ind w:left="2550" w:firstLine="0"/>
      <w:jc w:val="both"/>
    </w:pPr>
    <w:rPr>
      <w:rFonts w:ascii="Times New Roman" w:hAnsi="Times New Roman" w:eastAsia="Times New Roman" w:cs="宋体"/>
      <w:w w:val="100"/>
      <w:sz w:val="21"/>
      <w:szCs w:val="21"/>
      <w:shd w:val="clear"/>
    </w:rPr>
  </w:style>
  <w:style w:type="paragraph" w:styleId="16">
    <w:name w:val="Normal Indent"/>
    <w:basedOn w:val="1"/>
    <w:qFormat/>
    <w:uiPriority w:val="0"/>
    <w:pPr>
      <w:ind w:firstLine="420" w:firstLineChars="200"/>
    </w:pPr>
    <w:rPr>
      <w:szCs w:val="20"/>
    </w:rPr>
  </w:style>
  <w:style w:type="paragraph" w:styleId="17">
    <w:name w:val="annotation text"/>
    <w:basedOn w:val="1"/>
    <w:qFormat/>
    <w:uiPriority w:val="0"/>
    <w:pPr>
      <w:jc w:val="left"/>
    </w:pPr>
  </w:style>
  <w:style w:type="paragraph" w:styleId="18">
    <w:name w:val="Body Text"/>
    <w:basedOn w:val="1"/>
    <w:next w:val="19"/>
    <w:qFormat/>
    <w:uiPriority w:val="152"/>
    <w:rPr>
      <w:rFonts w:ascii="宋体" w:hAnsi="宋体" w:eastAsia="宋体"/>
      <w:w w:val="100"/>
      <w:sz w:val="24"/>
      <w:szCs w:val="24"/>
      <w:shd w:val="clear"/>
    </w:rPr>
  </w:style>
  <w:style w:type="paragraph" w:styleId="19">
    <w:name w:val="List Bullet 5"/>
    <w:basedOn w:val="1"/>
    <w:qFormat/>
    <w:uiPriority w:val="0"/>
    <w:pPr>
      <w:numPr>
        <w:ilvl w:val="0"/>
        <w:numId w:val="1"/>
      </w:numPr>
    </w:pPr>
  </w:style>
  <w:style w:type="paragraph" w:styleId="20">
    <w:name w:val="Block Text"/>
    <w:basedOn w:val="1"/>
    <w:qFormat/>
    <w:uiPriority w:val="99"/>
    <w:pPr>
      <w:spacing w:after="120"/>
      <w:ind w:left="1440" w:leftChars="700" w:right="1440" w:rightChars="700"/>
    </w:pPr>
    <w:rPr>
      <w:rFonts w:cs="Times New Roman"/>
    </w:rPr>
  </w:style>
  <w:style w:type="paragraph" w:styleId="21">
    <w:name w:val="toc 5"/>
    <w:next w:val="1"/>
    <w:unhideWhenUsed/>
    <w:qFormat/>
    <w:uiPriority w:val="32"/>
    <w:pPr>
      <w:ind w:left="1700" w:firstLine="0"/>
      <w:jc w:val="both"/>
    </w:pPr>
    <w:rPr>
      <w:rFonts w:ascii="Times New Roman" w:hAnsi="Times New Roman" w:eastAsia="Times New Roman" w:cs="宋体"/>
      <w:w w:val="100"/>
      <w:sz w:val="21"/>
      <w:szCs w:val="21"/>
      <w:shd w:val="clear"/>
    </w:rPr>
  </w:style>
  <w:style w:type="paragraph" w:styleId="22">
    <w:name w:val="toc 3"/>
    <w:basedOn w:val="1"/>
    <w:next w:val="1"/>
    <w:qFormat/>
    <w:uiPriority w:val="30"/>
    <w:pPr>
      <w:widowControl/>
      <w:wordWrap/>
      <w:autoSpaceDE/>
      <w:autoSpaceDN/>
      <w:ind w:left="840" w:firstLine="0"/>
    </w:pPr>
  </w:style>
  <w:style w:type="paragraph" w:styleId="23">
    <w:name w:val="Plain Text"/>
    <w:basedOn w:val="1"/>
    <w:qFormat/>
    <w:uiPriority w:val="0"/>
    <w:rPr>
      <w:rFonts w:ascii="宋体" w:hAnsi="Courier New"/>
    </w:rPr>
  </w:style>
  <w:style w:type="paragraph" w:styleId="24">
    <w:name w:val="toc 8"/>
    <w:next w:val="1"/>
    <w:unhideWhenUsed/>
    <w:qFormat/>
    <w:uiPriority w:val="35"/>
    <w:pPr>
      <w:ind w:left="2975" w:firstLine="0"/>
      <w:jc w:val="both"/>
    </w:pPr>
    <w:rPr>
      <w:rFonts w:ascii="Times New Roman" w:hAnsi="Times New Roman" w:eastAsia="Times New Roman" w:cs="宋体"/>
      <w:w w:val="100"/>
      <w:sz w:val="21"/>
      <w:szCs w:val="21"/>
      <w:shd w:val="clear"/>
    </w:rPr>
  </w:style>
  <w:style w:type="paragraph" w:styleId="25">
    <w:name w:val="Body Text Indent 2"/>
    <w:basedOn w:val="1"/>
    <w:qFormat/>
    <w:uiPriority w:val="155"/>
    <w:pPr>
      <w:widowControl/>
      <w:tabs>
        <w:tab w:val="left" w:pos="0"/>
      </w:tabs>
      <w:wordWrap/>
      <w:autoSpaceDE/>
      <w:autoSpaceDN/>
      <w:ind w:firstLine="473"/>
    </w:pPr>
    <w:rPr>
      <w:w w:val="100"/>
      <w:sz w:val="24"/>
      <w:szCs w:val="24"/>
      <w:shd w:val="clear"/>
    </w:rPr>
  </w:style>
  <w:style w:type="paragraph" w:styleId="26">
    <w:name w:val="Balloon Text"/>
    <w:basedOn w:val="1"/>
    <w:link w:val="139"/>
    <w:qFormat/>
    <w:uiPriority w:val="0"/>
    <w:pPr>
      <w:jc w:val="center"/>
    </w:pPr>
    <w:rPr>
      <w:rFonts w:ascii="Times New Roman" w:hAnsi="Times New Roman"/>
      <w:sz w:val="24"/>
      <w:szCs w:val="24"/>
    </w:rPr>
  </w:style>
  <w:style w:type="paragraph" w:styleId="27">
    <w:name w:val="footer"/>
    <w:basedOn w:val="1"/>
    <w:qFormat/>
    <w:uiPriority w:val="156"/>
    <w:pPr>
      <w:widowControl/>
      <w:tabs>
        <w:tab w:val="center" w:pos="4153"/>
        <w:tab w:val="right" w:pos="8306"/>
      </w:tabs>
      <w:wordWrap/>
      <w:autoSpaceDE/>
      <w:autoSpaceDN/>
    </w:pPr>
    <w:rPr>
      <w:rFonts w:ascii="Tahoma" w:hAnsi="Tahoma" w:eastAsia="Tahoma"/>
      <w:w w:val="100"/>
      <w:sz w:val="18"/>
      <w:szCs w:val="18"/>
      <w:shd w:val="clear"/>
    </w:rPr>
  </w:style>
  <w:style w:type="paragraph" w:styleId="28">
    <w:name w:val="header"/>
    <w:basedOn w:val="1"/>
    <w:qFormat/>
    <w:uiPriority w:val="157"/>
    <w:pPr>
      <w:widowControl/>
      <w:tabs>
        <w:tab w:val="center" w:pos="4153"/>
        <w:tab w:val="right" w:pos="8306"/>
      </w:tabs>
      <w:wordWrap/>
      <w:autoSpaceDE/>
      <w:autoSpaceDN/>
      <w:jc w:val="both"/>
    </w:pPr>
    <w:rPr>
      <w:w w:val="100"/>
      <w:sz w:val="18"/>
      <w:szCs w:val="18"/>
      <w:shd w:val="clear"/>
    </w:rPr>
  </w:style>
  <w:style w:type="paragraph" w:styleId="29">
    <w:name w:val="toc 1"/>
    <w:basedOn w:val="1"/>
    <w:next w:val="1"/>
    <w:qFormat/>
    <w:uiPriority w:val="28"/>
  </w:style>
  <w:style w:type="paragraph" w:styleId="30">
    <w:name w:val="toc 4"/>
    <w:next w:val="1"/>
    <w:unhideWhenUsed/>
    <w:qFormat/>
    <w:uiPriority w:val="31"/>
    <w:pPr>
      <w:ind w:left="1275" w:firstLine="0"/>
      <w:jc w:val="both"/>
    </w:pPr>
    <w:rPr>
      <w:rFonts w:ascii="Times New Roman" w:hAnsi="Times New Roman" w:eastAsia="Times New Roman" w:cs="宋体"/>
      <w:w w:val="100"/>
      <w:sz w:val="21"/>
      <w:szCs w:val="21"/>
      <w:shd w:val="clear"/>
    </w:rPr>
  </w:style>
  <w:style w:type="paragraph" w:styleId="31">
    <w:name w:val="Subtitle"/>
    <w:qFormat/>
    <w:uiPriority w:val="16"/>
    <w:pPr>
      <w:jc w:val="center"/>
    </w:pPr>
    <w:rPr>
      <w:rFonts w:ascii="Times New Roman" w:hAnsi="Times New Roman" w:eastAsia="Times New Roman" w:cs="宋体"/>
      <w:w w:val="100"/>
      <w:sz w:val="24"/>
      <w:szCs w:val="24"/>
      <w:shd w:val="clear"/>
    </w:rPr>
  </w:style>
  <w:style w:type="paragraph" w:styleId="32">
    <w:name w:val="toc 6"/>
    <w:next w:val="1"/>
    <w:unhideWhenUsed/>
    <w:qFormat/>
    <w:uiPriority w:val="33"/>
    <w:pPr>
      <w:ind w:left="2125" w:firstLine="0"/>
      <w:jc w:val="both"/>
    </w:pPr>
    <w:rPr>
      <w:rFonts w:ascii="Times New Roman" w:hAnsi="Times New Roman" w:eastAsia="Times New Roman" w:cs="宋体"/>
      <w:w w:val="100"/>
      <w:sz w:val="21"/>
      <w:szCs w:val="21"/>
      <w:shd w:val="clear"/>
    </w:rPr>
  </w:style>
  <w:style w:type="paragraph" w:styleId="33">
    <w:name w:val="toc 2"/>
    <w:basedOn w:val="1"/>
    <w:next w:val="1"/>
    <w:qFormat/>
    <w:uiPriority w:val="29"/>
    <w:pPr>
      <w:widowControl/>
      <w:wordWrap/>
      <w:autoSpaceDE/>
      <w:autoSpaceDN/>
      <w:ind w:left="420" w:firstLine="0"/>
    </w:pPr>
  </w:style>
  <w:style w:type="paragraph" w:styleId="34">
    <w:name w:val="toc 9"/>
    <w:next w:val="1"/>
    <w:unhideWhenUsed/>
    <w:qFormat/>
    <w:uiPriority w:val="36"/>
    <w:pPr>
      <w:ind w:left="3400" w:firstLine="0"/>
      <w:jc w:val="both"/>
    </w:pPr>
    <w:rPr>
      <w:rFonts w:ascii="Times New Roman" w:hAnsi="Times New Roman" w:eastAsia="Times New Roman" w:cs="宋体"/>
      <w:w w:val="100"/>
      <w:sz w:val="21"/>
      <w:szCs w:val="21"/>
      <w:shd w:val="clear"/>
    </w:rPr>
  </w:style>
  <w:style w:type="paragraph" w:styleId="35">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36">
    <w:name w:val="Title"/>
    <w:qFormat/>
    <w:uiPriority w:val="6"/>
    <w:pPr>
      <w:jc w:val="center"/>
    </w:pPr>
    <w:rPr>
      <w:rFonts w:ascii="Times New Roman" w:hAnsi="Times New Roman" w:eastAsia="Times New Roman" w:cs="宋体"/>
      <w:b/>
      <w:w w:val="100"/>
      <w:sz w:val="32"/>
      <w:szCs w:val="32"/>
      <w:shd w:val="clear"/>
    </w:rPr>
  </w:style>
  <w:style w:type="paragraph" w:styleId="37">
    <w:name w:val="Body Text First Indent"/>
    <w:basedOn w:val="18"/>
    <w:next w:val="1"/>
    <w:qFormat/>
    <w:uiPriority w:val="0"/>
    <w:pPr>
      <w:spacing w:after="120"/>
      <w:ind w:firstLine="420" w:firstLineChars="100"/>
    </w:pPr>
    <w:rPr>
      <w:sz w:val="30"/>
    </w:rPr>
  </w:style>
  <w:style w:type="table" w:styleId="39">
    <w:name w:val="Table Grid"/>
    <w:basedOn w:val="38"/>
    <w:qFormat/>
    <w:uiPriority w:val="37"/>
    <w:pPr>
      <w:wordWrap/>
      <w:autoSpaceDE/>
      <w:autoSpaceDN/>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qFormat/>
    <w:uiPriority w:val="20"/>
    <w:rPr>
      <w:b/>
      <w:w w:val="100"/>
      <w:sz w:val="21"/>
      <w:szCs w:val="21"/>
      <w:shd w:val="clear"/>
    </w:rPr>
  </w:style>
  <w:style w:type="character" w:styleId="42">
    <w:name w:val="page number"/>
    <w:basedOn w:val="40"/>
    <w:qFormat/>
    <w:uiPriority w:val="0"/>
  </w:style>
  <w:style w:type="character" w:styleId="43">
    <w:name w:val="Emphasis"/>
    <w:qFormat/>
    <w:uiPriority w:val="18"/>
    <w:rPr>
      <w:i/>
      <w:w w:val="100"/>
      <w:sz w:val="21"/>
      <w:szCs w:val="21"/>
      <w:shd w:val="clear"/>
    </w:rPr>
  </w:style>
  <w:style w:type="character" w:styleId="44">
    <w:name w:val="Hyperlink"/>
    <w:basedOn w:val="40"/>
    <w:qFormat/>
    <w:uiPriority w:val="159"/>
    <w:rPr>
      <w:color w:val="0000FF"/>
      <w:w w:val="100"/>
      <w:sz w:val="20"/>
      <w:szCs w:val="20"/>
      <w:u w:val="single"/>
      <w:shd w:val="clear"/>
    </w:rPr>
  </w:style>
  <w:style w:type="paragraph" w:customStyle="1" w:styleId="45">
    <w:name w:val="Default"/>
    <w:qFormat/>
    <w:uiPriority w:val="151"/>
    <w:pPr>
      <w:wordWrap/>
      <w:autoSpaceDE w:val="0"/>
      <w:autoSpaceDN w:val="0"/>
    </w:pPr>
    <w:rPr>
      <w:rFonts w:ascii="宋体" w:hAnsi="宋体" w:eastAsia="宋体" w:cs="宋体"/>
      <w:color w:val="000000"/>
      <w:w w:val="100"/>
      <w:sz w:val="24"/>
      <w:szCs w:val="24"/>
      <w:shd w:val="clear"/>
    </w:rPr>
  </w:style>
  <w:style w:type="paragraph" w:customStyle="1" w:styleId="46">
    <w:name w:val="正文文本缩进1"/>
    <w:basedOn w:val="1"/>
    <w:next w:val="4"/>
    <w:qFormat/>
    <w:uiPriority w:val="0"/>
    <w:pPr>
      <w:ind w:left="420" w:leftChars="200" w:firstLine="0" w:firstLineChars="0"/>
    </w:pPr>
    <w:rPr>
      <w:sz w:val="21"/>
      <w:szCs w:val="24"/>
    </w:rPr>
  </w:style>
  <w:style w:type="paragraph" w:customStyle="1" w:styleId="47">
    <w:name w:val="li_正文"/>
    <w:basedOn w:val="1"/>
    <w:qFormat/>
    <w:uiPriority w:val="0"/>
    <w:pPr>
      <w:tabs>
        <w:tab w:val="left" w:pos="2340"/>
        <w:tab w:val="left" w:pos="4320"/>
      </w:tabs>
      <w:ind w:firstLine="530" w:firstLineChars="200"/>
      <w:jc w:val="left"/>
    </w:pPr>
    <w:rPr>
      <w:rFonts w:ascii="Calibri" w:hAnsi="Calibri"/>
      <w:sz w:val="28"/>
      <w:szCs w:val="28"/>
    </w:rPr>
  </w:style>
  <w:style w:type="paragraph" w:styleId="48">
    <w:name w:val="No Spacing"/>
    <w:qFormat/>
    <w:uiPriority w:val="5"/>
    <w:pPr>
      <w:jc w:val="both"/>
    </w:pPr>
    <w:rPr>
      <w:rFonts w:ascii="Times New Roman" w:hAnsi="Times New Roman" w:eastAsia="Times New Roman" w:cs="宋体"/>
      <w:w w:val="100"/>
      <w:sz w:val="21"/>
      <w:szCs w:val="21"/>
      <w:shd w:val="clear"/>
    </w:rPr>
  </w:style>
  <w:style w:type="character" w:customStyle="1" w:styleId="49">
    <w:name w:val="Subtle Emphasis"/>
    <w:qFormat/>
    <w:uiPriority w:val="17"/>
    <w:rPr>
      <w:i/>
      <w:color w:val="404040"/>
      <w:w w:val="100"/>
      <w:sz w:val="21"/>
      <w:szCs w:val="21"/>
      <w:shd w:val="clear"/>
    </w:rPr>
  </w:style>
  <w:style w:type="character" w:customStyle="1" w:styleId="50">
    <w:name w:val="Intense Emphasis"/>
    <w:qFormat/>
    <w:uiPriority w:val="19"/>
    <w:rPr>
      <w:i/>
      <w:color w:val="5B9BD5"/>
      <w:w w:val="100"/>
      <w:sz w:val="21"/>
      <w:szCs w:val="21"/>
      <w:shd w:val="clear"/>
    </w:rPr>
  </w:style>
  <w:style w:type="paragraph" w:styleId="51">
    <w:name w:val="Quote"/>
    <w:qFormat/>
    <w:uiPriority w:val="21"/>
    <w:pPr>
      <w:ind w:left="864" w:right="864" w:firstLine="0"/>
      <w:jc w:val="center"/>
    </w:pPr>
    <w:rPr>
      <w:rFonts w:ascii="Times New Roman" w:hAnsi="Times New Roman" w:eastAsia="Times New Roman" w:cs="宋体"/>
      <w:i/>
      <w:color w:val="404040"/>
      <w:w w:val="100"/>
      <w:sz w:val="21"/>
      <w:szCs w:val="21"/>
      <w:shd w:val="clear"/>
    </w:rPr>
  </w:style>
  <w:style w:type="paragraph" w:styleId="52">
    <w:name w:val="Intense Quote"/>
    <w:qFormat/>
    <w:uiPriority w:val="22"/>
    <w:pPr>
      <w:ind w:left="950" w:right="950" w:firstLine="0"/>
      <w:jc w:val="center"/>
    </w:pPr>
    <w:rPr>
      <w:rFonts w:ascii="Times New Roman" w:hAnsi="Times New Roman" w:eastAsia="Times New Roman" w:cs="宋体"/>
      <w:i/>
      <w:color w:val="5B9BD5"/>
      <w:w w:val="100"/>
      <w:sz w:val="21"/>
      <w:szCs w:val="21"/>
      <w:shd w:val="clear"/>
    </w:rPr>
  </w:style>
  <w:style w:type="character" w:customStyle="1" w:styleId="53">
    <w:name w:val="Subtle Reference"/>
    <w:qFormat/>
    <w:uiPriority w:val="23"/>
    <w:rPr>
      <w:smallCaps/>
      <w:color w:val="5A5A5A"/>
      <w:w w:val="100"/>
      <w:sz w:val="21"/>
      <w:szCs w:val="21"/>
      <w:shd w:val="clear"/>
    </w:rPr>
  </w:style>
  <w:style w:type="character" w:customStyle="1" w:styleId="54">
    <w:name w:val="Intense Reference"/>
    <w:qFormat/>
    <w:uiPriority w:val="24"/>
    <w:rPr>
      <w:b/>
      <w:smallCaps/>
      <w:color w:val="5B9BD5"/>
      <w:w w:val="100"/>
      <w:sz w:val="21"/>
      <w:szCs w:val="21"/>
      <w:shd w:val="clear"/>
    </w:rPr>
  </w:style>
  <w:style w:type="character" w:customStyle="1" w:styleId="55">
    <w:name w:val="Book Title"/>
    <w:qFormat/>
    <w:uiPriority w:val="25"/>
    <w:rPr>
      <w:b/>
      <w:i/>
      <w:w w:val="100"/>
      <w:sz w:val="21"/>
      <w:szCs w:val="21"/>
      <w:shd w:val="clear"/>
    </w:rPr>
  </w:style>
  <w:style w:type="paragraph" w:styleId="56">
    <w:name w:val="List Paragraph"/>
    <w:qFormat/>
    <w:uiPriority w:val="26"/>
    <w:pPr>
      <w:ind w:left="850" w:firstLine="0"/>
      <w:jc w:val="both"/>
    </w:pPr>
    <w:rPr>
      <w:rFonts w:ascii="Times New Roman" w:hAnsi="Times New Roman" w:eastAsia="Times New Roman" w:cs="宋体"/>
      <w:w w:val="100"/>
      <w:sz w:val="21"/>
      <w:szCs w:val="21"/>
      <w:shd w:val="clear"/>
    </w:rPr>
  </w:style>
  <w:style w:type="paragraph" w:customStyle="1" w:styleId="57">
    <w:name w:val="TOC Heading"/>
    <w:unhideWhenUsed/>
    <w:qFormat/>
    <w:uiPriority w:val="27"/>
    <w:rPr>
      <w:rFonts w:ascii="Times New Roman" w:hAnsi="Times New Roman" w:eastAsia="Times New Roman" w:cs="宋体"/>
      <w:color w:val="2E74B5"/>
      <w:w w:val="100"/>
      <w:sz w:val="32"/>
      <w:szCs w:val="32"/>
      <w:shd w:val="clear"/>
    </w:rPr>
  </w:style>
  <w:style w:type="paragraph" w:customStyle="1" w:styleId="58">
    <w:name w:val="Plain Text"/>
    <w:basedOn w:val="1"/>
    <w:qFormat/>
    <w:uiPriority w:val="154"/>
    <w:rPr>
      <w:rFonts w:ascii="宋体" w:hAnsi="宋体" w:eastAsia="Courier New"/>
      <w:w w:val="100"/>
      <w:sz w:val="21"/>
      <w:szCs w:val="21"/>
      <w:shd w:val="clear"/>
    </w:rPr>
  </w:style>
  <w:style w:type="paragraph" w:customStyle="1" w:styleId="59">
    <w:name w:val="表内容"/>
    <w:basedOn w:val="1"/>
    <w:qFormat/>
    <w:uiPriority w:val="160"/>
    <w:pPr>
      <w:widowControl/>
      <w:wordWrap/>
      <w:autoSpaceDE/>
      <w:autoSpaceDN/>
      <w:jc w:val="center"/>
    </w:pPr>
    <w:rPr>
      <w:rFonts w:ascii="宋体" w:hAnsi="宋体" w:eastAsia="宋体"/>
      <w:w w:val="100"/>
      <w:sz w:val="18"/>
      <w:szCs w:val="18"/>
      <w:shd w:val="clear"/>
    </w:rPr>
  </w:style>
  <w:style w:type="paragraph" w:customStyle="1" w:styleId="60">
    <w:name w:val="表格内容"/>
    <w:basedOn w:val="1"/>
    <w:next w:val="61"/>
    <w:qFormat/>
    <w:uiPriority w:val="161"/>
    <w:pPr>
      <w:widowControl/>
      <w:wordWrap/>
      <w:autoSpaceDE/>
      <w:autoSpaceDN/>
      <w:jc w:val="center"/>
    </w:pPr>
    <w:rPr>
      <w:w w:val="100"/>
      <w:sz w:val="21"/>
      <w:szCs w:val="21"/>
      <w:shd w:val="clear"/>
    </w:rPr>
  </w:style>
  <w:style w:type="paragraph" w:customStyle="1" w:styleId="61">
    <w:name w:val="文本正文"/>
    <w:basedOn w:val="1"/>
    <w:qFormat/>
    <w:uiPriority w:val="0"/>
    <w:pPr>
      <w:spacing w:line="360" w:lineRule="auto"/>
      <w:ind w:firstLine="480" w:firstLineChars="200"/>
    </w:pPr>
    <w:rPr>
      <w:sz w:val="24"/>
      <w:szCs w:val="24"/>
    </w:rPr>
  </w:style>
  <w:style w:type="paragraph" w:customStyle="1" w:styleId="62">
    <w:name w:val="Normal (Web)"/>
    <w:basedOn w:val="1"/>
    <w:qFormat/>
    <w:uiPriority w:val="162"/>
    <w:pPr>
      <w:widowControl/>
      <w:wordWrap/>
      <w:autoSpaceDE/>
      <w:autoSpaceDN/>
    </w:pPr>
    <w:rPr>
      <w:rFonts w:ascii="宋体" w:hAnsi="宋体" w:eastAsia="宋体"/>
      <w:w w:val="100"/>
      <w:sz w:val="20"/>
      <w:szCs w:val="20"/>
      <w:shd w:val="clear"/>
    </w:rPr>
  </w:style>
  <w:style w:type="paragraph" w:customStyle="1" w:styleId="63">
    <w:name w:val="样式 样式 样式 四号 左侧:  1.53 厘米 + 首行缩进:  2 字符 + 居中 左侧:  2 字符 首行缩进:  2..."/>
    <w:qFormat/>
    <w:uiPriority w:val="163"/>
    <w:pPr>
      <w:widowControl/>
      <w:wordWrap/>
      <w:autoSpaceDE/>
      <w:autoSpaceDN/>
      <w:jc w:val="center"/>
    </w:pPr>
    <w:rPr>
      <w:rFonts w:ascii="Times New Roman" w:hAnsi="Times New Roman" w:eastAsia="Times New Roman" w:cs="宋体"/>
      <w:w w:val="100"/>
      <w:sz w:val="20"/>
      <w:szCs w:val="20"/>
      <w:shd w:val="clear"/>
    </w:rPr>
  </w:style>
  <w:style w:type="paragraph" w:customStyle="1" w:styleId="64">
    <w:name w:val="样式 样式 四号 左侧:  1.53 厘米 + 首行缩进:  2 字符"/>
    <w:qFormat/>
    <w:uiPriority w:val="164"/>
    <w:pPr>
      <w:widowControl/>
      <w:wordWrap/>
      <w:autoSpaceDE/>
      <w:autoSpaceDN/>
      <w:ind w:left="200" w:firstLine="0"/>
    </w:pPr>
    <w:rPr>
      <w:rFonts w:ascii="Times New Roman" w:hAnsi="Times New Roman" w:eastAsia="Times New Roman" w:cs="宋体"/>
      <w:w w:val="100"/>
      <w:sz w:val="20"/>
      <w:szCs w:val="20"/>
      <w:shd w:val="clear"/>
    </w:rPr>
  </w:style>
  <w:style w:type="paragraph" w:customStyle="1" w:styleId="65">
    <w:name w:val="样式 四号 左侧:  1.53 厘米"/>
    <w:basedOn w:val="1"/>
    <w:qFormat/>
    <w:uiPriority w:val="165"/>
    <w:pPr>
      <w:widowControl/>
      <w:wordWrap/>
      <w:autoSpaceDE/>
      <w:autoSpaceDN/>
    </w:pPr>
    <w:rPr>
      <w:w w:val="90"/>
      <w:sz w:val="28"/>
      <w:szCs w:val="28"/>
      <w:shd w:val="clear"/>
    </w:rPr>
  </w:style>
  <w:style w:type="paragraph" w:customStyle="1" w:styleId="66">
    <w:name w:val="表标题"/>
    <w:qFormat/>
    <w:uiPriority w:val="166"/>
    <w:pPr>
      <w:widowControl/>
      <w:wordWrap/>
      <w:autoSpaceDE/>
      <w:autoSpaceDN/>
      <w:ind w:firstLine="0"/>
      <w:jc w:val="center"/>
    </w:pPr>
    <w:rPr>
      <w:rFonts w:ascii="Times New Roman" w:hAnsi="Times New Roman" w:eastAsia="Times New Roman" w:cs="宋体"/>
      <w:b/>
      <w:w w:val="100"/>
      <w:sz w:val="24"/>
      <w:szCs w:val="24"/>
      <w:shd w:val="clear"/>
    </w:rPr>
  </w:style>
  <w:style w:type="paragraph" w:customStyle="1" w:styleId="67">
    <w:name w:val="Body Text First Indent"/>
    <w:basedOn w:val="18"/>
    <w:qFormat/>
    <w:uiPriority w:val="167"/>
    <w:pPr>
      <w:widowControl/>
      <w:wordWrap/>
      <w:autoSpaceDE/>
      <w:autoSpaceDN/>
      <w:ind w:firstLine="420"/>
    </w:pPr>
    <w:rPr>
      <w:w w:val="100"/>
      <w:sz w:val="21"/>
      <w:szCs w:val="21"/>
      <w:shd w:val="clear"/>
    </w:rPr>
  </w:style>
  <w:style w:type="paragraph" w:customStyle="1" w:styleId="68">
    <w:name w:val="表格"/>
    <w:basedOn w:val="1"/>
    <w:qFormat/>
    <w:uiPriority w:val="168"/>
    <w:pPr>
      <w:widowControl/>
      <w:wordWrap/>
      <w:autoSpaceDE/>
      <w:autoSpaceDN/>
      <w:jc w:val="center"/>
    </w:pPr>
  </w:style>
  <w:style w:type="character" w:customStyle="1" w:styleId="69">
    <w:name w:val="正文文本 (2)_"/>
    <w:basedOn w:val="40"/>
    <w:link w:val="70"/>
    <w:unhideWhenUsed/>
    <w:qFormat/>
    <w:uiPriority w:val="169"/>
    <w:rPr>
      <w:rFonts w:ascii="微软雅黑" w:hAnsi="微软雅黑" w:eastAsia="微软雅黑" w:cs="微软雅黑"/>
      <w:sz w:val="12"/>
      <w:szCs w:val="12"/>
      <w:u w:val="none"/>
    </w:rPr>
  </w:style>
  <w:style w:type="paragraph" w:customStyle="1" w:styleId="70">
    <w:name w:val="正文文本 (2)1"/>
    <w:basedOn w:val="1"/>
    <w:link w:val="69"/>
    <w:qFormat/>
    <w:uiPriority w:val="0"/>
    <w:pPr>
      <w:widowControl w:val="0"/>
      <w:shd w:val="clear" w:color="auto" w:fill="FFFFFF"/>
      <w:spacing w:after="60" w:line="0" w:lineRule="exact"/>
    </w:pPr>
    <w:rPr>
      <w:rFonts w:ascii="微软雅黑" w:hAnsi="微软雅黑" w:eastAsia="微软雅黑" w:cs="微软雅黑"/>
      <w:sz w:val="12"/>
      <w:szCs w:val="12"/>
      <w:u w:val="none"/>
    </w:rPr>
  </w:style>
  <w:style w:type="paragraph" w:customStyle="1" w:styleId="71">
    <w:name w:val="正文文本 (2)"/>
    <w:basedOn w:val="1"/>
    <w:link w:val="69"/>
    <w:unhideWhenUsed/>
    <w:qFormat/>
    <w:uiPriority w:val="170"/>
    <w:pPr>
      <w:widowControl/>
      <w:shd w:val="clear" w:color="000000" w:fill="FFFFFF"/>
      <w:wordWrap/>
      <w:autoSpaceDE/>
      <w:autoSpaceDN/>
      <w:jc w:val="distribute"/>
    </w:pPr>
    <w:rPr>
      <w:rFonts w:ascii="微软雅黑" w:hAnsi="微软雅黑" w:eastAsia="微软雅黑"/>
      <w:w w:val="100"/>
      <w:sz w:val="13"/>
      <w:szCs w:val="13"/>
      <w:shd w:val="clear"/>
    </w:rPr>
  </w:style>
  <w:style w:type="paragraph" w:customStyle="1" w:styleId="72">
    <w:name w:val="列出段落"/>
    <w:basedOn w:val="1"/>
    <w:qFormat/>
    <w:uiPriority w:val="171"/>
    <w:pPr>
      <w:wordWrap/>
      <w:autoSpaceDE/>
      <w:autoSpaceDN/>
      <w:ind w:firstLine="420"/>
      <w:jc w:val="both"/>
    </w:pPr>
    <w:rPr>
      <w:rFonts w:ascii="Times New Roman" w:hAnsi="Times New Roman" w:eastAsia="宋体"/>
      <w:w w:val="100"/>
      <w:sz w:val="21"/>
      <w:szCs w:val="21"/>
      <w:shd w:val="clear"/>
    </w:rPr>
  </w:style>
  <w:style w:type="paragraph" w:customStyle="1" w:styleId="73">
    <w:name w:val="内容"/>
    <w:qFormat/>
    <w:uiPriority w:val="172"/>
    <w:pPr>
      <w:widowControl/>
      <w:wordWrap/>
      <w:autoSpaceDE/>
      <w:autoSpaceDN/>
      <w:ind w:firstLine="480"/>
    </w:pPr>
    <w:rPr>
      <w:rFonts w:ascii="Calibri" w:hAnsi="Calibri" w:eastAsia="宋体" w:cs="宋体"/>
      <w:w w:val="100"/>
      <w:sz w:val="24"/>
      <w:szCs w:val="24"/>
      <w:shd w:val="clear"/>
    </w:rPr>
  </w:style>
  <w:style w:type="paragraph" w:customStyle="1" w:styleId="74">
    <w:name w:val="陈光的正文"/>
    <w:basedOn w:val="1"/>
    <w:qFormat/>
    <w:uiPriority w:val="173"/>
    <w:pPr>
      <w:wordWrap/>
      <w:autoSpaceDE/>
      <w:autoSpaceDN/>
      <w:ind w:firstLine="560"/>
      <w:jc w:val="both"/>
    </w:pPr>
    <w:rPr>
      <w:rFonts w:ascii="Times New Roman" w:hAnsi="Times New Roman" w:eastAsia="Times New Roman"/>
      <w:w w:val="100"/>
      <w:sz w:val="20"/>
      <w:szCs w:val="20"/>
      <w:shd w:val="clear"/>
    </w:rPr>
  </w:style>
  <w:style w:type="character" w:customStyle="1" w:styleId="75">
    <w:name w:val="标题 2 Char"/>
    <w:link w:val="7"/>
    <w:qFormat/>
    <w:uiPriority w:val="174"/>
    <w:rPr>
      <w:rFonts w:ascii="Arial" w:hAnsi="Arial" w:eastAsia="黑体"/>
      <w:b/>
      <w:w w:val="100"/>
      <w:sz w:val="32"/>
      <w:szCs w:val="32"/>
      <w:shd w:val="clear"/>
    </w:rPr>
  </w:style>
  <w:style w:type="character" w:customStyle="1" w:styleId="76">
    <w:name w:val="正文文本 (2) + Arial Narrow"/>
    <w:basedOn w:val="69"/>
    <w:qFormat/>
    <w:uiPriority w:val="175"/>
    <w:rPr>
      <w:rFonts w:ascii="Arial Narrow" w:hAnsi="Arial Narrow" w:eastAsia="Arial Narrow"/>
      <w:color w:val="000000"/>
      <w:w w:val="100"/>
      <w:sz w:val="13"/>
      <w:szCs w:val="13"/>
      <w:shd w:val="clear"/>
    </w:rPr>
  </w:style>
  <w:style w:type="character" w:customStyle="1" w:styleId="77">
    <w:name w:val="正文文本 (2) + SimSun"/>
    <w:basedOn w:val="69"/>
    <w:qFormat/>
    <w:uiPriority w:val="176"/>
    <w:rPr>
      <w:rFonts w:ascii="宋体" w:hAnsi="宋体" w:eastAsia="宋体"/>
      <w:color w:val="000000"/>
      <w:w w:val="100"/>
      <w:sz w:val="14"/>
      <w:szCs w:val="14"/>
      <w:shd w:val="clear"/>
    </w:rPr>
  </w:style>
  <w:style w:type="character" w:customStyle="1" w:styleId="78">
    <w:name w:val="正文文本 (2) + 6 pt"/>
    <w:basedOn w:val="69"/>
    <w:qFormat/>
    <w:uiPriority w:val="177"/>
    <w:rPr>
      <w:color w:val="000000"/>
      <w:w w:val="100"/>
      <w:sz w:val="12"/>
      <w:szCs w:val="12"/>
      <w:shd w:val="clear"/>
    </w:rPr>
  </w:style>
  <w:style w:type="character" w:customStyle="1" w:styleId="79">
    <w:name w:val="正文文本 (2) + 间距 1 pt"/>
    <w:basedOn w:val="69"/>
    <w:qFormat/>
    <w:uiPriority w:val="178"/>
    <w:rPr>
      <w:color w:val="000000"/>
      <w:spacing w:val="30"/>
      <w:w w:val="100"/>
      <w:sz w:val="20"/>
      <w:szCs w:val="20"/>
      <w:shd w:val="clear"/>
    </w:rPr>
  </w:style>
  <w:style w:type="character" w:customStyle="1" w:styleId="80">
    <w:name w:val="正文文本 (2) + Times New Roman"/>
    <w:basedOn w:val="69"/>
    <w:qFormat/>
    <w:uiPriority w:val="179"/>
    <w:rPr>
      <w:rFonts w:ascii="Times New Roman" w:hAnsi="Times New Roman" w:eastAsia="Times New Roman"/>
      <w:color w:val="000000"/>
      <w:w w:val="100"/>
      <w:sz w:val="20"/>
      <w:szCs w:val="20"/>
      <w:shd w:val="clear"/>
    </w:rPr>
  </w:style>
  <w:style w:type="character" w:customStyle="1" w:styleId="81">
    <w:name w:val="正文文本 (2) + 间距 -1 pt"/>
    <w:basedOn w:val="69"/>
    <w:qFormat/>
    <w:uiPriority w:val="180"/>
    <w:rPr>
      <w:color w:val="000000"/>
      <w:spacing w:val="-20"/>
      <w:w w:val="100"/>
      <w:sz w:val="13"/>
      <w:szCs w:val="13"/>
      <w:shd w:val="clear"/>
    </w:rPr>
  </w:style>
  <w:style w:type="character" w:customStyle="1" w:styleId="82">
    <w:name w:val="正文文本 (4)"/>
    <w:qFormat/>
    <w:uiPriority w:val="181"/>
    <w:rPr>
      <w:color w:val="000000"/>
      <w:w w:val="100"/>
      <w:sz w:val="20"/>
      <w:szCs w:val="20"/>
      <w:shd w:val="clear"/>
    </w:rPr>
  </w:style>
  <w:style w:type="character" w:customStyle="1" w:styleId="83">
    <w:name w:val="正文文本 (4)_"/>
    <w:basedOn w:val="40"/>
    <w:link w:val="84"/>
    <w:qFormat/>
    <w:uiPriority w:val="182"/>
    <w:rPr>
      <w:rFonts w:ascii="微软雅黑" w:hAnsi="微软雅黑" w:eastAsia="微软雅黑"/>
      <w:w w:val="100"/>
      <w:sz w:val="12"/>
      <w:szCs w:val="12"/>
      <w:u w:val="none"/>
      <w:shd w:val="clear"/>
    </w:rPr>
  </w:style>
  <w:style w:type="paragraph" w:customStyle="1" w:styleId="84">
    <w:name w:val="正文文本 (4)1"/>
    <w:basedOn w:val="1"/>
    <w:link w:val="83"/>
    <w:qFormat/>
    <w:uiPriority w:val="183"/>
    <w:pPr>
      <w:shd w:val="clear" w:color="000000" w:fill="FFFFFF"/>
      <w:wordWrap/>
      <w:autoSpaceDE/>
      <w:autoSpaceDN/>
      <w:ind w:firstLine="700"/>
    </w:pPr>
    <w:rPr>
      <w:rFonts w:ascii="微软雅黑" w:hAnsi="微软雅黑" w:eastAsia="微软雅黑"/>
      <w:w w:val="100"/>
      <w:sz w:val="12"/>
      <w:szCs w:val="12"/>
      <w:u w:val="none"/>
      <w:shd w:val="clear"/>
    </w:rPr>
  </w:style>
  <w:style w:type="character" w:customStyle="1" w:styleId="85">
    <w:name w:val="正文文本 (2) + 间距 0 pt"/>
    <w:basedOn w:val="69"/>
    <w:qFormat/>
    <w:uiPriority w:val="184"/>
    <w:rPr>
      <w:color w:val="000000"/>
      <w:spacing w:val="-10"/>
      <w:w w:val="100"/>
      <w:sz w:val="12"/>
      <w:szCs w:val="12"/>
      <w:shd w:val="clear"/>
    </w:rPr>
  </w:style>
  <w:style w:type="character" w:customStyle="1" w:styleId="86">
    <w:name w:val="font11"/>
    <w:basedOn w:val="40"/>
    <w:qFormat/>
    <w:uiPriority w:val="185"/>
    <w:rPr>
      <w:rFonts w:ascii="宋体" w:hAnsi="宋体" w:eastAsia="宋体"/>
      <w:color w:val="000000"/>
      <w:w w:val="100"/>
      <w:sz w:val="20"/>
      <w:szCs w:val="20"/>
      <w:u w:val="none"/>
      <w:shd w:val="clear"/>
    </w:rPr>
  </w:style>
  <w:style w:type="character" w:customStyle="1" w:styleId="87">
    <w:name w:val="正文文本 (4) + 间距 0 pt"/>
    <w:basedOn w:val="83"/>
    <w:qFormat/>
    <w:uiPriority w:val="186"/>
    <w:rPr>
      <w:color w:val="000000"/>
      <w:w w:val="100"/>
      <w:sz w:val="12"/>
      <w:szCs w:val="12"/>
      <w:shd w:val="clear"/>
    </w:rPr>
  </w:style>
  <w:style w:type="character" w:customStyle="1" w:styleId="88">
    <w:name w:val="正文文本 (2) + Century Schoolbook"/>
    <w:basedOn w:val="69"/>
    <w:qFormat/>
    <w:uiPriority w:val="187"/>
    <w:rPr>
      <w:rFonts w:ascii="Century Schoolbook" w:hAnsi="Century Schoolbook" w:eastAsia="Century Schoolbook"/>
      <w:color w:val="000000"/>
      <w:w w:val="100"/>
      <w:sz w:val="13"/>
      <w:szCs w:val="13"/>
      <w:shd w:val="clear"/>
    </w:rPr>
  </w:style>
  <w:style w:type="character" w:customStyle="1" w:styleId="89">
    <w:name w:val="正文文本 (3)"/>
    <w:qFormat/>
    <w:uiPriority w:val="188"/>
    <w:rPr>
      <w:color w:val="000000"/>
      <w:w w:val="100"/>
      <w:sz w:val="20"/>
      <w:szCs w:val="20"/>
      <w:shd w:val="clear"/>
    </w:rPr>
  </w:style>
  <w:style w:type="character" w:customStyle="1" w:styleId="90">
    <w:name w:val="正文文本 (3)_"/>
    <w:basedOn w:val="40"/>
    <w:link w:val="91"/>
    <w:qFormat/>
    <w:uiPriority w:val="189"/>
    <w:rPr>
      <w:rFonts w:ascii="微软雅黑" w:hAnsi="微软雅黑" w:eastAsia="微软雅黑"/>
      <w:w w:val="100"/>
      <w:sz w:val="12"/>
      <w:szCs w:val="12"/>
      <w:u w:val="none"/>
      <w:shd w:val="clear"/>
    </w:rPr>
  </w:style>
  <w:style w:type="paragraph" w:customStyle="1" w:styleId="91">
    <w:name w:val="正文文本 (3)1"/>
    <w:basedOn w:val="1"/>
    <w:link w:val="90"/>
    <w:qFormat/>
    <w:uiPriority w:val="190"/>
    <w:pPr>
      <w:shd w:val="clear" w:color="000000" w:fill="FFFFFF"/>
      <w:wordWrap/>
      <w:autoSpaceDE/>
      <w:autoSpaceDN/>
      <w:ind w:firstLine="240"/>
      <w:jc w:val="distribute"/>
    </w:pPr>
    <w:rPr>
      <w:rFonts w:ascii="微软雅黑" w:hAnsi="微软雅黑" w:eastAsia="微软雅黑"/>
      <w:w w:val="100"/>
      <w:sz w:val="12"/>
      <w:szCs w:val="12"/>
      <w:u w:val="none"/>
      <w:shd w:val="clear"/>
    </w:rPr>
  </w:style>
  <w:style w:type="character" w:customStyle="1" w:styleId="92">
    <w:name w:val="正文文本 (3) + Times New Roman"/>
    <w:basedOn w:val="90"/>
    <w:qFormat/>
    <w:uiPriority w:val="191"/>
    <w:rPr>
      <w:rFonts w:ascii="Times New Roman" w:hAnsi="Times New Roman" w:eastAsia="Times New Roman"/>
      <w:color w:val="000000"/>
      <w:w w:val="100"/>
      <w:sz w:val="14"/>
      <w:szCs w:val="14"/>
      <w:shd w:val="clear"/>
    </w:rPr>
  </w:style>
  <w:style w:type="character" w:customStyle="1" w:styleId="93">
    <w:name w:val="正文文本 (2) + 粗体"/>
    <w:basedOn w:val="69"/>
    <w:qFormat/>
    <w:uiPriority w:val="192"/>
    <w:rPr>
      <w:b/>
      <w:color w:val="000000"/>
      <w:w w:val="100"/>
      <w:sz w:val="20"/>
      <w:szCs w:val="20"/>
      <w:shd w:val="clear"/>
    </w:rPr>
  </w:style>
  <w:style w:type="paragraph" w:customStyle="1" w:styleId="94">
    <w:name w:val="标题 #1"/>
    <w:basedOn w:val="1"/>
    <w:link w:val="96"/>
    <w:qFormat/>
    <w:uiPriority w:val="0"/>
    <w:pPr>
      <w:widowControl w:val="0"/>
      <w:shd w:val="clear" w:color="auto" w:fill="FFFFFF"/>
      <w:spacing w:line="277" w:lineRule="exact"/>
      <w:jc w:val="distribute"/>
      <w:outlineLvl w:val="0"/>
    </w:pPr>
    <w:rPr>
      <w:rFonts w:ascii="微软雅黑" w:hAnsi="微软雅黑" w:eastAsia="微软雅黑" w:cs="微软雅黑"/>
      <w:sz w:val="13"/>
      <w:szCs w:val="13"/>
      <w:u w:val="none"/>
    </w:rPr>
  </w:style>
  <w:style w:type="character" w:customStyle="1" w:styleId="95">
    <w:name w:val="标题 #1 + Times New Roman"/>
    <w:basedOn w:val="96"/>
    <w:qFormat/>
    <w:uiPriority w:val="0"/>
    <w:rPr>
      <w:rFonts w:ascii="Times New Roman" w:hAnsi="Times New Roman" w:eastAsia="Times New Roman" w:cs="Times New Roman"/>
      <w:i/>
      <w:iCs/>
      <w:color w:val="000000"/>
      <w:spacing w:val="0"/>
      <w:w w:val="100"/>
      <w:position w:val="0"/>
      <w:sz w:val="8"/>
      <w:szCs w:val="8"/>
      <w:lang w:val="zh-CN" w:eastAsia="zh-CN" w:bidi="zh-CN"/>
    </w:rPr>
  </w:style>
  <w:style w:type="character" w:customStyle="1" w:styleId="96">
    <w:name w:val="标题 #1_"/>
    <w:basedOn w:val="40"/>
    <w:link w:val="94"/>
    <w:qFormat/>
    <w:uiPriority w:val="0"/>
    <w:rPr>
      <w:rFonts w:ascii="微软雅黑" w:hAnsi="微软雅黑" w:eastAsia="微软雅黑" w:cs="微软雅黑"/>
      <w:sz w:val="13"/>
      <w:szCs w:val="13"/>
      <w:u w:val="none"/>
    </w:rPr>
  </w:style>
  <w:style w:type="paragraph" w:customStyle="1" w:styleId="97">
    <w:name w:val="页眉或页脚1"/>
    <w:basedOn w:val="1"/>
    <w:link w:val="99"/>
    <w:qFormat/>
    <w:uiPriority w:val="0"/>
    <w:pPr>
      <w:widowControl w:val="0"/>
      <w:shd w:val="clear" w:color="auto" w:fill="FFFFFF"/>
      <w:spacing w:line="0" w:lineRule="exact"/>
    </w:pPr>
    <w:rPr>
      <w:rFonts w:ascii="Times New Roman" w:hAnsi="Times New Roman" w:eastAsia="Times New Roman" w:cs="Times New Roman"/>
      <w:spacing w:val="0"/>
      <w:sz w:val="12"/>
      <w:szCs w:val="12"/>
      <w:u w:val="none"/>
      <w:lang w:val="en-US" w:eastAsia="en-US" w:bidi="en-US"/>
    </w:rPr>
  </w:style>
  <w:style w:type="character" w:customStyle="1" w:styleId="98">
    <w:name w:val="页眉或页脚"/>
    <w:basedOn w:val="99"/>
    <w:qFormat/>
    <w:uiPriority w:val="0"/>
    <w:rPr>
      <w:color w:val="000000"/>
      <w:w w:val="100"/>
      <w:position w:val="0"/>
    </w:rPr>
  </w:style>
  <w:style w:type="character" w:customStyle="1" w:styleId="99">
    <w:name w:val="页眉或页脚_"/>
    <w:basedOn w:val="40"/>
    <w:link w:val="97"/>
    <w:qFormat/>
    <w:uiPriority w:val="0"/>
    <w:rPr>
      <w:rFonts w:ascii="Times New Roman" w:hAnsi="Times New Roman" w:eastAsia="Times New Roman" w:cs="Times New Roman"/>
      <w:spacing w:val="0"/>
      <w:sz w:val="12"/>
      <w:szCs w:val="12"/>
      <w:u w:val="none"/>
      <w:lang w:val="en-US" w:eastAsia="en-US" w:bidi="en-US"/>
    </w:rPr>
  </w:style>
  <w:style w:type="paragraph" w:customStyle="1" w:styleId="100">
    <w:name w:val="正文文本 (8)"/>
    <w:basedOn w:val="1"/>
    <w:link w:val="102"/>
    <w:qFormat/>
    <w:uiPriority w:val="0"/>
    <w:pPr>
      <w:widowControl w:val="0"/>
      <w:shd w:val="clear" w:color="auto" w:fill="FFFFFF"/>
      <w:spacing w:before="60" w:after="180" w:line="0" w:lineRule="exact"/>
    </w:pPr>
    <w:rPr>
      <w:rFonts w:ascii="微软雅黑" w:hAnsi="微软雅黑" w:eastAsia="微软雅黑" w:cs="微软雅黑"/>
      <w:sz w:val="11"/>
      <w:szCs w:val="11"/>
      <w:u w:val="none"/>
    </w:rPr>
  </w:style>
  <w:style w:type="character" w:customStyle="1" w:styleId="101">
    <w:name w:val="正文文本 (8) + Arial Unicode MS"/>
    <w:basedOn w:val="102"/>
    <w:qFormat/>
    <w:uiPriority w:val="0"/>
    <w:rPr>
      <w:rFonts w:ascii="Arial Unicode MS" w:hAnsi="Arial Unicode MS" w:eastAsia="Arial Unicode MS" w:cs="Arial Unicode MS"/>
      <w:color w:val="000000"/>
      <w:spacing w:val="0"/>
      <w:w w:val="100"/>
      <w:position w:val="0"/>
      <w:sz w:val="12"/>
      <w:szCs w:val="12"/>
      <w:lang w:val="en-US" w:eastAsia="en-US" w:bidi="en-US"/>
    </w:rPr>
  </w:style>
  <w:style w:type="character" w:customStyle="1" w:styleId="102">
    <w:name w:val="正文文本 (8)_"/>
    <w:basedOn w:val="40"/>
    <w:link w:val="100"/>
    <w:qFormat/>
    <w:uiPriority w:val="0"/>
    <w:rPr>
      <w:rFonts w:ascii="微软雅黑" w:hAnsi="微软雅黑" w:eastAsia="微软雅黑" w:cs="微软雅黑"/>
      <w:sz w:val="11"/>
      <w:szCs w:val="11"/>
      <w:u w:val="none"/>
    </w:rPr>
  </w:style>
  <w:style w:type="character" w:customStyle="1" w:styleId="103">
    <w:name w:val="正文文本 (8) + 间距 0 pt"/>
    <w:basedOn w:val="102"/>
    <w:qFormat/>
    <w:uiPriority w:val="0"/>
    <w:rPr>
      <w:color w:val="000000"/>
      <w:spacing w:val="-10"/>
      <w:w w:val="100"/>
      <w:position w:val="0"/>
      <w:sz w:val="11"/>
      <w:szCs w:val="11"/>
      <w:lang w:val="en-US" w:eastAsia="en-US" w:bidi="en-US"/>
    </w:rPr>
  </w:style>
  <w:style w:type="paragraph" w:customStyle="1" w:styleId="104">
    <w:name w:val="正文文本 (5)"/>
    <w:basedOn w:val="1"/>
    <w:link w:val="106"/>
    <w:qFormat/>
    <w:uiPriority w:val="0"/>
    <w:pPr>
      <w:widowControl w:val="0"/>
      <w:shd w:val="clear" w:color="auto" w:fill="FFFFFF"/>
      <w:spacing w:line="0" w:lineRule="exact"/>
      <w:jc w:val="both"/>
    </w:pPr>
    <w:rPr>
      <w:rFonts w:ascii="微软雅黑" w:hAnsi="微软雅黑" w:eastAsia="微软雅黑" w:cs="微软雅黑"/>
      <w:sz w:val="13"/>
      <w:szCs w:val="13"/>
      <w:u w:val="none"/>
    </w:rPr>
  </w:style>
  <w:style w:type="character" w:customStyle="1" w:styleId="105">
    <w:name w:val="正文文本 (5) + 6 pt"/>
    <w:basedOn w:val="106"/>
    <w:qFormat/>
    <w:uiPriority w:val="0"/>
    <w:rPr>
      <w:color w:val="000000"/>
      <w:spacing w:val="-10"/>
      <w:w w:val="100"/>
      <w:position w:val="0"/>
      <w:sz w:val="12"/>
      <w:szCs w:val="12"/>
      <w:lang w:val="en-US" w:eastAsia="en-US" w:bidi="en-US"/>
    </w:rPr>
  </w:style>
  <w:style w:type="character" w:customStyle="1" w:styleId="106">
    <w:name w:val="正文文本 (5)_"/>
    <w:basedOn w:val="40"/>
    <w:link w:val="104"/>
    <w:qFormat/>
    <w:uiPriority w:val="0"/>
    <w:rPr>
      <w:rFonts w:ascii="微软雅黑" w:hAnsi="微软雅黑" w:eastAsia="微软雅黑" w:cs="微软雅黑"/>
      <w:sz w:val="13"/>
      <w:szCs w:val="13"/>
      <w:u w:val="none"/>
    </w:rPr>
  </w:style>
  <w:style w:type="character" w:customStyle="1" w:styleId="107">
    <w:name w:val="正文文本 (5) + Arial Unicode MS"/>
    <w:basedOn w:val="106"/>
    <w:qFormat/>
    <w:uiPriority w:val="0"/>
    <w:rPr>
      <w:rFonts w:ascii="Arial Unicode MS" w:hAnsi="Arial Unicode MS" w:eastAsia="Arial Unicode MS" w:cs="Arial Unicode MS"/>
      <w:color w:val="000000"/>
      <w:spacing w:val="0"/>
      <w:w w:val="100"/>
      <w:position w:val="0"/>
      <w:sz w:val="12"/>
      <w:szCs w:val="12"/>
      <w:lang w:val="en-US" w:eastAsia="en-US" w:bidi="en-US"/>
    </w:rPr>
  </w:style>
  <w:style w:type="character" w:customStyle="1" w:styleId="108">
    <w:name w:val="正文文本 (5) Exact"/>
    <w:basedOn w:val="40"/>
    <w:qFormat/>
    <w:uiPriority w:val="0"/>
    <w:rPr>
      <w:rFonts w:ascii="微软雅黑" w:hAnsi="微软雅黑" w:eastAsia="微软雅黑" w:cs="微软雅黑"/>
      <w:sz w:val="13"/>
      <w:szCs w:val="13"/>
      <w:u w:val="none"/>
    </w:rPr>
  </w:style>
  <w:style w:type="paragraph" w:customStyle="1" w:styleId="109">
    <w:name w:val="正文文本 (9)"/>
    <w:basedOn w:val="1"/>
    <w:qFormat/>
    <w:uiPriority w:val="0"/>
    <w:pPr>
      <w:widowControl w:val="0"/>
      <w:shd w:val="clear" w:color="auto" w:fill="FFFFFF"/>
      <w:spacing w:line="0" w:lineRule="exact"/>
    </w:pPr>
    <w:rPr>
      <w:rFonts w:ascii="微软雅黑" w:hAnsi="微软雅黑" w:eastAsia="微软雅黑" w:cs="微软雅黑"/>
      <w:i/>
      <w:iCs/>
      <w:spacing w:val="-10"/>
      <w:sz w:val="13"/>
      <w:szCs w:val="13"/>
      <w:u w:val="none"/>
      <w:lang w:val="en-US" w:eastAsia="en-US" w:bidi="en-US"/>
    </w:rPr>
  </w:style>
  <w:style w:type="paragraph" w:customStyle="1" w:styleId="110">
    <w:name w:val="正文文本 (10)"/>
    <w:basedOn w:val="1"/>
    <w:link w:val="112"/>
    <w:qFormat/>
    <w:uiPriority w:val="0"/>
    <w:pPr>
      <w:widowControl w:val="0"/>
      <w:shd w:val="clear" w:color="auto" w:fill="FFFFFF"/>
      <w:spacing w:before="60" w:line="217" w:lineRule="exact"/>
      <w:jc w:val="distribute"/>
    </w:pPr>
    <w:rPr>
      <w:rFonts w:ascii="微软雅黑" w:hAnsi="微软雅黑" w:eastAsia="微软雅黑" w:cs="微软雅黑"/>
      <w:spacing w:val="20"/>
      <w:sz w:val="11"/>
      <w:szCs w:val="11"/>
      <w:u w:val="none"/>
    </w:rPr>
  </w:style>
  <w:style w:type="character" w:customStyle="1" w:styleId="111">
    <w:name w:val="正文文本 (10) + 间距 1 pt"/>
    <w:basedOn w:val="112"/>
    <w:qFormat/>
    <w:uiPriority w:val="0"/>
    <w:rPr>
      <w:color w:val="000000"/>
      <w:spacing w:val="30"/>
      <w:w w:val="100"/>
      <w:position w:val="0"/>
      <w:lang w:val="zh-CN" w:eastAsia="zh-CN" w:bidi="zh-CN"/>
    </w:rPr>
  </w:style>
  <w:style w:type="character" w:customStyle="1" w:styleId="112">
    <w:name w:val="正文文本 (10)_"/>
    <w:basedOn w:val="40"/>
    <w:link w:val="110"/>
    <w:qFormat/>
    <w:uiPriority w:val="0"/>
    <w:rPr>
      <w:rFonts w:ascii="微软雅黑" w:hAnsi="微软雅黑" w:eastAsia="微软雅黑" w:cs="微软雅黑"/>
      <w:spacing w:val="20"/>
      <w:sz w:val="11"/>
      <w:szCs w:val="11"/>
      <w:u w:val="none"/>
    </w:rPr>
  </w:style>
  <w:style w:type="character" w:customStyle="1" w:styleId="113">
    <w:name w:val="正文文本 (10) + 5 pt"/>
    <w:basedOn w:val="112"/>
    <w:qFormat/>
    <w:uiPriority w:val="0"/>
    <w:rPr>
      <w:color w:val="000000"/>
      <w:spacing w:val="0"/>
      <w:w w:val="100"/>
      <w:position w:val="0"/>
      <w:sz w:val="10"/>
      <w:szCs w:val="10"/>
      <w:lang w:val="en-US" w:eastAsia="en-US" w:bidi="en-US"/>
    </w:rPr>
  </w:style>
  <w:style w:type="character" w:customStyle="1" w:styleId="114">
    <w:name w:val="正文文本 (10) + 间距 0 pt"/>
    <w:basedOn w:val="112"/>
    <w:qFormat/>
    <w:uiPriority w:val="0"/>
    <w:rPr>
      <w:color w:val="000000"/>
      <w:spacing w:val="0"/>
      <w:w w:val="100"/>
      <w:position w:val="0"/>
      <w:sz w:val="11"/>
      <w:szCs w:val="11"/>
      <w:lang w:val="en-US" w:eastAsia="en-US" w:bidi="en-US"/>
    </w:rPr>
  </w:style>
  <w:style w:type="paragraph" w:customStyle="1" w:styleId="115">
    <w:name w:val="正文文本 (7)"/>
    <w:basedOn w:val="1"/>
    <w:link w:val="117"/>
    <w:qFormat/>
    <w:uiPriority w:val="0"/>
    <w:pPr>
      <w:widowControl w:val="0"/>
      <w:shd w:val="clear" w:color="auto" w:fill="FFFFFF"/>
      <w:spacing w:before="60" w:after="60" w:line="296" w:lineRule="exact"/>
      <w:jc w:val="distribute"/>
    </w:pPr>
    <w:rPr>
      <w:rFonts w:ascii="微软雅黑" w:hAnsi="微软雅黑" w:eastAsia="微软雅黑" w:cs="微软雅黑"/>
      <w:b/>
      <w:bCs/>
      <w:sz w:val="13"/>
      <w:szCs w:val="13"/>
      <w:u w:val="none"/>
    </w:rPr>
  </w:style>
  <w:style w:type="character" w:customStyle="1" w:styleId="116">
    <w:name w:val="正文文本 (7) + 6 pt"/>
    <w:basedOn w:val="117"/>
    <w:qFormat/>
    <w:uiPriority w:val="0"/>
    <w:rPr>
      <w:color w:val="000000"/>
      <w:spacing w:val="0"/>
      <w:w w:val="100"/>
      <w:position w:val="0"/>
      <w:sz w:val="12"/>
      <w:szCs w:val="12"/>
      <w:lang w:val="zh-CN" w:eastAsia="zh-CN" w:bidi="zh-CN"/>
    </w:rPr>
  </w:style>
  <w:style w:type="character" w:customStyle="1" w:styleId="117">
    <w:name w:val="正文文本 (7)_"/>
    <w:basedOn w:val="40"/>
    <w:link w:val="115"/>
    <w:qFormat/>
    <w:uiPriority w:val="0"/>
    <w:rPr>
      <w:rFonts w:ascii="微软雅黑" w:hAnsi="微软雅黑" w:eastAsia="微软雅黑" w:cs="微软雅黑"/>
      <w:b/>
      <w:bCs/>
      <w:sz w:val="13"/>
      <w:szCs w:val="13"/>
      <w:u w:val="none"/>
    </w:rPr>
  </w:style>
  <w:style w:type="character" w:customStyle="1" w:styleId="118">
    <w:name w:val="正文文本 (2) + 6.5 pt"/>
    <w:basedOn w:val="69"/>
    <w:qFormat/>
    <w:uiPriority w:val="0"/>
    <w:rPr>
      <w:b/>
      <w:bCs/>
      <w:color w:val="000000"/>
      <w:spacing w:val="0"/>
      <w:w w:val="100"/>
      <w:position w:val="0"/>
      <w:sz w:val="13"/>
      <w:szCs w:val="13"/>
      <w:lang w:val="zh-CN" w:eastAsia="zh-CN" w:bidi="zh-CN"/>
    </w:rPr>
  </w:style>
  <w:style w:type="character" w:customStyle="1" w:styleId="119">
    <w:name w:val="正文文本 (2) + 10 pt"/>
    <w:basedOn w:val="69"/>
    <w:qFormat/>
    <w:uiPriority w:val="0"/>
    <w:rPr>
      <w:color w:val="000000"/>
      <w:spacing w:val="0"/>
      <w:w w:val="100"/>
      <w:position w:val="0"/>
      <w:sz w:val="20"/>
      <w:szCs w:val="20"/>
      <w:lang w:val="en-US" w:eastAsia="en-US" w:bidi="en-US"/>
    </w:rPr>
  </w:style>
  <w:style w:type="character" w:customStyle="1" w:styleId="120">
    <w:name w:val="正文文本 (4) + 5 pt"/>
    <w:basedOn w:val="83"/>
    <w:qFormat/>
    <w:uiPriority w:val="0"/>
    <w:rPr>
      <w:color w:val="000000"/>
      <w:spacing w:val="0"/>
      <w:w w:val="100"/>
      <w:position w:val="0"/>
      <w:sz w:val="10"/>
      <w:szCs w:val="10"/>
      <w:lang w:val="zh-CN" w:eastAsia="zh-CN" w:bidi="zh-CN"/>
    </w:rPr>
  </w:style>
  <w:style w:type="character" w:customStyle="1" w:styleId="121">
    <w:name w:val="正文文本 (4) + 7 pt"/>
    <w:basedOn w:val="83"/>
    <w:qFormat/>
    <w:uiPriority w:val="0"/>
    <w:rPr>
      <w:b/>
      <w:bCs/>
      <w:color w:val="000000"/>
      <w:spacing w:val="-10"/>
      <w:w w:val="100"/>
      <w:position w:val="0"/>
      <w:sz w:val="14"/>
      <w:szCs w:val="14"/>
      <w:lang w:val="en-US" w:eastAsia="en-US" w:bidi="en-US"/>
    </w:rPr>
  </w:style>
  <w:style w:type="character" w:customStyle="1" w:styleId="122">
    <w:name w:val="正文文本 (5) + 10 pt"/>
    <w:basedOn w:val="106"/>
    <w:qFormat/>
    <w:uiPriority w:val="0"/>
    <w:rPr>
      <w:color w:val="000000"/>
      <w:spacing w:val="150"/>
      <w:w w:val="100"/>
      <w:position w:val="0"/>
      <w:sz w:val="20"/>
      <w:szCs w:val="20"/>
      <w:lang w:val="zh-CN" w:eastAsia="zh-CN" w:bidi="zh-CN"/>
    </w:rPr>
  </w:style>
  <w:style w:type="character" w:customStyle="1" w:styleId="123">
    <w:name w:val="正文文本 (5) + 间距 3 pt"/>
    <w:basedOn w:val="106"/>
    <w:qFormat/>
    <w:uiPriority w:val="0"/>
    <w:rPr>
      <w:color w:val="000000"/>
      <w:spacing w:val="60"/>
      <w:w w:val="100"/>
      <w:position w:val="0"/>
      <w:lang w:val="zh-CN" w:eastAsia="zh-CN" w:bidi="zh-CN"/>
    </w:rPr>
  </w:style>
  <w:style w:type="character" w:customStyle="1" w:styleId="124">
    <w:name w:val="正文文本 (5) + 间距 4 pt"/>
    <w:basedOn w:val="106"/>
    <w:qFormat/>
    <w:uiPriority w:val="0"/>
    <w:rPr>
      <w:color w:val="000000"/>
      <w:spacing w:val="90"/>
      <w:w w:val="100"/>
      <w:position w:val="0"/>
      <w:lang w:val="zh-CN" w:eastAsia="zh-CN" w:bidi="zh-CN"/>
    </w:rPr>
  </w:style>
  <w:style w:type="character" w:customStyle="1" w:styleId="125">
    <w:name w:val="正文文本 (5) + Book Antiqua"/>
    <w:basedOn w:val="106"/>
    <w:qFormat/>
    <w:uiPriority w:val="0"/>
    <w:rPr>
      <w:rFonts w:ascii="Book Antiqua" w:hAnsi="Book Antiqua" w:eastAsia="Book Antiqua" w:cs="Book Antiqua"/>
      <w:color w:val="000000"/>
      <w:spacing w:val="0"/>
      <w:w w:val="100"/>
      <w:position w:val="0"/>
      <w:sz w:val="15"/>
      <w:szCs w:val="15"/>
      <w:lang w:val="en-US" w:eastAsia="en-US" w:bidi="en-US"/>
    </w:rPr>
  </w:style>
  <w:style w:type="paragraph" w:customStyle="1" w:styleId="126">
    <w:name w:val="正文文本 (6)"/>
    <w:basedOn w:val="1"/>
    <w:qFormat/>
    <w:uiPriority w:val="0"/>
    <w:pPr>
      <w:widowControl w:val="0"/>
      <w:shd w:val="clear" w:color="auto" w:fill="FFFFFF"/>
      <w:spacing w:line="0" w:lineRule="exact"/>
      <w:jc w:val="both"/>
    </w:pPr>
    <w:rPr>
      <w:rFonts w:ascii="微软雅黑" w:hAnsi="微软雅黑" w:eastAsia="微软雅黑" w:cs="微软雅黑"/>
      <w:i/>
      <w:iCs/>
      <w:spacing w:val="20"/>
      <w:w w:val="70"/>
      <w:sz w:val="14"/>
      <w:szCs w:val="14"/>
      <w:u w:val="none"/>
    </w:rPr>
  </w:style>
  <w:style w:type="character" w:customStyle="1" w:styleId="127">
    <w:name w:val="正文文本 (3) + Book Antiqua"/>
    <w:basedOn w:val="128"/>
    <w:qFormat/>
    <w:uiPriority w:val="0"/>
    <w:rPr>
      <w:rFonts w:ascii="Book Antiqua" w:hAnsi="Book Antiqua" w:eastAsia="Book Antiqua" w:cs="Book Antiqua"/>
      <w:b/>
      <w:bCs/>
      <w:color w:val="000000"/>
      <w:spacing w:val="0"/>
      <w:w w:val="100"/>
      <w:position w:val="0"/>
      <w:sz w:val="24"/>
      <w:szCs w:val="24"/>
      <w:lang w:val="en-US" w:eastAsia="en-US" w:bidi="en-US"/>
    </w:rPr>
  </w:style>
  <w:style w:type="character" w:customStyle="1" w:styleId="128">
    <w:name w:val="正文文本 (3) Exact"/>
    <w:basedOn w:val="40"/>
    <w:qFormat/>
    <w:uiPriority w:val="0"/>
    <w:rPr>
      <w:rFonts w:ascii="微软雅黑" w:hAnsi="微软雅黑" w:eastAsia="微软雅黑" w:cs="微软雅黑"/>
      <w:sz w:val="12"/>
      <w:szCs w:val="12"/>
      <w:u w:val="none"/>
    </w:rPr>
  </w:style>
  <w:style w:type="character" w:customStyle="1" w:styleId="129">
    <w:name w:val="正文文本 (3) + 间距 9 pt Exact"/>
    <w:basedOn w:val="128"/>
    <w:qFormat/>
    <w:uiPriority w:val="0"/>
    <w:rPr>
      <w:color w:val="000000"/>
      <w:spacing w:val="180"/>
      <w:w w:val="100"/>
      <w:position w:val="0"/>
      <w:lang w:val="zh-CN" w:eastAsia="zh-CN" w:bidi="zh-CN"/>
    </w:rPr>
  </w:style>
  <w:style w:type="character" w:customStyle="1" w:styleId="130">
    <w:name w:val="正文文本 (3) + 间距 1 pt Exact"/>
    <w:basedOn w:val="128"/>
    <w:qFormat/>
    <w:uiPriority w:val="0"/>
    <w:rPr>
      <w:color w:val="000000"/>
      <w:spacing w:val="30"/>
      <w:w w:val="100"/>
      <w:position w:val="0"/>
      <w:lang w:val="zh-CN" w:eastAsia="zh-CN" w:bidi="zh-CN"/>
    </w:rPr>
  </w:style>
  <w:style w:type="paragraph" w:customStyle="1" w:styleId="131">
    <w:name w:val="表内"/>
    <w:qFormat/>
    <w:uiPriority w:val="0"/>
    <w:pPr>
      <w:jc w:val="center"/>
    </w:pPr>
    <w:rPr>
      <w:rFonts w:ascii="Times New Roman" w:hAnsi="Times New Roman" w:eastAsia="宋体" w:cs="宋体"/>
      <w:kern w:val="2"/>
      <w:sz w:val="21"/>
      <w:lang w:val="en-US" w:eastAsia="zh-CN" w:bidi="ar-SA"/>
    </w:rPr>
  </w:style>
  <w:style w:type="paragraph" w:customStyle="1" w:styleId="132">
    <w:name w:val="表样式2"/>
    <w:basedOn w:val="1"/>
    <w:qFormat/>
    <w:uiPriority w:val="0"/>
    <w:pPr>
      <w:adjustRightInd w:val="0"/>
      <w:snapToGrid w:val="0"/>
      <w:spacing w:line="420" w:lineRule="exact"/>
    </w:pPr>
    <w:rPr>
      <w:rFonts w:ascii="宋体" w:hAnsi="宋体"/>
      <w:sz w:val="24"/>
      <w:szCs w:val="24"/>
    </w:rPr>
  </w:style>
  <w:style w:type="character" w:customStyle="1" w:styleId="133">
    <w:name w:val="fontstyle01"/>
    <w:qFormat/>
    <w:uiPriority w:val="0"/>
    <w:rPr>
      <w:rFonts w:hint="default" w:ascii="SSJ-PK74820002705-Identity-H" w:hAnsi="SSJ-PK74820002705-Identity-H"/>
      <w:color w:val="000000"/>
      <w:sz w:val="40"/>
      <w:szCs w:val="40"/>
    </w:rPr>
  </w:style>
  <w:style w:type="paragraph" w:customStyle="1" w:styleId="134">
    <w:name w:val="报告表"/>
    <w:basedOn w:val="1"/>
    <w:qFormat/>
    <w:uiPriority w:val="0"/>
    <w:pPr>
      <w:spacing w:line="500" w:lineRule="exact"/>
      <w:ind w:firstLine="480" w:firstLineChars="200"/>
    </w:pPr>
    <w:rPr>
      <w:rFonts w:ascii="宋体"/>
      <w:sz w:val="24"/>
      <w:szCs w:val="24"/>
    </w:rPr>
  </w:style>
  <w:style w:type="paragraph" w:customStyle="1" w:styleId="135">
    <w:name w:val="表段1"/>
    <w:basedOn w:val="1"/>
    <w:qFormat/>
    <w:uiPriority w:val="0"/>
    <w:pPr>
      <w:adjustRightInd w:val="0"/>
      <w:snapToGrid w:val="0"/>
      <w:spacing w:line="360" w:lineRule="auto"/>
      <w:ind w:firstLine="200" w:firstLineChars="200"/>
    </w:pPr>
    <w:rPr>
      <w:sz w:val="24"/>
      <w:szCs w:val="24"/>
    </w:rPr>
  </w:style>
  <w:style w:type="paragraph" w:customStyle="1" w:styleId="136">
    <w:name w:val="正文 首行缩进:  2 字符"/>
    <w:basedOn w:val="1"/>
    <w:qFormat/>
    <w:uiPriority w:val="0"/>
    <w:pPr>
      <w:adjustRightInd w:val="0"/>
      <w:snapToGrid w:val="0"/>
      <w:spacing w:line="500" w:lineRule="exact"/>
      <w:ind w:firstLine="200" w:firstLineChars="200"/>
      <w:jc w:val="left"/>
    </w:pPr>
    <w:rPr>
      <w:sz w:val="24"/>
    </w:rPr>
  </w:style>
  <w:style w:type="paragraph" w:customStyle="1" w:styleId="137">
    <w:name w:val="1111"/>
    <w:basedOn w:val="1"/>
    <w:qFormat/>
    <w:uiPriority w:val="0"/>
    <w:pPr>
      <w:widowControl/>
      <w:adjustRightInd w:val="0"/>
      <w:snapToGrid w:val="0"/>
      <w:spacing w:line="360" w:lineRule="auto"/>
      <w:ind w:firstLine="200" w:firstLineChars="200"/>
    </w:pPr>
    <w:rPr>
      <w:kern w:val="0"/>
      <w:sz w:val="24"/>
      <w:szCs w:val="30"/>
    </w:rPr>
  </w:style>
  <w:style w:type="paragraph" w:customStyle="1" w:styleId="138">
    <w:name w:val="列出段落1"/>
    <w:basedOn w:val="1"/>
    <w:qFormat/>
    <w:uiPriority w:val="0"/>
    <w:pPr>
      <w:ind w:firstLine="420"/>
    </w:pPr>
  </w:style>
  <w:style w:type="character" w:customStyle="1" w:styleId="139">
    <w:name w:val="Balloon Text Char"/>
    <w:basedOn w:val="40"/>
    <w:link w:val="26"/>
    <w:qFormat/>
    <w:locked/>
    <w:uiPriority w:val="0"/>
    <w:rPr>
      <w:rFonts w:ascii="Times New Roman" w:hAnsi="Times New Roman"/>
      <w:sz w:val="24"/>
      <w:szCs w:val="24"/>
    </w:rPr>
  </w:style>
  <w:style w:type="paragraph" w:customStyle="1" w:styleId="140">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54</Pages>
  <Words>11574</Words>
  <Characters>15003</Characters>
  <Lines>0</Lines>
  <Paragraphs>0</Paragraphs>
  <TotalTime>1</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2019-06-03T02:50:00Z</dcterms:created>
  <dc:creator>Lenovo、</dc:creator>
  <cp:lastModifiedBy>国润环保</cp:lastModifiedBy>
  <dcterms:modified xsi:type="dcterms:W3CDTF">2021-09-06T11:50:52Z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2862DAB411A744488A34C473D6147F25</vt:lpwstr>
  </property>
</Properties>
</file>