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2" w:line="324" w:lineRule="auto"/>
        <w:ind w:left="1340" w:right="437" w:hanging="900"/>
        <w:jc w:val="both"/>
        <w:rPr>
          <w:rFonts w:hint="eastAsia" w:ascii="Times New Roman" w:hAnsi="Times New Roman"/>
          <w:b/>
          <w:spacing w:val="-5"/>
          <w:sz w:val="36"/>
          <w:lang w:eastAsia="zh-CN"/>
        </w:rPr>
      </w:pPr>
      <w:r>
        <w:rPr>
          <w:rFonts w:hint="eastAsia" w:ascii="Times New Roman" w:hAnsi="Times New Roman"/>
          <w:b/>
          <w:spacing w:val="-5"/>
          <w:sz w:val="36"/>
          <w:lang w:eastAsia="zh-CN"/>
        </w:rPr>
        <w:t>安徽珐诺伊医药科技有限公司杂环小分子研发项目</w:t>
      </w:r>
    </w:p>
    <w:p>
      <w:pPr>
        <w:spacing w:before="42" w:line="324" w:lineRule="auto"/>
        <w:ind w:left="1340" w:right="437" w:hanging="900"/>
        <w:jc w:val="center"/>
        <w:rPr>
          <w:rFonts w:ascii="Times New Roman" w:hAnsi="Times New Roman" w:eastAsia="宋体"/>
          <w:b/>
          <w:sz w:val="36"/>
        </w:rPr>
      </w:pPr>
      <w:r>
        <w:rPr>
          <w:rFonts w:ascii="Times New Roman" w:hAnsi="Times New Roman" w:eastAsia="宋体"/>
          <w:b/>
          <w:sz w:val="36"/>
        </w:rPr>
        <w:t>竣工环境保护验收意见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firstLine="480" w:firstLineChars="200"/>
        <w:jc w:val="both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202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ascii="Times New Roman" w:hAnsi="Times New Roman" w:eastAsia="宋体"/>
          <w:spacing w:val="-30"/>
        </w:rPr>
        <w:t>年</w:t>
      </w:r>
      <w:r>
        <w:rPr>
          <w:rFonts w:hint="eastAsia" w:ascii="Times New Roman" w:hAnsi="Times New Roman"/>
          <w:spacing w:val="-30"/>
          <w:lang w:val="en-US" w:eastAsia="zh-CN"/>
        </w:rPr>
        <w:t>7</w:t>
      </w:r>
      <w:r>
        <w:rPr>
          <w:rFonts w:ascii="Times New Roman" w:hAnsi="Times New Roman" w:eastAsia="宋体"/>
          <w:spacing w:val="-30"/>
        </w:rPr>
        <w:t>月</w:t>
      </w:r>
      <w:r>
        <w:rPr>
          <w:rFonts w:hint="eastAsia" w:ascii="Times New Roman" w:hAnsi="Times New Roman"/>
          <w:spacing w:val="-30"/>
          <w:lang w:val="en-US" w:eastAsia="zh-CN"/>
        </w:rPr>
        <w:t>29</w:t>
      </w:r>
      <w:r>
        <w:rPr>
          <w:rFonts w:ascii="Times New Roman" w:hAnsi="Times New Roman" w:eastAsia="宋体"/>
          <w:spacing w:val="-9"/>
        </w:rPr>
        <w:t>日，</w:t>
      </w:r>
      <w:r>
        <w:rPr>
          <w:rFonts w:hint="eastAsia" w:ascii="Times New Roman" w:hAnsi="Times New Roman"/>
          <w:spacing w:val="-9"/>
          <w:lang w:eastAsia="zh-CN"/>
        </w:rPr>
        <w:t>安徽珐诺伊医药科技有限公司</w:t>
      </w:r>
      <w:r>
        <w:rPr>
          <w:rFonts w:ascii="Times New Roman" w:hAnsi="Times New Roman" w:eastAsia="宋体"/>
          <w:spacing w:val="-9"/>
        </w:rPr>
        <w:t>根据</w:t>
      </w:r>
      <w:r>
        <w:rPr>
          <w:rFonts w:hint="eastAsia" w:ascii="Times New Roman" w:hAnsi="Times New Roman"/>
          <w:spacing w:val="-9"/>
          <w:lang w:eastAsia="zh-CN"/>
        </w:rPr>
        <w:t>杂环小分子研发项目</w:t>
      </w:r>
      <w:r>
        <w:rPr>
          <w:rFonts w:ascii="Times New Roman" w:hAnsi="Times New Roman" w:eastAsia="宋体"/>
          <w:spacing w:val="-5"/>
        </w:rPr>
        <w:t>竣工环境保护验收监测报告并对照《建设项目竣工环境保护</w:t>
      </w:r>
      <w:r>
        <w:rPr>
          <w:rFonts w:ascii="Times New Roman" w:hAnsi="Times New Roman" w:eastAsia="宋体"/>
          <w:spacing w:val="-1"/>
        </w:rPr>
        <w:t>验收暂行办法》，严格依照国家有关法律法规、</w:t>
      </w:r>
      <w:r>
        <w:rPr>
          <w:rFonts w:hint="eastAsia" w:ascii="Times New Roman" w:hAnsi="Times New Roman"/>
          <w:spacing w:val="-1"/>
          <w:lang w:eastAsia="zh-CN"/>
        </w:rPr>
        <w:t>《</w:t>
      </w:r>
      <w:r>
        <w:rPr>
          <w:rFonts w:ascii="Times New Roman" w:hAnsi="Times New Roman" w:eastAsia="宋体"/>
          <w:spacing w:val="-2"/>
        </w:rPr>
        <w:t>建设项目竣工环境保护验收技</w:t>
      </w:r>
      <w:r>
        <w:rPr>
          <w:rFonts w:ascii="Times New Roman" w:hAnsi="Times New Roman" w:eastAsia="宋体"/>
        </w:rPr>
        <w:t>术指南 污染影响类</w:t>
      </w:r>
      <w:r>
        <w:rPr>
          <w:rFonts w:hint="eastAsia" w:ascii="Times New Roman" w:hAnsi="Times New Roman"/>
          <w:spacing w:val="-1"/>
          <w:lang w:eastAsia="zh-CN"/>
        </w:rPr>
        <w:t>》</w:t>
      </w:r>
      <w:r>
        <w:rPr>
          <w:rFonts w:ascii="Times New Roman" w:hAnsi="Times New Roman" w:eastAsia="宋体"/>
          <w:spacing w:val="-12"/>
        </w:rPr>
        <w:t>，本项目环境影响评价报告书和审批部门审批决定等要求组</w:t>
      </w:r>
      <w:r>
        <w:rPr>
          <w:rFonts w:ascii="Times New Roman" w:hAnsi="Times New Roman" w:eastAsia="宋体"/>
        </w:rPr>
        <w:t>成验收组对本项目进行验收，提出验收意见如下：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firstLine="482" w:firstLineChars="200"/>
        <w:jc w:val="both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一、工程建设基本情况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firstLine="480" w:firstLineChars="200"/>
        <w:jc w:val="both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（一）建设地点、规模、主要建设内容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firstLine="480" w:firstLineChars="200"/>
        <w:jc w:val="both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lang w:val="en-US" w:eastAsia="zh-CN"/>
        </w:rPr>
        <w:t>本次验收为</w:t>
      </w:r>
      <w:r>
        <w:rPr>
          <w:rFonts w:hint="eastAsia" w:ascii="Times New Roman" w:hAnsi="Times New Roman"/>
          <w:lang w:eastAsia="zh-CN"/>
        </w:rPr>
        <w:t>安徽珐诺伊医药科技有限公司</w:t>
      </w:r>
      <w:r>
        <w:rPr>
          <w:rFonts w:ascii="Times New Roman" w:hAnsi="Times New Roman" w:eastAsia="宋体"/>
        </w:rPr>
        <w:t>投资建设的</w:t>
      </w:r>
      <w:r>
        <w:rPr>
          <w:rFonts w:hint="eastAsia" w:ascii="Times New Roman" w:hAnsi="Times New Roman"/>
          <w:lang w:eastAsia="zh-CN"/>
        </w:rPr>
        <w:t>杂环小分子研发项目</w:t>
      </w:r>
      <w:r>
        <w:rPr>
          <w:rFonts w:hint="eastAsia" w:ascii="Times New Roman" w:hAnsi="Times New Roman" w:eastAsia="宋体"/>
          <w:lang w:eastAsia="zh-CN"/>
        </w:rPr>
        <w:t>，</w:t>
      </w:r>
      <w:r>
        <w:rPr>
          <w:rFonts w:ascii="Times New Roman" w:hAnsi="Times New Roman" w:eastAsia="宋体"/>
          <w:spacing w:val="-2"/>
        </w:rPr>
        <w:t>位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none"/>
          <w:lang w:val="en-US" w:eastAsia="zh-CN"/>
        </w:rPr>
        <w:t>安徽省合肥市包河区延安路7号质谷孵化基地201室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，总建筑面积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312m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  <w:lang w:bidi="ar"/>
        </w:rPr>
        <w:t>2</w:t>
      </w:r>
      <w:r>
        <w:rPr>
          <w:rFonts w:ascii="Times New Roman" w:hAnsi="Times New Roman" w:eastAsia="宋体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购置机械搅拌、磁力搅拌、旋转蒸发仪等设备进行实验，项目建成后，可年出具实验报告约1000份</w:t>
      </w:r>
      <w:r>
        <w:rPr>
          <w:rFonts w:ascii="Times New Roman" w:hAnsi="Times New Roman" w:eastAsia="宋体"/>
        </w:rPr>
        <w:t>。本次验收员工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ascii="Times New Roman" w:hAnsi="Times New Roman" w:eastAsia="宋体"/>
        </w:rPr>
        <w:t>人，全年工作日300 天，每天工作8 小时。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firstLine="480" w:firstLineChars="200"/>
        <w:jc w:val="both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（二）建设过程及环保审批情况</w:t>
      </w:r>
    </w:p>
    <w:p>
      <w:pPr>
        <w:wordWrap w:val="0"/>
        <w:spacing w:after="0"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 w:bidi="ar"/>
        </w:rPr>
        <w:t>杂环小分子研发项目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于202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月由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 w:bidi="ar"/>
        </w:rPr>
        <w:t>安徽亿铭环保科技有限公司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编制完成了《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 w:bidi="ar"/>
        </w:rPr>
        <w:t>杂环小分子研发项目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环境影响报告表》；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合肥市包河经开区管委会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于202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8月31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日以环建审〔202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〕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8030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号文予以审批。项目已在排污许可证管理信息平台上进行了排污许可登记申请，并已取得备案回执，登记编号：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91340111MA2UH9LC7Q001W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项目于202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月开始建设，2022年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月建设完成并投入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实验使用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2023年7月17日完成应急预案备案。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firstLine="480" w:firstLineChars="200"/>
        <w:jc w:val="both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（三）投资情况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firstLine="448" w:firstLineChars="200"/>
        <w:jc w:val="both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  <w:spacing w:val="-8"/>
        </w:rPr>
        <w:t>本次验收实际总投资</w:t>
      </w:r>
      <w:r>
        <w:rPr>
          <w:rFonts w:hint="eastAsia" w:ascii="Times New Roman" w:hAnsi="Times New Roman"/>
          <w:spacing w:val="-8"/>
          <w:lang w:val="en-US" w:eastAsia="zh-CN"/>
        </w:rPr>
        <w:t>2</w:t>
      </w:r>
      <w:r>
        <w:rPr>
          <w:rFonts w:hint="eastAsia" w:ascii="Times New Roman" w:hAnsi="Times New Roman" w:eastAsia="宋体"/>
          <w:spacing w:val="-8"/>
          <w:lang w:val="en-US" w:eastAsia="zh-CN"/>
        </w:rPr>
        <w:t>00</w:t>
      </w:r>
      <w:r>
        <w:rPr>
          <w:rFonts w:ascii="Times New Roman" w:hAnsi="Times New Roman" w:eastAsia="宋体"/>
          <w:spacing w:val="-19"/>
        </w:rPr>
        <w:t>万元，其中环保投资为</w:t>
      </w:r>
      <w:r>
        <w:rPr>
          <w:rFonts w:hint="eastAsia" w:ascii="Times New Roman" w:hAnsi="Times New Roman"/>
          <w:spacing w:val="-19"/>
          <w:lang w:val="en-US" w:eastAsia="zh-CN"/>
        </w:rPr>
        <w:t>45</w:t>
      </w:r>
      <w:r>
        <w:rPr>
          <w:rFonts w:ascii="Times New Roman" w:hAnsi="Times New Roman" w:eastAsia="宋体"/>
          <w:spacing w:val="-23"/>
        </w:rPr>
        <w:t>万元，占总投资的</w:t>
      </w:r>
      <w:r>
        <w:rPr>
          <w:rFonts w:hint="eastAsia" w:ascii="Times New Roman" w:hAnsi="Times New Roman"/>
          <w:spacing w:val="-23"/>
          <w:lang w:val="en-US" w:eastAsia="zh-CN"/>
        </w:rPr>
        <w:t>22.5</w:t>
      </w:r>
      <w:r>
        <w:rPr>
          <w:rFonts w:ascii="Times New Roman" w:hAnsi="Times New Roman" w:eastAsia="宋体"/>
          <w:spacing w:val="-5"/>
        </w:rPr>
        <w:t xml:space="preserve">%， </w:t>
      </w:r>
      <w:r>
        <w:rPr>
          <w:rFonts w:ascii="Times New Roman" w:hAnsi="Times New Roman" w:eastAsia="宋体"/>
        </w:rPr>
        <w:t>主要用于废气、废水、固体废物和噪声污染的治理。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firstLine="480" w:firstLineChars="200"/>
        <w:jc w:val="both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（四）验收范围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right="0" w:firstLine="480" w:firstLineChars="200"/>
        <w:jc w:val="both"/>
        <w:textAlignment w:val="auto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项目</w:t>
      </w:r>
      <w:r>
        <w:rPr>
          <w:rFonts w:hint="eastAsia" w:ascii="Times New Roman" w:hAnsi="Times New Roman"/>
          <w:sz w:val="24"/>
          <w:lang w:val="en-US" w:eastAsia="zh-CN"/>
        </w:rPr>
        <w:t>竣工</w:t>
      </w:r>
      <w:r>
        <w:rPr>
          <w:rFonts w:ascii="Times New Roman" w:hAnsi="Times New Roman" w:eastAsia="宋体"/>
          <w:sz w:val="24"/>
        </w:rPr>
        <w:t>验收（产能达到</w:t>
      </w:r>
      <w:r>
        <w:rPr>
          <w:rFonts w:hint="eastAsia" w:ascii="Times New Roman" w:hAnsi="Times New Roman"/>
          <w:sz w:val="24"/>
          <w:lang w:eastAsia="zh-CN"/>
        </w:rPr>
        <w:t>杂环小分子研发项目</w:t>
      </w:r>
      <w:r>
        <w:rPr>
          <w:rFonts w:hint="eastAsia" w:ascii="Times New Roman" w:hAnsi="Times New Roman" w:eastAsia="宋体"/>
          <w:sz w:val="24"/>
          <w:lang w:eastAsia="zh-CN"/>
        </w:rPr>
        <w:t>无需表面处理注塑外壳件</w:t>
      </w:r>
      <w:r>
        <w:rPr>
          <w:rFonts w:hint="eastAsia" w:ascii="Times New Roman" w:hAnsi="Times New Roman" w:eastAsia="宋体"/>
          <w:sz w:val="24"/>
          <w:lang w:val="en-US" w:eastAsia="zh-CN"/>
        </w:rPr>
        <w:t>及需喷漆处理外壳注塑件的部分</w:t>
      </w:r>
      <w:r>
        <w:rPr>
          <w:rFonts w:ascii="Times New Roman" w:hAnsi="Times New Roman" w:eastAsia="宋体"/>
          <w:sz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right="0" w:firstLine="482" w:firstLineChars="200"/>
        <w:jc w:val="both"/>
        <w:textAlignment w:val="auto"/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二、工程变动情况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firstLine="476" w:firstLineChars="200"/>
        <w:jc w:val="both"/>
        <w:textAlignment w:val="auto"/>
        <w:rPr>
          <w:rFonts w:ascii="Times New Roman" w:hAnsi="Times New Roman" w:eastAsia="宋体"/>
          <w:spacing w:val="-1"/>
        </w:rPr>
      </w:pPr>
      <w:r>
        <w:rPr>
          <w:rFonts w:ascii="Times New Roman" w:hAnsi="Times New Roman" w:eastAsia="宋体"/>
          <w:spacing w:val="-1"/>
        </w:rPr>
        <w:t>本项目基本按照环评及批复要求建设，与环评及批复要求对比，差异如下：</w:t>
      </w:r>
    </w:p>
    <w:p>
      <w:pPr>
        <w:spacing w:after="0" w:line="360" w:lineRule="auto"/>
        <w:ind w:firstLine="480" w:firstLineChars="200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①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 w:bidi="ar"/>
        </w:rPr>
        <w:t>原环评中分析室废气通过万向罩收集，实际废气整体密闭负压收集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bidi="ar"/>
        </w:rPr>
        <w:t>；废气收集方式改变，生产产能未增加，生产原料未增加，废气产生量未增加，经过废气处理设施处理后可达标排放，不属于重大变化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 w:bidi="ar"/>
        </w:rPr>
        <w:t>。</w:t>
      </w:r>
    </w:p>
    <w:p>
      <w:pPr>
        <w:spacing w:after="0" w:line="360" w:lineRule="auto"/>
        <w:ind w:firstLine="480" w:firstLineChars="200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②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 w:bidi="ar"/>
        </w:rPr>
        <w:t>原环评中废水处理设施位于2层实验室西北侧，实际位于1层西侧。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bidi="ar"/>
        </w:rPr>
        <w:t>废水处理设施位置由原来的2层东北侧改变为1层西侧，按环评做好防渗，位置改变，总平面布置变化，但环境防护距离范围不变且未新增敏感点，不属于重大变化。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firstLine="420" w:firstLineChars="200"/>
        <w:jc w:val="both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  <w:spacing w:val="-15"/>
        </w:rPr>
        <w:t>对照《污染影响类建设项目重大变动清单</w:t>
      </w:r>
      <w:r>
        <w:rPr>
          <w:rFonts w:ascii="Times New Roman" w:hAnsi="Times New Roman" w:eastAsia="宋体"/>
        </w:rPr>
        <w:t>（试行</w:t>
      </w:r>
      <w:r>
        <w:rPr>
          <w:rFonts w:ascii="Times New Roman" w:hAnsi="Times New Roman" w:eastAsia="宋体"/>
          <w:spacing w:val="-58"/>
        </w:rPr>
        <w:t>）</w:t>
      </w:r>
      <w:r>
        <w:rPr>
          <w:rFonts w:ascii="Times New Roman" w:hAnsi="Times New Roman" w:eastAsia="宋体"/>
          <w:spacing w:val="-104"/>
        </w:rPr>
        <w:t>》</w:t>
      </w:r>
      <w:r>
        <w:rPr>
          <w:rFonts w:ascii="Times New Roman" w:hAnsi="Times New Roman" w:eastAsia="宋体"/>
        </w:rPr>
        <w:t>（环办环评函[2020]688 号）（如下表），本次验收无重大变动。</w:t>
      </w:r>
    </w:p>
    <w:p>
      <w:pPr>
        <w:pStyle w:val="3"/>
        <w:tabs>
          <w:tab w:val="left" w:pos="3427"/>
        </w:tabs>
        <w:spacing w:after="2" w:line="306" w:lineRule="exact"/>
        <w:ind w:left="2768"/>
        <w:jc w:val="both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表</w:t>
      </w:r>
      <w:r>
        <w:rPr>
          <w:rFonts w:ascii="Times New Roman" w:hAnsi="Times New Roman" w:eastAsia="宋体"/>
          <w:spacing w:val="-62"/>
        </w:rPr>
        <w:t xml:space="preserve"> </w:t>
      </w:r>
      <w:r>
        <w:rPr>
          <w:rFonts w:ascii="Times New Roman" w:hAnsi="Times New Roman" w:eastAsia="宋体"/>
        </w:rPr>
        <w:t>1</w:t>
      </w:r>
      <w:r>
        <w:rPr>
          <w:rFonts w:ascii="Times New Roman" w:hAnsi="Times New Roman" w:eastAsia="宋体"/>
        </w:rPr>
        <w:tab/>
      </w:r>
      <w:r>
        <w:rPr>
          <w:rFonts w:ascii="Times New Roman" w:hAnsi="Times New Roman" w:eastAsia="宋体"/>
        </w:rPr>
        <w:t>与环办环评函[2020]688</w:t>
      </w:r>
      <w:r>
        <w:rPr>
          <w:rFonts w:ascii="Times New Roman" w:hAnsi="Times New Roman" w:eastAsia="宋体"/>
          <w:spacing w:val="2"/>
        </w:rPr>
        <w:t xml:space="preserve"> </w:t>
      </w:r>
      <w:r>
        <w:rPr>
          <w:rFonts w:ascii="Times New Roman" w:hAnsi="Times New Roman" w:eastAsia="宋体"/>
        </w:rPr>
        <w:t>号对照表</w:t>
      </w:r>
    </w:p>
    <w:tbl>
      <w:tblPr>
        <w:tblStyle w:val="12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476"/>
        <w:gridCol w:w="4875"/>
        <w:gridCol w:w="1726"/>
        <w:gridCol w:w="1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53" w:type="dxa"/>
          </w:tcPr>
          <w:p>
            <w:pPr>
              <w:pStyle w:val="19"/>
              <w:spacing w:before="19" w:line="278" w:lineRule="auto"/>
              <w:ind w:left="151" w:right="142"/>
              <w:jc w:val="center"/>
              <w:rPr>
                <w:rFonts w:ascii="Times New Roman" w:hAnsi="Times New Roman" w:eastAsia="宋体" w:cs="宋体"/>
                <w:b/>
                <w:bCs/>
                <w:sz w:val="21"/>
              </w:rPr>
            </w:pPr>
            <w:r>
              <w:rPr>
                <w:rFonts w:ascii="Times New Roman" w:hAnsi="Times New Roman" w:eastAsia="宋体" w:cs="宋体"/>
                <w:b/>
                <w:bCs/>
                <w:sz w:val="21"/>
              </w:rPr>
              <w:t>序</w:t>
            </w:r>
          </w:p>
          <w:p>
            <w:pPr>
              <w:pStyle w:val="19"/>
              <w:spacing w:before="19" w:line="278" w:lineRule="auto"/>
              <w:ind w:left="151" w:right="142"/>
              <w:jc w:val="center"/>
              <w:rPr>
                <w:rFonts w:ascii="Times New Roman" w:hAnsi="Times New Roman" w:eastAsia="宋体" w:cs="宋体"/>
                <w:b/>
                <w:bCs/>
                <w:sz w:val="21"/>
              </w:rPr>
            </w:pPr>
            <w:r>
              <w:rPr>
                <w:rFonts w:ascii="Times New Roman" w:hAnsi="Times New Roman" w:eastAsia="宋体" w:cs="宋体"/>
                <w:b/>
                <w:bCs/>
                <w:sz w:val="21"/>
              </w:rPr>
              <w:t>号</w:t>
            </w:r>
          </w:p>
        </w:tc>
        <w:tc>
          <w:tcPr>
            <w:tcW w:w="5351" w:type="dxa"/>
            <w:gridSpan w:val="2"/>
          </w:tcPr>
          <w:p>
            <w:pPr>
              <w:pStyle w:val="19"/>
              <w:spacing w:before="19" w:line="278" w:lineRule="auto"/>
              <w:ind w:left="151" w:right="142"/>
              <w:jc w:val="center"/>
              <w:rPr>
                <w:rFonts w:ascii="Times New Roman" w:hAnsi="Times New Roman" w:eastAsia="宋体" w:cs="宋体"/>
                <w:b/>
                <w:bCs/>
                <w:sz w:val="21"/>
              </w:rPr>
            </w:pPr>
            <w:r>
              <w:rPr>
                <w:rFonts w:ascii="Times New Roman" w:hAnsi="Times New Roman" w:eastAsia="宋体" w:cs="宋体"/>
                <w:b/>
                <w:bCs/>
                <w:sz w:val="21"/>
              </w:rPr>
              <w:t>环办环评函[2020]688 号</w:t>
            </w:r>
          </w:p>
        </w:tc>
        <w:tc>
          <w:tcPr>
            <w:tcW w:w="1726" w:type="dxa"/>
          </w:tcPr>
          <w:p>
            <w:pPr>
              <w:pStyle w:val="19"/>
              <w:spacing w:before="19" w:line="278" w:lineRule="auto"/>
              <w:ind w:left="151" w:right="142"/>
              <w:jc w:val="center"/>
              <w:rPr>
                <w:rFonts w:ascii="Times New Roman" w:hAnsi="Times New Roman" w:eastAsia="宋体" w:cs="宋体"/>
                <w:b/>
                <w:bCs/>
                <w:sz w:val="21"/>
              </w:rPr>
            </w:pPr>
            <w:r>
              <w:rPr>
                <w:rFonts w:ascii="Times New Roman" w:hAnsi="Times New Roman" w:eastAsia="宋体" w:cs="宋体"/>
                <w:b/>
                <w:bCs/>
                <w:sz w:val="21"/>
              </w:rPr>
              <w:t>实际建设情况</w:t>
            </w:r>
          </w:p>
        </w:tc>
        <w:tc>
          <w:tcPr>
            <w:tcW w:w="1434" w:type="dxa"/>
          </w:tcPr>
          <w:p>
            <w:pPr>
              <w:pStyle w:val="19"/>
              <w:spacing w:before="19" w:line="278" w:lineRule="auto"/>
              <w:ind w:left="151" w:right="142"/>
              <w:jc w:val="center"/>
              <w:rPr>
                <w:rFonts w:ascii="Times New Roman" w:hAnsi="Times New Roman" w:eastAsia="宋体" w:cs="宋体"/>
                <w:b/>
                <w:bCs/>
                <w:sz w:val="21"/>
              </w:rPr>
            </w:pPr>
            <w:r>
              <w:rPr>
                <w:rFonts w:ascii="Times New Roman" w:hAnsi="Times New Roman" w:eastAsia="宋体" w:cs="宋体"/>
                <w:b/>
                <w:bCs/>
                <w:sz w:val="21"/>
              </w:rPr>
              <w:t>变化情况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53" w:type="dxa"/>
            <w:vAlign w:val="center"/>
          </w:tcPr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  <w:r>
              <w:rPr>
                <w:rFonts w:ascii="Times New Roman" w:hAnsi="Times New Roman" w:eastAsia="宋体" w:cs="宋体"/>
                <w:sz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  <w:r>
              <w:rPr>
                <w:rFonts w:ascii="Times New Roman" w:hAnsi="Times New Roman" w:eastAsia="宋体" w:cs="宋体"/>
                <w:sz w:val="21"/>
              </w:rPr>
              <w:t>性质</w:t>
            </w:r>
          </w:p>
        </w:tc>
        <w:tc>
          <w:tcPr>
            <w:tcW w:w="4875" w:type="dxa"/>
            <w:vAlign w:val="center"/>
          </w:tcPr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  <w:r>
              <w:rPr>
                <w:rFonts w:ascii="Times New Roman" w:hAnsi="Times New Roman" w:eastAsia="宋体" w:cs="宋体"/>
                <w:sz w:val="21"/>
              </w:rPr>
              <w:t>建设项目开发、使用功能发生变化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建设项目开发、使用功能未发生变化</w:t>
            </w:r>
          </w:p>
        </w:tc>
        <w:tc>
          <w:tcPr>
            <w:tcW w:w="1434" w:type="dxa"/>
            <w:vAlign w:val="center"/>
          </w:tcPr>
          <w:p>
            <w:pPr>
              <w:pStyle w:val="20"/>
              <w:widowControl w:val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宋体"/>
                <w:highlight w:val="none"/>
                <w:lang w:val="en-US" w:eastAsia="zh-CN"/>
              </w:rPr>
              <w:t>没有</w:t>
            </w:r>
            <w:r>
              <w:rPr>
                <w:rFonts w:hint="eastAsia" w:ascii="Times New Roman" w:hAnsi="Times New Roman" w:eastAsia="宋体" w:cs="宋体"/>
                <w:highlight w:val="none"/>
              </w:rPr>
              <w:t>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453" w:type="dxa"/>
            <w:vAlign w:val="center"/>
          </w:tcPr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  <w:r>
              <w:rPr>
                <w:rFonts w:ascii="Times New Roman" w:hAnsi="Times New Roman" w:eastAsia="宋体" w:cs="宋体"/>
                <w:sz w:val="21"/>
              </w:rPr>
              <w:t>2</w:t>
            </w:r>
          </w:p>
        </w:tc>
        <w:tc>
          <w:tcPr>
            <w:tcW w:w="476" w:type="dxa"/>
            <w:vMerge w:val="restart"/>
            <w:vAlign w:val="center"/>
          </w:tcPr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  <w:r>
              <w:rPr>
                <w:rFonts w:ascii="Times New Roman" w:hAnsi="Times New Roman" w:eastAsia="宋体" w:cs="宋体"/>
                <w:sz w:val="21"/>
              </w:rPr>
              <w:t>规模</w:t>
            </w:r>
          </w:p>
        </w:tc>
        <w:tc>
          <w:tcPr>
            <w:tcW w:w="4875" w:type="dxa"/>
            <w:vAlign w:val="center"/>
          </w:tcPr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  <w:r>
              <w:rPr>
                <w:rFonts w:ascii="Times New Roman" w:hAnsi="Times New Roman" w:eastAsia="宋体" w:cs="宋体"/>
                <w:sz w:val="21"/>
              </w:rPr>
              <w:t>生产、处置或储存能力增大 30%及以上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生产、处置和储存能力未增大</w:t>
            </w:r>
          </w:p>
        </w:tc>
        <w:tc>
          <w:tcPr>
            <w:tcW w:w="1434" w:type="dxa"/>
            <w:vAlign w:val="center"/>
          </w:tcPr>
          <w:p>
            <w:pPr>
              <w:pStyle w:val="20"/>
              <w:widowControl w:val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highlight w:val="none"/>
                <w:lang w:val="en-US" w:eastAsia="zh-CN"/>
              </w:rPr>
              <w:t>没有变化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53" w:type="dxa"/>
            <w:vAlign w:val="center"/>
          </w:tcPr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  <w:r>
              <w:rPr>
                <w:rFonts w:ascii="Times New Roman" w:hAnsi="Times New Roman" w:eastAsia="宋体" w:cs="宋体"/>
                <w:sz w:val="21"/>
              </w:rPr>
              <w:t>3</w:t>
            </w:r>
          </w:p>
        </w:tc>
        <w:tc>
          <w:tcPr>
            <w:tcW w:w="476" w:type="dxa"/>
            <w:vMerge w:val="continue"/>
            <w:tcBorders>
              <w:top w:val="nil"/>
            </w:tcBorders>
            <w:vAlign w:val="center"/>
          </w:tcPr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</w:tc>
        <w:tc>
          <w:tcPr>
            <w:tcW w:w="4875" w:type="dxa"/>
            <w:vAlign w:val="center"/>
          </w:tcPr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  <w:r>
              <w:rPr>
                <w:rFonts w:ascii="Times New Roman" w:hAnsi="Times New Roman" w:eastAsia="宋体" w:cs="宋体"/>
                <w:sz w:val="21"/>
              </w:rPr>
              <w:t>生产、处置或储存能力增大，导致废水第一类污染物排放增加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本项目无废水第一类污染物排放</w:t>
            </w:r>
          </w:p>
        </w:tc>
        <w:tc>
          <w:tcPr>
            <w:tcW w:w="1434" w:type="dxa"/>
            <w:vAlign w:val="center"/>
          </w:tcPr>
          <w:p>
            <w:pPr>
              <w:pStyle w:val="20"/>
              <w:widowControl w:val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宋体"/>
                <w:highlight w:val="none"/>
                <w:lang w:val="en-US" w:eastAsia="zh-CN"/>
              </w:rPr>
              <w:t>没有</w:t>
            </w:r>
            <w:r>
              <w:rPr>
                <w:rFonts w:hint="eastAsia" w:ascii="Times New Roman" w:hAnsi="Times New Roman" w:eastAsia="宋体" w:cs="宋体"/>
                <w:highlight w:val="none"/>
              </w:rPr>
              <w:t>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453" w:type="dxa"/>
            <w:vAlign w:val="center"/>
          </w:tcPr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  <w:r>
              <w:rPr>
                <w:rFonts w:ascii="Times New Roman" w:hAnsi="Times New Roman" w:eastAsia="宋体" w:cs="宋体"/>
                <w:sz w:val="21"/>
              </w:rPr>
              <w:t>4</w:t>
            </w:r>
          </w:p>
        </w:tc>
        <w:tc>
          <w:tcPr>
            <w:tcW w:w="476" w:type="dxa"/>
            <w:vMerge w:val="continue"/>
            <w:tcBorders>
              <w:top w:val="nil"/>
            </w:tcBorders>
            <w:vAlign w:val="center"/>
          </w:tcPr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</w:tc>
        <w:tc>
          <w:tcPr>
            <w:tcW w:w="4875" w:type="dxa"/>
            <w:vAlign w:val="center"/>
          </w:tcPr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  <w:r>
              <w:rPr>
                <w:rFonts w:ascii="Times New Roman" w:hAnsi="Times New Roman" w:eastAsia="宋体" w:cs="宋体"/>
                <w:sz w:val="21"/>
              </w:rPr>
              <w:t>位于环境质量不达标区的建设项目生产、处置或 储存能力增大，导致相应污染物排放量增加的（细颗粒物不达标区，相应污染物为二氧化硫、氮氧化物、可吸入颗粒物、挥发性有机物；臭氧不达 标区，相应污染物为氮氧化物、挥发性有机物；其他大气、水污染物因子不达标区，相应污染物为超标污染因子）；位于达标区的建设项目生产、处置或储存能力增大，导致污染物排放量增加10%及以上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生产、处置和储存能力未增大，未导致污染物排放量增大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Times New Roman" w:hAnsi="Times New Roman" w:eastAsia="宋体" w:cs="宋体"/>
                <w:highlight w:val="none"/>
                <w:lang w:val="en-US" w:eastAsia="zh-CN"/>
              </w:rPr>
              <w:t>没有</w:t>
            </w:r>
            <w:r>
              <w:rPr>
                <w:rFonts w:hint="eastAsia" w:ascii="Times New Roman" w:hAnsi="Times New Roman" w:eastAsia="宋体" w:cs="宋体"/>
                <w:highlight w:val="none"/>
              </w:rPr>
              <w:t>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453" w:type="dxa"/>
            <w:vAlign w:val="center"/>
          </w:tcPr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  <w:r>
              <w:rPr>
                <w:rFonts w:ascii="Times New Roman" w:hAnsi="Times New Roman" w:eastAsia="宋体" w:cs="宋体"/>
                <w:sz w:val="21"/>
              </w:rPr>
              <w:t>5</w:t>
            </w:r>
          </w:p>
        </w:tc>
        <w:tc>
          <w:tcPr>
            <w:tcW w:w="476" w:type="dxa"/>
            <w:vAlign w:val="center"/>
          </w:tcPr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  <w:r>
              <w:rPr>
                <w:rFonts w:ascii="Times New Roman" w:hAnsi="Times New Roman" w:eastAsia="宋体" w:cs="宋体"/>
                <w:sz w:val="21"/>
              </w:rPr>
              <w:t>地址</w:t>
            </w:r>
          </w:p>
        </w:tc>
        <w:tc>
          <w:tcPr>
            <w:tcW w:w="4875" w:type="dxa"/>
            <w:vAlign w:val="center"/>
          </w:tcPr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  <w:r>
              <w:rPr>
                <w:rFonts w:ascii="Times New Roman" w:hAnsi="Times New Roman" w:eastAsia="宋体" w:cs="宋体"/>
                <w:sz w:val="21"/>
              </w:rPr>
              <w:t>重新选址：在原厂址附近调整（包括总平面布置 变化）导致环境防护距离范围变化且新增敏感点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未进行重新选址，废水处理设施位置由原来的2层东北侧改变为1层西侧，按环评做好防渗，位置改变，总平面布置变化，但环境防护距离范围不变且未新增敏感点，不属于重大变化。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不属于重大变化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453" w:type="dxa"/>
            <w:vAlign w:val="center"/>
          </w:tcPr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  <w:r>
              <w:rPr>
                <w:rFonts w:ascii="Times New Roman" w:hAnsi="Times New Roman" w:eastAsia="宋体" w:cs="宋体"/>
                <w:sz w:val="21"/>
              </w:rPr>
              <w:t>6</w:t>
            </w:r>
          </w:p>
        </w:tc>
        <w:tc>
          <w:tcPr>
            <w:tcW w:w="476" w:type="dxa"/>
            <w:vMerge w:val="restart"/>
            <w:vAlign w:val="center"/>
          </w:tcPr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  <w:r>
              <w:rPr>
                <w:rFonts w:ascii="Times New Roman" w:hAnsi="Times New Roman" w:eastAsia="宋体" w:cs="宋体"/>
                <w:sz w:val="21"/>
              </w:rPr>
              <w:t>生产工艺</w:t>
            </w:r>
          </w:p>
        </w:tc>
        <w:tc>
          <w:tcPr>
            <w:tcW w:w="4875" w:type="dxa"/>
            <w:vAlign w:val="center"/>
          </w:tcPr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  <w:r>
              <w:rPr>
                <w:rFonts w:ascii="Times New Roman" w:hAnsi="Times New Roman" w:eastAsia="宋体" w:cs="宋体"/>
                <w:sz w:val="21"/>
              </w:rPr>
              <w:t>新增产品品种或生产工艺（含主要生产装置、设备及拍套设施）、主要原辅材料、燃料变化，导致以下情形之一：（1）新增排放污染物种类的（毒性、挥发性降低的除外）；（2）位于环境质量不达标区的建设项目相应污染物排放量增加的；（3）废水第一类污染物排放量增加的；（4）其他污染物排放量增加10%及以上的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产品品种</w:t>
            </w: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生产工艺（含主要生产装置、设备及拍套设施）、主要原辅材料、燃料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未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变化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不属于重大变化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453" w:type="dxa"/>
            <w:vAlign w:val="center"/>
          </w:tcPr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  <w:r>
              <w:rPr>
                <w:rFonts w:ascii="Times New Roman" w:hAnsi="Times New Roman" w:eastAsia="宋体" w:cs="宋体"/>
                <w:sz w:val="21"/>
              </w:rPr>
              <w:t>7</w:t>
            </w:r>
          </w:p>
        </w:tc>
        <w:tc>
          <w:tcPr>
            <w:tcW w:w="476" w:type="dxa"/>
            <w:vMerge w:val="continue"/>
            <w:tcBorders>
              <w:top w:val="nil"/>
            </w:tcBorders>
            <w:vAlign w:val="center"/>
          </w:tcPr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</w:tc>
        <w:tc>
          <w:tcPr>
            <w:tcW w:w="4875" w:type="dxa"/>
            <w:vAlign w:val="center"/>
          </w:tcPr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  <w:r>
              <w:rPr>
                <w:rFonts w:ascii="Times New Roman" w:hAnsi="Times New Roman" w:eastAsia="宋体" w:cs="宋体"/>
                <w:sz w:val="21"/>
              </w:rPr>
              <w:t>物料运输、装卸、贮存方式变化，导致大气污染 物无组织排放量增加10%及以上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物料运输、装卸、贮存方式未变化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Times New Roman" w:hAnsi="Times New Roman" w:eastAsia="宋体" w:cs="宋体"/>
                <w:highlight w:val="none"/>
                <w:lang w:val="en-US" w:eastAsia="zh-CN"/>
              </w:rPr>
              <w:t>没有</w:t>
            </w:r>
            <w:r>
              <w:rPr>
                <w:rFonts w:hint="eastAsia" w:ascii="Times New Roman" w:hAnsi="Times New Roman" w:eastAsia="宋体" w:cs="宋体"/>
                <w:highlight w:val="none"/>
              </w:rPr>
              <w:t>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3" w:type="dxa"/>
            <w:vAlign w:val="center"/>
          </w:tcPr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  <w:r>
              <w:rPr>
                <w:rFonts w:ascii="Times New Roman" w:hAnsi="Times New Roman" w:eastAsia="宋体" w:cs="宋体"/>
                <w:sz w:val="21"/>
              </w:rPr>
              <w:t>8</w:t>
            </w:r>
          </w:p>
        </w:tc>
        <w:tc>
          <w:tcPr>
            <w:tcW w:w="476" w:type="dxa"/>
            <w:vMerge w:val="restart"/>
            <w:vAlign w:val="center"/>
          </w:tcPr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</w:rPr>
              <w:t>环境保护</w:t>
            </w:r>
          </w:p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</w:rPr>
              <w:t>措施</w:t>
            </w:r>
          </w:p>
        </w:tc>
        <w:tc>
          <w:tcPr>
            <w:tcW w:w="4875" w:type="dxa"/>
            <w:vAlign w:val="center"/>
          </w:tcPr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:lang w:val="zh-CN" w:eastAsia="zh-CN" w:bidi="zh-CN"/>
              </w:rPr>
              <w:t>废气、废水污染防治措施变化，导致第 6 条中所列情形之一（废气无组织排放改为有组织排放、污染防治措施强化或改进的除外）或大气污染物无组织排放量增加10%及以上的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废水处理设施位置由原来的2层东北侧改变为1层西侧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废气收集方式改变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，原分析室万向罩收集废气，变动为整体密闭负压收集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zh-CN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废水处理设施位置由原来的2层东北侧改变为1层西侧，按环评做好防渗，位置改变，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总平面布置变化，但环境防护距离范围不变且未新增敏感点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不属于重大变化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。原环评中分析室废气通过万向罩收集，实际废气整体密闭负压收集，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废气收集方式改变，生产产能未增加，生产原料未增加，废气产生量未增加，经过废气处理设施处理后可达标排放，不属于重大变化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3" w:type="dxa"/>
            <w:vAlign w:val="center"/>
          </w:tcPr>
          <w:p>
            <w:pPr>
              <w:widowControl w:val="0"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476" w:type="dxa"/>
            <w:vMerge w:val="continue"/>
            <w:vAlign w:val="center"/>
          </w:tcPr>
          <w:p>
            <w:pPr>
              <w:widowControl w:val="0"/>
              <w:spacing w:line="240" w:lineRule="auto"/>
              <w:ind w:left="0" w:leftChars="0" w:right="0" w:rightChars="0" w:firstLine="42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</w:p>
        </w:tc>
        <w:tc>
          <w:tcPr>
            <w:tcW w:w="4875" w:type="dxa"/>
            <w:vAlign w:val="center"/>
          </w:tcPr>
          <w:p>
            <w:pPr>
              <w:widowControl w:val="0"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新增废水直接排放口；废水由间接排放改为直接排放；废水直接排放口位置变化，导致不利环境影响加重的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废水排放口未发生变化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宋体"/>
                <w:highlight w:val="none"/>
                <w:lang w:val="en-US" w:eastAsia="zh-CN"/>
              </w:rPr>
              <w:t>没有</w:t>
            </w:r>
            <w:r>
              <w:rPr>
                <w:rFonts w:hint="eastAsia" w:ascii="Times New Roman" w:hAnsi="Times New Roman" w:eastAsia="宋体" w:cs="宋体"/>
                <w:highlight w:val="none"/>
              </w:rPr>
              <w:t>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3" w:type="dxa"/>
            <w:vAlign w:val="center"/>
          </w:tcPr>
          <w:p>
            <w:pPr>
              <w:widowControl w:val="0"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476" w:type="dxa"/>
            <w:vMerge w:val="continue"/>
            <w:vAlign w:val="center"/>
          </w:tcPr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</w:tc>
        <w:tc>
          <w:tcPr>
            <w:tcW w:w="4875" w:type="dxa"/>
            <w:vAlign w:val="center"/>
          </w:tcPr>
          <w:p>
            <w:pPr>
              <w:widowControl w:val="0"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新增废气主要排放口（废气无组织排放改为有组织排放的除外）；主要排放口排气筒降低10%及以上的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未新增排放口和降低排气筒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Times New Roman" w:hAnsi="Times New Roman" w:eastAsia="宋体" w:cs="宋体"/>
                <w:highlight w:val="none"/>
                <w:lang w:val="en-US" w:eastAsia="zh-CN"/>
              </w:rPr>
              <w:t>没有</w:t>
            </w:r>
            <w:r>
              <w:rPr>
                <w:rFonts w:hint="eastAsia" w:ascii="Times New Roman" w:hAnsi="Times New Roman" w:eastAsia="宋体" w:cs="宋体"/>
                <w:highlight w:val="none"/>
              </w:rPr>
              <w:t>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3" w:type="dxa"/>
            <w:vAlign w:val="center"/>
          </w:tcPr>
          <w:p>
            <w:pPr>
              <w:widowControl w:val="0"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476" w:type="dxa"/>
            <w:vMerge w:val="continue"/>
            <w:vAlign w:val="center"/>
          </w:tcPr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</w:tc>
        <w:tc>
          <w:tcPr>
            <w:tcW w:w="4875" w:type="dxa"/>
            <w:vAlign w:val="center"/>
          </w:tcPr>
          <w:p>
            <w:pPr>
              <w:widowControl w:val="0"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噪声、土壤或地下水污染防治措施变化，导致不利环境影响加重的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噪声、土壤或地下水污染防治措施未变化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Times New Roman" w:hAnsi="Times New Roman" w:eastAsia="宋体" w:cs="宋体"/>
                <w:highlight w:val="none"/>
                <w:lang w:val="en-US" w:eastAsia="zh-CN"/>
              </w:rPr>
              <w:t>没有</w:t>
            </w:r>
            <w:r>
              <w:rPr>
                <w:rFonts w:hint="eastAsia" w:ascii="Times New Roman" w:hAnsi="Times New Roman" w:eastAsia="宋体" w:cs="宋体"/>
                <w:highlight w:val="none"/>
              </w:rPr>
              <w:t>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3" w:type="dxa"/>
            <w:vAlign w:val="center"/>
          </w:tcPr>
          <w:p>
            <w:pPr>
              <w:widowControl w:val="0"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476" w:type="dxa"/>
            <w:vMerge w:val="continue"/>
            <w:vAlign w:val="center"/>
          </w:tcPr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</w:tc>
        <w:tc>
          <w:tcPr>
            <w:tcW w:w="4875" w:type="dxa"/>
            <w:vAlign w:val="center"/>
          </w:tcPr>
          <w:p>
            <w:pPr>
              <w:widowControl w:val="0"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固体废物利用处置方式由委托外单位利用处置改为自行利用处置的（自行利用处置设施单独开展环境影响评价的除外）；固体废物自行处置方式变化，导致不利环境影响加重的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固体废物处置未发生变化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Times New Roman" w:hAnsi="Times New Roman" w:eastAsia="宋体" w:cs="宋体"/>
                <w:highlight w:val="none"/>
                <w:lang w:val="en-US" w:eastAsia="zh-CN"/>
              </w:rPr>
              <w:t>没有</w:t>
            </w:r>
            <w:r>
              <w:rPr>
                <w:rFonts w:hint="eastAsia" w:ascii="Times New Roman" w:hAnsi="Times New Roman" w:eastAsia="宋体" w:cs="宋体"/>
                <w:highlight w:val="none"/>
              </w:rPr>
              <w:t>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3" w:type="dxa"/>
            <w:vAlign w:val="center"/>
          </w:tcPr>
          <w:p>
            <w:pPr>
              <w:widowControl w:val="0"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476" w:type="dxa"/>
            <w:vMerge w:val="continue"/>
            <w:vAlign w:val="center"/>
          </w:tcPr>
          <w:p>
            <w:pPr>
              <w:pStyle w:val="19"/>
              <w:spacing w:before="19" w:line="278" w:lineRule="auto"/>
              <w:ind w:left="151" w:right="142"/>
              <w:jc w:val="both"/>
              <w:rPr>
                <w:rFonts w:ascii="Times New Roman" w:hAnsi="Times New Roman" w:eastAsia="宋体" w:cs="宋体"/>
                <w:sz w:val="21"/>
              </w:rPr>
            </w:pPr>
          </w:p>
        </w:tc>
        <w:tc>
          <w:tcPr>
            <w:tcW w:w="4875" w:type="dxa"/>
            <w:vAlign w:val="center"/>
          </w:tcPr>
          <w:p>
            <w:pPr>
              <w:widowControl w:val="0"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</w:rPr>
              <w:t>事故废水暂存能力或拦截设施变化，导致环境风险防范能力弱化或降低的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事故废水暂存能力或拦截设施未发生变化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Times New Roman" w:hAnsi="Times New Roman" w:eastAsia="宋体" w:cs="宋体"/>
                <w:highlight w:val="none"/>
                <w:lang w:val="en-US" w:eastAsia="zh-CN"/>
              </w:rPr>
              <w:t>没有</w:t>
            </w:r>
            <w:r>
              <w:rPr>
                <w:rFonts w:hint="eastAsia" w:ascii="Times New Roman" w:hAnsi="Times New Roman" w:eastAsia="宋体" w:cs="宋体"/>
                <w:highlight w:val="none"/>
              </w:rPr>
              <w:t>变化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right="0" w:firstLine="482" w:firstLineChars="200"/>
        <w:jc w:val="both"/>
        <w:textAlignment w:val="auto"/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三、环境保护设施建设情况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firstLine="480" w:firstLineChars="200"/>
        <w:jc w:val="both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（一）废水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sz w:val="24"/>
          <w:szCs w:val="24"/>
          <w:highlight w:val="none"/>
          <w:lang w:val="en-US" w:eastAsia="zh-CN"/>
        </w:rPr>
        <w:t>项目生产运行过程中</w:t>
      </w:r>
      <w:r>
        <w:rPr>
          <w:rFonts w:hint="eastAsia" w:ascii="Times New Roman" w:hAnsi="Times New Roman" w:eastAsia="宋体" w:cs="Times New Roman"/>
          <w:snapToGrid w:val="0"/>
          <w:color w:val="auto"/>
          <w:sz w:val="24"/>
          <w:szCs w:val="24"/>
          <w:highlight w:val="none"/>
          <w:lang w:val="en-US" w:eastAsia="zh-CN"/>
        </w:rPr>
        <w:t>外排</w:t>
      </w:r>
      <w:r>
        <w:rPr>
          <w:rFonts w:hint="default" w:ascii="Times New Roman" w:hAnsi="Times New Roman" w:eastAsia="宋体" w:cs="Times New Roman"/>
          <w:snapToGrid w:val="0"/>
          <w:color w:val="auto"/>
          <w:sz w:val="24"/>
          <w:szCs w:val="24"/>
          <w:highlight w:val="none"/>
          <w:lang w:val="en-US" w:eastAsia="zh-CN"/>
        </w:rPr>
        <w:t>的废水主要为生活污水</w:t>
      </w:r>
      <w:r>
        <w:rPr>
          <w:rFonts w:hint="eastAsia" w:ascii="Times New Roman" w:hAnsi="Times New Roman" w:eastAsia="宋体" w:cs="Times New Roman"/>
          <w:snapToGrid w:val="0"/>
          <w:color w:val="auto"/>
          <w:sz w:val="24"/>
          <w:szCs w:val="24"/>
          <w:highlight w:val="none"/>
          <w:lang w:val="en-US" w:eastAsia="zh-CN"/>
        </w:rPr>
        <w:t>、保洁废水、后段清洗废水以及喷淋废水</w:t>
      </w:r>
      <w:r>
        <w:rPr>
          <w:rFonts w:hint="default" w:ascii="Times New Roman" w:hAnsi="Times New Roman" w:eastAsia="宋体" w:cs="Times New Roman"/>
          <w:snapToGrid w:val="0"/>
          <w:color w:val="auto"/>
          <w:sz w:val="24"/>
          <w:szCs w:val="24"/>
          <w:highlight w:val="none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生活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污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水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和保洁废水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经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化粪池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预处理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后，</w:t>
      </w:r>
      <w:r>
        <w:rPr>
          <w:rFonts w:hint="eastAsia" w:ascii="Times New Roman" w:hAnsi="Times New Roman" w:eastAsia="宋体" w:cs="Times New Roman"/>
          <w:snapToGrid w:val="0"/>
          <w:color w:val="auto"/>
          <w:sz w:val="24"/>
          <w:szCs w:val="24"/>
          <w:highlight w:val="none"/>
          <w:lang w:val="en-US" w:eastAsia="zh-CN"/>
        </w:rPr>
        <w:t>后段清洗废水和喷淋废水经污水处理设施处理，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达到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合肥市十五里河污水处理厂接管标准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以及《污水综合排放标准》（GB8978-1996）中三级标准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后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经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化粪池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进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市政污水管网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经十五里河污水处理厂处理达标后排入十五里河</w:t>
      </w:r>
      <w:r>
        <w:rPr>
          <w:rFonts w:hint="default" w:ascii="Times New Roman" w:hAnsi="Times New Roman" w:eastAsia="宋体" w:cs="Times New Roman"/>
          <w:snapToGrid w:val="0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firstLine="480" w:firstLineChars="200"/>
        <w:jc w:val="both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（二）废气</w:t>
      </w:r>
    </w:p>
    <w:p>
      <w:pPr>
        <w:pStyle w:val="8"/>
        <w:widowControl w:val="0"/>
        <w:wordWrap w:val="0"/>
        <w:topLinePunct/>
        <w:adjustRightInd w:val="0"/>
        <w:snapToGrid w:val="0"/>
        <w:spacing w:after="0" w:line="360" w:lineRule="auto"/>
        <w:ind w:left="0" w:leftChars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zh-CN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项目生产营运过程中，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实验室废气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zh-CN" w:eastAsia="zh-CN"/>
        </w:rPr>
        <w:t>由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集中抽风系统全部收集，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zh-CN" w:eastAsia="zh-CN"/>
        </w:rPr>
        <w:t>后经管道进入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碱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zh-CN" w:eastAsia="zh-CN"/>
        </w:rPr>
        <w:t>喷淋塔装置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+干燥器+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zh-CN" w:eastAsia="zh-CN"/>
        </w:rPr>
        <w:t>二级活性炭吸附装置中处理，处理后废气引至楼顶排放。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实验室废气污染物排放执行《制药工业大气污染物排放标准》（DB34/310005-2021）表1大气污染物基本项目最高允许排放限值和表2大气污染物特征污染物最高允许排放限值。厂区内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非甲烷总烃无组织排放执行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安徽省《制药工业大气污染物排放标准》（DB34/310005-2021）中表6厂区内VOCs无组织排放最高允许限值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项目厂界无组织废气执行《大气污染物综合排放标准》（GB16297-1996）中表2无组织排放监控浓度限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二氯甲烷无组织排放限值参照执行上海市《大气污染物综合排放标准》（DB31/933-2015）中表3厂界大气污染物监控点浓度限值。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firstLine="480" w:firstLineChars="200"/>
        <w:jc w:val="both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（三）噪声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0"/>
        </w:rPr>
        <w:t>项目主要噪声为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搅拌器、烘干器</w:t>
      </w:r>
      <w:r>
        <w:rPr>
          <w:rFonts w:hint="default" w:ascii="Times New Roman" w:hAnsi="Times New Roman" w:eastAsia="宋体" w:cs="Times New Roman"/>
          <w:color w:val="auto"/>
          <w:sz w:val="24"/>
          <w:szCs w:val="20"/>
        </w:rPr>
        <w:t>等设备产生的噪声，源强约为</w:t>
      </w:r>
      <w:r>
        <w:rPr>
          <w:rFonts w:hint="default" w:ascii="Times New Roman" w:hAnsi="Times New Roman" w:eastAsia="宋体" w:cs="Times New Roman"/>
          <w:color w:val="auto"/>
          <w:sz w:val="24"/>
          <w:szCs w:val="20"/>
          <w:lang w:val="en-US" w:eastAsia="zh-CN"/>
        </w:rPr>
        <w:t>60-90</w:t>
      </w:r>
      <w:r>
        <w:rPr>
          <w:rFonts w:hint="default" w:ascii="Times New Roman" w:hAnsi="Times New Roman" w:eastAsia="宋体" w:cs="Times New Roman"/>
          <w:color w:val="auto"/>
          <w:sz w:val="24"/>
          <w:szCs w:val="20"/>
        </w:rPr>
        <w:t>dB(A)。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本项目通过采取了合理布局、厂房隔声、选用低噪声设备、隔声、减振，加强管理等措施保证项目厂界噪声可以达到《工业企业厂界环境噪声排放标准》（GB12348-2008）中3类标准要求，尽可能降低生产噪声对周围环境的影响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firstLine="480" w:firstLineChars="200"/>
        <w:jc w:val="both"/>
        <w:textAlignment w:val="auto"/>
        <w:rPr>
          <w:rFonts w:ascii="Times New Roman" w:hAnsi="Times New Roman" w:eastAsia="宋体" w:cs="宋体"/>
        </w:rPr>
      </w:pPr>
      <w:r>
        <w:rPr>
          <w:rFonts w:ascii="Times New Roman" w:hAnsi="Times New Roman" w:eastAsia="宋体" w:cs="宋体"/>
        </w:rPr>
        <w:t>（四）固体废物</w:t>
      </w:r>
    </w:p>
    <w:p>
      <w:pPr>
        <w:spacing w:after="0"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项目生活垃圾交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由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环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卫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部门统一清运处理；</w:t>
      </w:r>
    </w:p>
    <w:p>
      <w:pPr>
        <w:spacing w:after="0"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一般工业固体废物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废包装材料收集后外售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危险废物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主要为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废试剂包装容器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废一次性实验耗材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实验废液、反应产物、废催化剂、废活性炭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 w:bidi="ar"/>
        </w:rPr>
        <w:t>分类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暂存于危险废物暂存间，危险废物暂存间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位于项目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东北角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 w:bidi="ar"/>
        </w:rPr>
        <w:t>建筑面积为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10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  <w:lang w:bidi="ar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交由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 w:bidi="ar"/>
        </w:rPr>
        <w:t>合肥和嘉环境科技有限公司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处置。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firstLine="480" w:firstLineChars="200"/>
        <w:jc w:val="both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（五）其他环境保护设施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both"/>
        <w:textAlignment w:val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  <w:lang w:val="en-US" w:eastAsia="zh-CN"/>
        </w:rPr>
        <w:t>1.</w:t>
      </w:r>
      <w:r>
        <w:rPr>
          <w:rFonts w:ascii="Times New Roman" w:hAnsi="Times New Roman" w:eastAsia="宋体"/>
          <w:sz w:val="24"/>
        </w:rPr>
        <w:t>环境风险防范设施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firstLine="480" w:firstLineChars="200"/>
        <w:jc w:val="both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项目采取以下防腐防渗措施：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/>
        <w:jc w:val="center"/>
        <w:textAlignment w:val="auto"/>
        <w:outlineLvl w:val="9"/>
        <w:rPr>
          <w:rFonts w:ascii="Times New Roman" w:hAnsi="Times New Roman" w:eastAsia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/>
        <w:jc w:val="center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 xml:space="preserve">表 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ascii="Times New Roman" w:hAnsi="Times New Roman" w:eastAsia="宋体"/>
        </w:rPr>
        <w:t xml:space="preserve">  项目采取的防腐防渗措施一览表</w:t>
      </w:r>
    </w:p>
    <w:p>
      <w:pPr>
        <w:pStyle w:val="7"/>
        <w:spacing w:before="5"/>
        <w:ind w:left="0"/>
        <w:jc w:val="both"/>
        <w:rPr>
          <w:rFonts w:ascii="Times New Roman" w:hAnsi="Times New Roman" w:eastAsia="宋体"/>
          <w:b/>
          <w:sz w:val="12"/>
        </w:rPr>
      </w:pPr>
    </w:p>
    <w:tbl>
      <w:tblPr>
        <w:tblStyle w:val="12"/>
        <w:tblW w:w="0" w:type="auto"/>
        <w:tblInd w:w="5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2564"/>
        <w:gridCol w:w="4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2" w:type="dxa"/>
          </w:tcPr>
          <w:p>
            <w:pPr>
              <w:pStyle w:val="19"/>
              <w:spacing w:before="19"/>
              <w:ind w:left="123" w:right="115"/>
              <w:jc w:val="center"/>
              <w:rPr>
                <w:rFonts w:ascii="Times New Roman" w:hAnsi="Times New Roman" w:eastAsia="宋体"/>
                <w:b/>
                <w:bCs/>
                <w:sz w:val="21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</w:rPr>
              <w:t>序号</w:t>
            </w:r>
          </w:p>
        </w:tc>
        <w:tc>
          <w:tcPr>
            <w:tcW w:w="2564" w:type="dxa"/>
          </w:tcPr>
          <w:p>
            <w:pPr>
              <w:pStyle w:val="19"/>
              <w:spacing w:before="19"/>
              <w:ind w:left="603" w:right="599"/>
              <w:jc w:val="center"/>
              <w:rPr>
                <w:rFonts w:ascii="Times New Roman" w:hAnsi="Times New Roman" w:eastAsia="宋体"/>
                <w:b/>
                <w:bCs/>
                <w:sz w:val="21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</w:rPr>
              <w:t>名称</w:t>
            </w:r>
          </w:p>
        </w:tc>
        <w:tc>
          <w:tcPr>
            <w:tcW w:w="4574" w:type="dxa"/>
          </w:tcPr>
          <w:p>
            <w:pPr>
              <w:pStyle w:val="19"/>
              <w:spacing w:before="19"/>
              <w:ind w:left="38" w:right="30"/>
              <w:jc w:val="center"/>
              <w:rPr>
                <w:rFonts w:ascii="Times New Roman" w:hAnsi="Times New Roman" w:eastAsia="宋体"/>
                <w:b/>
                <w:bCs/>
                <w:sz w:val="21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</w:rPr>
              <w:t>防腐防渗措施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2" w:type="dxa"/>
          </w:tcPr>
          <w:p>
            <w:pPr>
              <w:pStyle w:val="19"/>
              <w:spacing w:before="189"/>
              <w:ind w:left="7"/>
              <w:jc w:val="center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w w:val="99"/>
                <w:sz w:val="21"/>
              </w:rPr>
              <w:t>1</w:t>
            </w:r>
          </w:p>
        </w:tc>
        <w:tc>
          <w:tcPr>
            <w:tcW w:w="2564" w:type="dxa"/>
            <w:vAlign w:val="center"/>
          </w:tcPr>
          <w:p>
            <w:pPr>
              <w:pStyle w:val="2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zh-CN"/>
              </w:rPr>
              <w:t>危险废物暂存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zh-CN" w:eastAsia="zh-CN"/>
              </w:rPr>
              <w:t>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试剂库、化学品库、污水处理设施区</w:t>
            </w:r>
          </w:p>
        </w:tc>
        <w:tc>
          <w:tcPr>
            <w:tcW w:w="4574" w:type="dxa"/>
            <w:vAlign w:val="center"/>
          </w:tcPr>
          <w:p>
            <w:pPr>
              <w:pStyle w:val="2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重点防渗，防渗层为2毫米厚环氧树脂（渗透系数≤10-10厘米/秒），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危废间</w:t>
            </w:r>
            <w:r>
              <w:rPr>
                <w:rFonts w:hint="default" w:ascii="Times New Roman" w:hAnsi="Times New Roman" w:cs="Times New Roman"/>
                <w:color w:val="auto"/>
              </w:rPr>
              <w:t>设置防渗托盘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2" w:type="dxa"/>
          </w:tcPr>
          <w:p>
            <w:pPr>
              <w:pStyle w:val="19"/>
              <w:spacing w:before="189"/>
              <w:ind w:left="7"/>
              <w:jc w:val="center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w w:val="99"/>
                <w:sz w:val="21"/>
              </w:rPr>
              <w:t>2</w:t>
            </w:r>
          </w:p>
        </w:tc>
        <w:tc>
          <w:tcPr>
            <w:tcW w:w="2564" w:type="dxa"/>
            <w:vAlign w:val="center"/>
          </w:tcPr>
          <w:p>
            <w:pPr>
              <w:pStyle w:val="2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其余区域</w:t>
            </w:r>
          </w:p>
        </w:tc>
        <w:tc>
          <w:tcPr>
            <w:tcW w:w="4574" w:type="dxa"/>
            <w:vAlign w:val="center"/>
          </w:tcPr>
          <w:p>
            <w:pPr>
              <w:pStyle w:val="2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一般防渗，各防渗层为至少1米厚粘土层（渗透系数≤10-7厘米/秒）</w:t>
            </w:r>
          </w:p>
        </w:tc>
      </w:tr>
    </w:tbl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both"/>
        <w:textAlignment w:val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  <w:lang w:val="en-US" w:eastAsia="zh-CN"/>
        </w:rPr>
        <w:t>2.</w:t>
      </w:r>
      <w:r>
        <w:rPr>
          <w:rFonts w:ascii="Times New Roman" w:hAnsi="Times New Roman" w:eastAsia="宋体"/>
          <w:sz w:val="24"/>
        </w:rPr>
        <w:t>在线监测装置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firstLine="480" w:firstLineChars="200"/>
        <w:jc w:val="both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本项目不涉及在线监测装置。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right="0" w:rightChars="0" w:firstLine="460" w:firstLineChars="200"/>
        <w:jc w:val="both"/>
        <w:textAlignment w:val="auto"/>
        <w:rPr>
          <w:rFonts w:ascii="Times New Roman" w:hAnsi="Times New Roman" w:eastAsia="宋体"/>
          <w:spacing w:val="-5"/>
          <w:sz w:val="24"/>
        </w:rPr>
      </w:pPr>
      <w:r>
        <w:rPr>
          <w:rFonts w:hint="eastAsia" w:ascii="Times New Roman" w:hAnsi="Times New Roman" w:eastAsia="宋体"/>
          <w:spacing w:val="-5"/>
          <w:sz w:val="24"/>
          <w:lang w:val="en-US" w:eastAsia="zh-CN"/>
        </w:rPr>
        <w:t>3.</w:t>
      </w:r>
      <w:r>
        <w:rPr>
          <w:rFonts w:ascii="Times New Roman" w:hAnsi="Times New Roman" w:eastAsia="宋体"/>
          <w:spacing w:val="-5"/>
          <w:sz w:val="24"/>
        </w:rPr>
        <w:t>其他设施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both"/>
        <w:textAlignment w:val="auto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firstLine="482" w:firstLineChars="200"/>
        <w:jc w:val="both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四、环境保护设施调试效果</w:t>
      </w:r>
    </w:p>
    <w:p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废水监测结论</w:t>
      </w:r>
    </w:p>
    <w:p>
      <w:pPr>
        <w:spacing w:after="0"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根据监测结果，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 w:bidi="ar"/>
        </w:rPr>
        <w:t>2023年7月10日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，项目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 w:bidi="ar"/>
        </w:rPr>
        <w:t>实验室污水处理设施出口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pH值范围为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7.4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~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7.6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，日均值化学需氧量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6.75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mg/L、五日生化需氧量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3.95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mg/L、悬浮物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11.5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mg/L、氨氮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0.26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mg/L；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 w:bidi="ar"/>
        </w:rPr>
        <w:t>2023年7月1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 w:bidi="ar"/>
        </w:rPr>
        <w:t>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，项目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 w:bidi="ar"/>
        </w:rPr>
        <w:t>实验室污水处理设施出口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pH值范围为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7.4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~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7.6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，日均值化学需氧量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4.25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mg/L、五日生化需氧量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3.4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mg/L、悬浮物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13.5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mg/L、氨氮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0.34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mg/L。监测期间，连续两日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 w:bidi="ar"/>
        </w:rPr>
        <w:t>实验室污水处理设施出口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各项水污染物日均值均能满足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十五里河污水处理厂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接管标准。</w:t>
      </w:r>
    </w:p>
    <w:p>
      <w:pPr>
        <w:pStyle w:val="4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废气监测结论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 w:bidi="ar"/>
        </w:rPr>
        <w:t>2023年7月10日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，TA001出口非甲烷总烃平均排放浓度为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2.75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mg/m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，平均排放速率为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1.75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×10</w:t>
      </w:r>
      <w:r>
        <w:rPr>
          <w:rFonts w:hint="default" w:ascii="Times New Roman" w:hAnsi="Times New Roman" w:eastAsia="宋体" w:cs="Times New Roman"/>
          <w:color w:val="auto"/>
          <w:sz w:val="24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color w:val="auto"/>
          <w:sz w:val="24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kg/h；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氯化氢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平均排放浓度为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3.3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mg/m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，平均排放速率为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2.11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×10</w:t>
      </w:r>
      <w:r>
        <w:rPr>
          <w:rFonts w:hint="default" w:ascii="Times New Roman" w:hAnsi="Times New Roman" w:eastAsia="宋体" w:cs="Times New Roman"/>
          <w:color w:val="auto"/>
          <w:sz w:val="24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color w:val="auto"/>
          <w:sz w:val="24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kg/h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 w:bidi="ar"/>
        </w:rPr>
        <w:t>2023年7月1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 w:bidi="ar"/>
        </w:rPr>
        <w:t>日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，TA001出口非甲烷总烃平均排放浓度为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2.83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mg/m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，平均排放速率为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1.79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×10</w:t>
      </w:r>
      <w:r>
        <w:rPr>
          <w:rFonts w:hint="default" w:ascii="Times New Roman" w:hAnsi="Times New Roman" w:eastAsia="宋体" w:cs="Times New Roman"/>
          <w:color w:val="auto"/>
          <w:sz w:val="24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color w:val="auto"/>
          <w:sz w:val="24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kg/h；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氯化氢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平均排放浓度为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3.13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mg/m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，平均排放速率为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1.98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×10</w:t>
      </w:r>
      <w:r>
        <w:rPr>
          <w:rFonts w:hint="default" w:ascii="Times New Roman" w:hAnsi="Times New Roman" w:eastAsia="宋体" w:cs="Times New Roman"/>
          <w:color w:val="auto"/>
          <w:sz w:val="24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color w:val="auto"/>
          <w:sz w:val="24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kg/h。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非甲烷总烃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、氯化氢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排放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满足《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制药工业大气污染物排放标准》（DB34/310005-2021）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浓度限值要求。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根据两天监测结果，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 w:bidi="ar"/>
        </w:rPr>
        <w:t>2023年7月10日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，项目厂界非甲烷总烃的最大监测值为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mg/m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氯化氢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的最大监测值为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0.0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64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mg/m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 w:bidi="ar"/>
        </w:rPr>
        <w:t>2023年7月1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 w:bidi="ar"/>
        </w:rPr>
        <w:t>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，项目厂界非甲烷总烃的最大监测值为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1.13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mg/m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氯化氢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的最大监测值为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156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mg/m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 w:bidi="ar"/>
        </w:rPr>
        <w:t>2023年7月10日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厂区内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项目厂界非甲烷总烃的最大监测值为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58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mg/m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 w:bidi="ar"/>
        </w:rPr>
        <w:t>2023年7月1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 w:bidi="ar"/>
        </w:rPr>
        <w:t>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厂区内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项目厂界非甲烷总烃的最大监测值为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68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mg/m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项目无组织排放非甲烷总烃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氯化氢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满足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《大气污染物综合排放标准》（GB16297-1996）中浓度限值要求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厂区内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非甲烷总烃无组织排放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满足安徽省《制药工业大气污染物排放标准》（DB34/310005-2021）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限值要求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噪声监测结论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0" w:right="0" w:rightChars="0"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经过两天监测，项目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日厂界昼间噪声值范围为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~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58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dB(A)，夜间噪声值范围为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46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~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48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dB(A)；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日厂界昼间噪声值范围为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54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~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57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dB(A)，夜间噪声值范围为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47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~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49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dB(A)，均符合《工业企业厂界环境噪声排放标准》（GB12348-2008）中的3类标准要求（昼间65dB(A)、夜间55dB(A)）。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固体废物处置</w:t>
      </w:r>
    </w:p>
    <w:p>
      <w:pPr>
        <w:spacing w:after="0"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项目生活垃圾交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由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环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卫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部门统一清运处理；一般工业固体废物废包装材料收集后外售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；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危险废物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主要为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实验废液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、废活性炭（废气处理）、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过期药品、有机溶剂、沾染物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 w:bidi="ar"/>
        </w:rPr>
        <w:t>分类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暂存于危险废物暂存间，危险废物暂存间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位于项目一般固废间北侧，建筑面积约10m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  <w:lang w:bidi="ar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交由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 w:bidi="ar"/>
        </w:rPr>
        <w:t>合肥和嘉环境科技有限公司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处置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五、工程建设对环境的影响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本项目环境影响报告表及其审批意见均未要求进行环境质量监测，对周边环境影响轻微，故验收期间未对项目周边环境质量进行监测。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both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六、验收结论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按《建设项目环境保护管理条例》中所规定要求：本项目建设前期环境保护审查、审批手续完备，技术资料与环境保护档案资料基本齐全；环境保护设施已按环评及批复的要求落实，环境保护设施经负荷检测合格，具备环境保护设施正常运转的条件，各项污染物排放均满足排放标准要求。验收组成员认为本项目竣工环境保护验收合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both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七、后续要求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、进一步完善环境保护管理制度及操作规程，加强污染防治设施的运行管理和维护，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 w:bidi="ar"/>
        </w:rPr>
        <w:t>完善规范化标识，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确保设施正常运行，污染物稳定达标排放。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、建议建设单位增强员工危险废物集中处理与存放的意识，并定期对危废仓库进行检查与核对，做到无任何安全隐患。</w:t>
      </w:r>
    </w:p>
    <w:p>
      <w:pPr>
        <w:keepNext w:val="0"/>
        <w:keepLines w:val="0"/>
        <w:widowControl/>
        <w:suppressLineNumbers w:val="0"/>
        <w:jc w:val="right"/>
        <w:rPr>
          <w:rFonts w:ascii="Times New Roman" w:hAnsi="Times New Roman" w:eastAsia="宋体"/>
        </w:rPr>
      </w:pPr>
      <w:r>
        <w:rPr>
          <w:rFonts w:hint="eastAsia" w:ascii="Times New Roman" w:hAnsi="Times New Roman" w:cs="宋体"/>
          <w:b/>
          <w:bCs/>
          <w:color w:val="000000"/>
          <w:kern w:val="0"/>
          <w:sz w:val="24"/>
          <w:szCs w:val="24"/>
          <w:lang w:val="en-US" w:eastAsia="zh-CN" w:bidi="ar"/>
        </w:rPr>
        <w:t>安徽珐诺伊医药科技有限公司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right="0" w:firstLine="482" w:firstLineChars="200"/>
        <w:jc w:val="right"/>
        <w:textAlignment w:val="auto"/>
        <w:rPr>
          <w:rFonts w:hint="eastAsia" w:ascii="Times New Roman" w:hAnsi="Times New Roman" w:eastAsia="宋体"/>
          <w:position w:val="2"/>
          <w:vertAlign w:val="baseline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202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月29日</w:t>
      </w:r>
    </w:p>
    <w:sectPr>
      <w:pgSz w:w="11910" w:h="16840"/>
      <w:pgMar w:top="1460" w:right="1360" w:bottom="1463" w:left="13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3D91EF"/>
    <w:multiLevelType w:val="singleLevel"/>
    <w:tmpl w:val="083D91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I0NmVjMjhiZTliY2I0OTZjNTY0OTM4MTI0YzBmOGMifQ=="/>
  </w:docVars>
  <w:rsids>
    <w:rsidRoot w:val="00000000"/>
    <w:rsid w:val="00CA6E92"/>
    <w:rsid w:val="0144653E"/>
    <w:rsid w:val="036B6F68"/>
    <w:rsid w:val="05EB4E16"/>
    <w:rsid w:val="06B37067"/>
    <w:rsid w:val="13D538D5"/>
    <w:rsid w:val="151A0AF9"/>
    <w:rsid w:val="17D91C78"/>
    <w:rsid w:val="18371EB1"/>
    <w:rsid w:val="1AC76DF0"/>
    <w:rsid w:val="1BAE33B0"/>
    <w:rsid w:val="1FC94140"/>
    <w:rsid w:val="2620563C"/>
    <w:rsid w:val="26A05418"/>
    <w:rsid w:val="28AA1D31"/>
    <w:rsid w:val="28DA6519"/>
    <w:rsid w:val="2A3A7029"/>
    <w:rsid w:val="2AFF36C6"/>
    <w:rsid w:val="2D2154E0"/>
    <w:rsid w:val="2E205BAC"/>
    <w:rsid w:val="324C14CB"/>
    <w:rsid w:val="328C4750"/>
    <w:rsid w:val="38564960"/>
    <w:rsid w:val="390F47C7"/>
    <w:rsid w:val="3A63223A"/>
    <w:rsid w:val="3A811F62"/>
    <w:rsid w:val="3CD05DBD"/>
    <w:rsid w:val="3D132237"/>
    <w:rsid w:val="3D83118C"/>
    <w:rsid w:val="403125E7"/>
    <w:rsid w:val="42380803"/>
    <w:rsid w:val="42B53B48"/>
    <w:rsid w:val="43810424"/>
    <w:rsid w:val="441B2382"/>
    <w:rsid w:val="443D3E0D"/>
    <w:rsid w:val="45397182"/>
    <w:rsid w:val="45CC0FAD"/>
    <w:rsid w:val="47682185"/>
    <w:rsid w:val="4BB62FE7"/>
    <w:rsid w:val="4D722434"/>
    <w:rsid w:val="50383C57"/>
    <w:rsid w:val="503B294F"/>
    <w:rsid w:val="515531D2"/>
    <w:rsid w:val="52BB2130"/>
    <w:rsid w:val="532A652A"/>
    <w:rsid w:val="53916747"/>
    <w:rsid w:val="544113E6"/>
    <w:rsid w:val="54C05AF3"/>
    <w:rsid w:val="5533088A"/>
    <w:rsid w:val="56A45C5C"/>
    <w:rsid w:val="57C4514E"/>
    <w:rsid w:val="589B2B72"/>
    <w:rsid w:val="60487362"/>
    <w:rsid w:val="605C4EB2"/>
    <w:rsid w:val="6090755A"/>
    <w:rsid w:val="6274550B"/>
    <w:rsid w:val="68936BB5"/>
    <w:rsid w:val="69161412"/>
    <w:rsid w:val="6BCC7022"/>
    <w:rsid w:val="6F507677"/>
    <w:rsid w:val="6FD46A79"/>
    <w:rsid w:val="715B3C88"/>
    <w:rsid w:val="727F16AF"/>
    <w:rsid w:val="782271E9"/>
    <w:rsid w:val="7A8014A6"/>
    <w:rsid w:val="7DDF31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922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ind w:firstLine="0" w:firstLineChars="0"/>
      <w:jc w:val="left"/>
      <w:outlineLvl w:val="2"/>
    </w:pPr>
    <w:rPr>
      <w:b/>
      <w:bCs/>
      <w:szCs w:val="32"/>
    </w:rPr>
  </w:style>
  <w:style w:type="paragraph" w:styleId="5">
    <w:name w:val="heading 4"/>
    <w:basedOn w:val="1"/>
    <w:next w:val="1"/>
    <w:qFormat/>
    <w:uiPriority w:val="9"/>
    <w:pPr>
      <w:keepNext/>
      <w:keepLines/>
      <w:ind w:firstLine="0"/>
      <w:jc w:val="left"/>
      <w:outlineLvl w:val="3"/>
    </w:pPr>
    <w:rPr>
      <w:b/>
      <w:bCs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号正文"/>
    <w:basedOn w:val="1"/>
    <w:next w:val="1"/>
    <w:qFormat/>
    <w:uiPriority w:val="0"/>
    <w:pPr>
      <w:tabs>
        <w:tab w:val="left" w:pos="1540"/>
      </w:tabs>
      <w:overflowPunct w:val="0"/>
      <w:snapToGrid w:val="0"/>
      <w:spacing w:line="360" w:lineRule="auto"/>
      <w:ind w:firstLine="1040"/>
    </w:pPr>
    <w:rPr>
      <w:rFonts w:ascii="Arial" w:hAnsi="Arial"/>
      <w:sz w:val="24"/>
      <w:szCs w:val="20"/>
    </w:rPr>
  </w:style>
  <w:style w:type="paragraph" w:styleId="6">
    <w:name w:val="annotation text"/>
    <w:basedOn w:val="1"/>
    <w:unhideWhenUsed/>
    <w:qFormat/>
    <w:uiPriority w:val="0"/>
    <w:pPr>
      <w:spacing w:line="240" w:lineRule="auto"/>
      <w:ind w:firstLine="0"/>
      <w:jc w:val="left"/>
    </w:pPr>
    <w:rPr>
      <w:sz w:val="21"/>
    </w:rPr>
  </w:style>
  <w:style w:type="paragraph" w:styleId="7">
    <w:name w:val="Body Text"/>
    <w:basedOn w:val="1"/>
    <w:qFormat/>
    <w:uiPriority w:val="1"/>
    <w:pPr>
      <w:spacing w:before="161"/>
      <w:ind w:left="440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8">
    <w:name w:val="Body Text Indent"/>
    <w:basedOn w:val="1"/>
    <w:next w:val="9"/>
    <w:qFormat/>
    <w:uiPriority w:val="0"/>
    <w:pPr>
      <w:spacing w:after="120"/>
      <w:ind w:left="420" w:leftChars="200"/>
    </w:pPr>
  </w:style>
  <w:style w:type="paragraph" w:styleId="9">
    <w:name w:val="Body Text Indent 2"/>
    <w:basedOn w:val="1"/>
    <w:next w:val="10"/>
    <w:qFormat/>
    <w:uiPriority w:val="99"/>
    <w:pPr>
      <w:tabs>
        <w:tab w:val="left" w:pos="0"/>
      </w:tabs>
      <w:adjustRightInd w:val="0"/>
      <w:snapToGrid w:val="0"/>
      <w:spacing w:before="120" w:line="360" w:lineRule="auto"/>
      <w:ind w:firstLine="480" w:firstLineChars="200"/>
    </w:pPr>
    <w:rPr>
      <w:sz w:val="24"/>
      <w:szCs w:val="20"/>
    </w:rPr>
  </w:style>
  <w:style w:type="paragraph" w:styleId="10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customStyle="1" w:styleId="15">
    <w:name w:val="Default"/>
    <w:basedOn w:val="16"/>
    <w:next w:val="1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文本"/>
    <w:basedOn w:val="1"/>
    <w:next w:val="1"/>
    <w:qFormat/>
    <w:uiPriority w:val="0"/>
    <w:pPr>
      <w:autoSpaceDE w:val="0"/>
      <w:autoSpaceDN w:val="0"/>
      <w:ind w:firstLine="480"/>
    </w:pPr>
    <w:rPr>
      <w:szCs w:val="24"/>
      <w:lang w:val="zh-CN"/>
    </w:r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1"/>
    <w:pPr>
      <w:spacing w:before="160"/>
      <w:ind w:left="1101" w:hanging="182"/>
    </w:pPr>
    <w:rPr>
      <w:rFonts w:ascii="宋体" w:hAnsi="宋体" w:eastAsia="宋体" w:cs="宋体"/>
      <w:lang w:val="zh-CN" w:eastAsia="zh-CN" w:bidi="zh-CN"/>
    </w:rPr>
  </w:style>
  <w:style w:type="paragraph" w:customStyle="1" w:styleId="1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20">
    <w:name w:val="表内正文"/>
    <w:qFormat/>
    <w:uiPriority w:val="0"/>
    <w:pPr>
      <w:jc w:val="center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customStyle="1" w:styleId="21">
    <w:name w:val="表内文字"/>
    <w:basedOn w:val="1"/>
    <w:qFormat/>
    <w:uiPriority w:val="0"/>
    <w:pPr>
      <w:adjustRightInd w:val="0"/>
      <w:spacing w:line="240" w:lineRule="auto"/>
      <w:ind w:firstLine="0"/>
      <w:jc w:val="center"/>
      <w:textAlignment w:val="baseline"/>
    </w:pPr>
    <w:rPr>
      <w:sz w:val="21"/>
    </w:rPr>
  </w:style>
  <w:style w:type="table" w:customStyle="1" w:styleId="22">
    <w:name w:val="网格型1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5778</Words>
  <Characters>6506</Characters>
  <TotalTime>2</TotalTime>
  <ScaleCrop>false</ScaleCrop>
  <LinksUpToDate>false</LinksUpToDate>
  <CharactersWithSpaces>6538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2022-06-27T07:05:00Z</dcterms:created>
  <dc:creator>xqy</dc:creator>
  <cp:lastModifiedBy>go</cp:lastModifiedBy>
  <dcterms:modified xsi:type="dcterms:W3CDTF">2023-07-28T05:47:37Z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2022-06-27T00:00:00Z</vt:filetime>
  </property>
  <property fmtid="{D5CDD505-2E9C-101B-9397-08002B2CF9AE}" pid="5" name="KSOProductBuildVer">
    <vt:lpwstr>2052-12.1.0.15120</vt:lpwstr>
  </property>
  <property fmtid="{D5CDD505-2E9C-101B-9397-08002B2CF9AE}" pid="6" name="ICV">
    <vt:lpwstr>F177A50D5EA9404688D64D3F06F5B97E</vt:lpwstr>
  </property>
</Properties>
</file>