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324" w:lineRule="auto"/>
        <w:ind w:left="1340" w:right="437" w:hanging="900"/>
        <w:jc w:val="center"/>
        <w:rPr>
          <w:b/>
          <w:sz w:val="36"/>
        </w:rPr>
      </w:pPr>
      <w:r>
        <w:rPr>
          <w:rFonts w:hint="eastAsia"/>
          <w:b/>
          <w:spacing w:val="-5"/>
          <w:sz w:val="36"/>
          <w:lang w:val="en-US" w:eastAsia="zh-CN"/>
        </w:rPr>
        <w:t>爱佳</w:t>
      </w:r>
      <w:r>
        <w:rPr>
          <w:rFonts w:hint="eastAsia"/>
          <w:b/>
          <w:spacing w:val="-5"/>
          <w:sz w:val="36"/>
        </w:rPr>
        <w:t>宠物医院项目</w:t>
      </w:r>
      <w:r>
        <w:rPr>
          <w:b/>
          <w:sz w:val="36"/>
        </w:rPr>
        <w:t>竣工环境保护验收意见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firstLine="480" w:firstLineChars="200"/>
        <w:jc w:val="both"/>
        <w:textAlignment w:val="auto"/>
      </w:pPr>
      <w:r>
        <w:rPr>
          <w:rFonts w:ascii="Times New Roman" w:hAnsi="Times New Roman" w:eastAsia="Times New Roman" w:cs="Times New Roman"/>
        </w:rPr>
        <w:t>202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spacing w:val="-30"/>
        </w:rPr>
        <w:t>年</w:t>
      </w:r>
      <w:r>
        <w:rPr>
          <w:rFonts w:hint="eastAsia" w:ascii="Times New Roman" w:hAnsi="Times New Roman" w:cs="Times New Roman"/>
          <w:spacing w:val="-30"/>
          <w:lang w:val="en-US" w:eastAsia="zh-CN"/>
        </w:rPr>
        <w:t>8月7</w:t>
      </w:r>
      <w:r>
        <w:rPr>
          <w:rFonts w:ascii="Times New Roman" w:hAnsi="Times New Roman" w:cs="Times New Roman"/>
          <w:spacing w:val="-9"/>
        </w:rPr>
        <w:t>日</w:t>
      </w:r>
      <w:r>
        <w:rPr>
          <w:spacing w:val="-9"/>
        </w:rPr>
        <w:t>，</w:t>
      </w:r>
      <w:r>
        <w:rPr>
          <w:rFonts w:hint="eastAsia" w:ascii="Times New Roman"/>
          <w:lang w:val="en-US" w:eastAsia="zh-CN" w:bidi="ar"/>
        </w:rPr>
        <w:t>合肥瑶海区爱佳</w:t>
      </w:r>
      <w:r>
        <w:rPr>
          <w:rFonts w:hint="eastAsia" w:ascii="宋体" w:hAnsi="宋体" w:eastAsia="宋体"/>
          <w:color w:val="000000"/>
          <w:sz w:val="24"/>
          <w:szCs w:val="24"/>
        </w:rPr>
        <w:t>宠物医院</w:t>
      </w:r>
      <w:r>
        <w:rPr>
          <w:spacing w:val="-9"/>
        </w:rPr>
        <w:t>根据</w:t>
      </w:r>
      <w:r>
        <w:rPr>
          <w:rFonts w:hint="eastAsia"/>
          <w:spacing w:val="-9"/>
          <w:lang w:val="en-US" w:eastAsia="zh-CN"/>
        </w:rPr>
        <w:t>爱佳</w:t>
      </w:r>
      <w:r>
        <w:rPr>
          <w:rFonts w:hint="eastAsia"/>
          <w:spacing w:val="-9"/>
        </w:rPr>
        <w:t>宠物医院项目</w:t>
      </w:r>
      <w:r>
        <w:rPr>
          <w:spacing w:val="-5"/>
        </w:rPr>
        <w:t>竣工环境保护验收</w:t>
      </w:r>
      <w:r>
        <w:rPr>
          <w:rFonts w:hint="eastAsia"/>
          <w:spacing w:val="-5"/>
          <w:lang w:val="en-US" w:eastAsia="zh-CN"/>
        </w:rPr>
        <w:t>检</w:t>
      </w:r>
      <w:r>
        <w:rPr>
          <w:spacing w:val="-5"/>
        </w:rPr>
        <w:t>测报告并对照《建设项目竣工环境保护</w:t>
      </w:r>
      <w:r>
        <w:rPr>
          <w:spacing w:val="-1"/>
        </w:rPr>
        <w:t>验收暂行办法》，严格依照国家有关法律法规、</w:t>
      </w:r>
      <w:r>
        <w:rPr>
          <w:spacing w:val="-5"/>
        </w:rPr>
        <w:t>《</w:t>
      </w:r>
      <w:r>
        <w:rPr>
          <w:spacing w:val="-2"/>
        </w:rPr>
        <w:t>建设项目竣工环境保护验收技</w:t>
      </w:r>
      <w:r>
        <w:t>术指南 污染影响类</w:t>
      </w:r>
      <w:r>
        <w:rPr>
          <w:spacing w:val="-1"/>
        </w:rPr>
        <w:t>》</w:t>
      </w:r>
      <w:r>
        <w:rPr>
          <w:spacing w:val="-12"/>
        </w:rPr>
        <w:t>，本项目环境影响评价报告书和审批部门审批决定等要求组</w:t>
      </w:r>
      <w:r>
        <w:t>成验收组对本项目进行验收，提出验收意见如下：</w:t>
      </w:r>
    </w:p>
    <w:p>
      <w:pPr>
        <w:pStyle w:val="3"/>
        <w:adjustRightInd w:val="0"/>
        <w:snapToGrid w:val="0"/>
        <w:spacing w:line="360" w:lineRule="auto"/>
        <w:ind w:left="0" w:firstLine="482" w:firstLineChars="200"/>
        <w:jc w:val="both"/>
      </w:pPr>
      <w:r>
        <w:t>一、工程建设基本情况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  <w:r>
        <w:t>（一）建设地点、规模、主要建设内容</w:t>
      </w:r>
    </w:p>
    <w:p>
      <w:pPr>
        <w:spacing w:after="0" w:line="360" w:lineRule="auto"/>
        <w:ind w:firstLine="480" w:firstLineChars="200"/>
        <w:rPr>
          <w:rFonts w:ascii="Times New Roman" w:hAnsi="Times New Roman" w:eastAsia="宋体" w:cs="宋体"/>
          <w:color w:val="000000"/>
          <w:sz w:val="24"/>
          <w:szCs w:val="24"/>
          <w:lang w:bidi="ar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合肥瑶海区爱佳宠物医院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新建的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val="en-US" w:eastAsia="zh-CN" w:bidi="ar"/>
        </w:rPr>
        <w:t>爱佳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宠物医院项目位于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eastAsia="zh-CN" w:bidi="ar"/>
        </w:rPr>
        <w:t>合肥市瑶海区临泉东路277号合肥瑶海万达广场1幢、5幢住宅及7-2幢步行街1-商109/1-商109上</w:t>
      </w:r>
      <w:r>
        <w:rPr>
          <w:rFonts w:ascii="Times New Roman" w:hAnsi="Times New Roman" w:eastAsia="宋体"/>
          <w:color w:val="000000"/>
          <w:sz w:val="24"/>
          <w:szCs w:val="24"/>
          <w:lang w:bidi="ar"/>
        </w:rPr>
        <w:t>，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本次为整体验收，租赁面积共计为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val="en-US" w:eastAsia="zh-CN" w:bidi="ar"/>
        </w:rPr>
        <w:t>148.08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m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vertAlign w:val="superscript"/>
          <w:lang w:bidi="ar"/>
        </w:rPr>
        <w:t>2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。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val="en-US" w:eastAsia="zh-CN" w:bidi="ar"/>
        </w:rPr>
        <w:t>设计</w:t>
      </w:r>
      <w:r>
        <w:rPr>
          <w:rFonts w:hint="eastAsia" w:ascii="宋体" w:hAnsi="宋体" w:eastAsia="宋体"/>
          <w:color w:val="000000"/>
          <w:sz w:val="24"/>
          <w:szCs w:val="24"/>
        </w:rPr>
        <w:t>接诊量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1200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只次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/</w:t>
      </w:r>
      <w:r>
        <w:rPr>
          <w:rFonts w:ascii="Times New Roman" w:hAnsi="Times New Roman" w:eastAsia="宋体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美容量1500只次/年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  <w:r>
        <w:t>（二）建设过程及环保审批情况</w:t>
      </w:r>
    </w:p>
    <w:p>
      <w:pPr>
        <w:pStyle w:val="18"/>
        <w:spacing w:line="360" w:lineRule="auto"/>
        <w:ind w:firstLine="480" w:firstLineChars="200"/>
        <w:jc w:val="both"/>
        <w:rPr>
          <w:rFonts w:ascii="Times New Roman"/>
          <w:lang w:bidi="ar"/>
        </w:rPr>
      </w:pPr>
      <w:r>
        <w:rPr>
          <w:rFonts w:hint="eastAsia" w:ascii="Times New Roman"/>
          <w:lang w:val="en-US" w:eastAsia="zh-CN"/>
        </w:rPr>
        <w:t>爱佳</w:t>
      </w:r>
      <w:r>
        <w:rPr>
          <w:rFonts w:hint="eastAsia" w:ascii="Times New Roman"/>
        </w:rPr>
        <w:t>宠物医院项目于2023年</w:t>
      </w:r>
      <w:r>
        <w:rPr>
          <w:rFonts w:hint="eastAsia" w:ascii="Times New Roman"/>
          <w:lang w:val="en-US" w:eastAsia="zh-CN"/>
        </w:rPr>
        <w:t>6</w:t>
      </w:r>
      <w:r>
        <w:rPr>
          <w:rFonts w:hint="eastAsia" w:ascii="Times New Roman"/>
        </w:rPr>
        <w:t>月由安徽省智源环保工程有限公司编制完成了《</w:t>
      </w:r>
      <w:r>
        <w:rPr>
          <w:rFonts w:hint="eastAsia" w:ascii="Times New Roman"/>
          <w:lang w:val="en-US" w:eastAsia="zh-CN"/>
        </w:rPr>
        <w:t>爱佳</w:t>
      </w:r>
      <w:r>
        <w:rPr>
          <w:rFonts w:hint="eastAsia" w:ascii="Times New Roman"/>
        </w:rPr>
        <w:t>宠物医院项目环境影响报告表》；</w:t>
      </w:r>
      <w:r>
        <w:rPr>
          <w:rFonts w:hint="eastAsia" w:ascii="Times New Roman"/>
          <w:lang w:val="en-US" w:eastAsia="zh-CN"/>
        </w:rPr>
        <w:t>合肥市生态环境局</w:t>
      </w:r>
      <w:r>
        <w:rPr>
          <w:rFonts w:hint="eastAsia" w:ascii="Times New Roman"/>
        </w:rPr>
        <w:t>于2023年</w:t>
      </w:r>
      <w:r>
        <w:rPr>
          <w:rFonts w:hint="eastAsia" w:ascii="Times New Roman"/>
          <w:lang w:val="en-US" w:eastAsia="zh-CN"/>
        </w:rPr>
        <w:t>6</w:t>
      </w:r>
      <w:r>
        <w:rPr>
          <w:rFonts w:hint="eastAsia" w:ascii="Times New Roman"/>
        </w:rPr>
        <w:t>月</w:t>
      </w:r>
      <w:r>
        <w:rPr>
          <w:rFonts w:hint="eastAsia" w:ascii="Times New Roman"/>
          <w:lang w:val="en-US" w:eastAsia="zh-CN"/>
        </w:rPr>
        <w:t>25</w:t>
      </w:r>
      <w:r>
        <w:rPr>
          <w:rFonts w:hint="eastAsia" w:ascii="Times New Roman"/>
        </w:rPr>
        <w:t>日以环建审〔2023〕</w:t>
      </w:r>
      <w:r>
        <w:rPr>
          <w:rFonts w:hint="eastAsia" w:ascii="Times New Roman"/>
          <w:lang w:val="en-US" w:eastAsia="zh-CN"/>
        </w:rPr>
        <w:t>6009</w:t>
      </w:r>
      <w:r>
        <w:rPr>
          <w:rFonts w:hint="eastAsia" w:ascii="Times New Roman"/>
        </w:rPr>
        <w:t>号文予以审批。项目于2023年</w:t>
      </w:r>
      <w:r>
        <w:rPr>
          <w:rFonts w:hint="eastAsia" w:ascii="Times New Roman"/>
          <w:lang w:val="en-US" w:eastAsia="zh-CN"/>
        </w:rPr>
        <w:t>6</w:t>
      </w:r>
      <w:r>
        <w:rPr>
          <w:rFonts w:hint="eastAsia" w:ascii="Times New Roman"/>
        </w:rPr>
        <w:t>月</w:t>
      </w:r>
      <w:r>
        <w:rPr>
          <w:rFonts w:hint="eastAsia" w:ascii="Times New Roman"/>
          <w:lang w:val="en-US" w:eastAsia="zh-CN"/>
        </w:rPr>
        <w:t>底</w:t>
      </w:r>
      <w:r>
        <w:rPr>
          <w:rFonts w:hint="eastAsia" w:ascii="Times New Roman"/>
        </w:rPr>
        <w:t>开始建设，2023年</w:t>
      </w:r>
      <w:r>
        <w:rPr>
          <w:rFonts w:hint="eastAsia" w:ascii="Times New Roman"/>
          <w:lang w:val="en-US" w:eastAsia="zh-CN"/>
        </w:rPr>
        <w:t>7</w:t>
      </w:r>
      <w:r>
        <w:rPr>
          <w:rFonts w:hint="eastAsia" w:ascii="Times New Roman"/>
        </w:rPr>
        <w:t>月投入运营。</w:t>
      </w:r>
      <w:r>
        <w:rPr>
          <w:rFonts w:ascii="Times New Roman"/>
        </w:rPr>
        <w:t>对照《固定污染源排污许可分类管理名录》（2019年版），</w:t>
      </w:r>
      <w:r>
        <w:rPr>
          <w:rFonts w:hint="eastAsia" w:ascii="Times New Roman"/>
        </w:rPr>
        <w:t>本项目不需要申请取得排污许可证或填报排污登记表</w:t>
      </w:r>
      <w:r>
        <w:rPr>
          <w:rFonts w:ascii="Times New Roman"/>
        </w:rPr>
        <w:t>。</w:t>
      </w:r>
    </w:p>
    <w:p>
      <w:pPr>
        <w:pStyle w:val="18"/>
        <w:spacing w:line="360" w:lineRule="auto"/>
        <w:ind w:firstLine="480" w:firstLineChars="200"/>
        <w:jc w:val="both"/>
      </w:pPr>
      <w:r>
        <w:t>目前，本项目主体工程</w:t>
      </w:r>
      <w:r>
        <w:rPr>
          <w:rFonts w:hint="eastAsia"/>
        </w:rPr>
        <w:t>及配套环保工程</w:t>
      </w:r>
      <w:r>
        <w:t>已建设完成，具备建设项目竣工环境保护验收监测的条件。</w:t>
      </w:r>
      <w:r>
        <w:rPr>
          <w:rFonts w:hint="eastAsia" w:hAnsi="宋体"/>
          <w:lang w:val="en-US" w:eastAsia="zh-CN" w:bidi="ar"/>
        </w:rPr>
        <w:t>合肥瑶海区爱佳</w:t>
      </w:r>
      <w:r>
        <w:rPr>
          <w:rFonts w:hint="eastAsia" w:hAnsi="宋体"/>
          <w:lang w:bidi="ar"/>
        </w:rPr>
        <w:t>宠物医院</w:t>
      </w:r>
      <w:r>
        <w:t>于</w:t>
      </w:r>
      <w:r>
        <w:rPr>
          <w:rFonts w:ascii="Times New Roman" w:cs="Times New Roman"/>
        </w:rPr>
        <w:t>2023年</w:t>
      </w:r>
      <w:r>
        <w:rPr>
          <w:rFonts w:hint="eastAsia" w:ascii="Times New Roman" w:cs="Times New Roman"/>
          <w:lang w:val="en-US" w:eastAsia="zh-CN"/>
        </w:rPr>
        <w:t>8</w:t>
      </w:r>
      <w:r>
        <w:rPr>
          <w:rFonts w:ascii="Times New Roman" w:cs="Times New Roman"/>
        </w:rPr>
        <w:t>月</w:t>
      </w:r>
      <w:r>
        <w:t>对本项目开展竣工环境保护验收工作</w:t>
      </w:r>
      <w:r>
        <w:rPr>
          <w:rFonts w:hint="eastAsia"/>
        </w:rPr>
        <w:t>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（三）投资情况</w:t>
      </w:r>
    </w:p>
    <w:p>
      <w:pPr>
        <w:pStyle w:val="18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本次验收实际总投资</w:t>
      </w:r>
      <w:r>
        <w:rPr>
          <w:rFonts w:hint="default" w:ascii="Times New Roman" w:hAnsi="Times New Roman" w:eastAsia="宋体" w:cs="Times New Roman"/>
          <w:lang w:val="en-US" w:eastAsia="zh-CN"/>
        </w:rPr>
        <w:t>50</w:t>
      </w:r>
      <w:r>
        <w:rPr>
          <w:rFonts w:hint="default" w:ascii="Times New Roman" w:hAnsi="Times New Roman" w:eastAsia="宋体" w:cs="Times New Roman"/>
        </w:rPr>
        <w:t>万元，其中环保投资为</w:t>
      </w:r>
      <w:r>
        <w:rPr>
          <w:rFonts w:hint="default" w:ascii="Times New Roman" w:hAnsi="Times New Roman" w:eastAsia="宋体" w:cs="Times New Roman"/>
          <w:lang w:val="en-US" w:eastAsia="zh-CN"/>
        </w:rPr>
        <w:t>12</w:t>
      </w:r>
      <w:r>
        <w:rPr>
          <w:rFonts w:hint="default" w:ascii="Times New Roman" w:hAnsi="Times New Roman" w:eastAsia="宋体" w:cs="Times New Roman"/>
        </w:rPr>
        <w:t>万元，</w:t>
      </w:r>
      <w:r>
        <w:rPr>
          <w:rFonts w:hint="default" w:ascii="Times New Roman" w:hAnsi="Times New Roman" w:eastAsia="宋体" w:cs="Times New Roman"/>
          <w:lang w:val="en-US"/>
        </w:rPr>
        <w:t>占总投资的</w:t>
      </w:r>
      <w:r>
        <w:rPr>
          <w:rFonts w:hint="default" w:ascii="Times New Roman" w:hAnsi="Times New Roman" w:eastAsia="宋体" w:cs="Times New Roman"/>
          <w:lang w:val="en-US" w:eastAsia="zh-CN"/>
        </w:rPr>
        <w:t>24%，</w:t>
      </w:r>
      <w:r>
        <w:rPr>
          <w:rFonts w:hint="default" w:ascii="Times New Roman" w:hAnsi="Times New Roman" w:eastAsia="宋体" w:cs="Times New Roman"/>
        </w:rPr>
        <w:t>主要用于废气、废水、固体废物和噪声污染的治理。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  <w:r>
        <w:t>（四）验收范围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sz w:val="24"/>
        </w:rPr>
      </w:pPr>
      <w:r>
        <w:rPr>
          <w:sz w:val="24"/>
        </w:rPr>
        <w:t>项目整体验收。</w:t>
      </w:r>
    </w:p>
    <w:p>
      <w:pPr>
        <w:adjustRightInd w:val="0"/>
        <w:snapToGrid w:val="0"/>
        <w:spacing w:line="360" w:lineRule="auto"/>
        <w:ind w:firstLine="482" w:firstLineChars="200"/>
        <w:jc w:val="both"/>
        <w:rPr>
          <w:b/>
          <w:sz w:val="24"/>
        </w:rPr>
      </w:pPr>
      <w:r>
        <w:rPr>
          <w:b/>
          <w:sz w:val="24"/>
        </w:rPr>
        <w:t>二、工程变动情况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sz w:val="24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/>
          <w:color w:val="000000"/>
          <w:sz w:val="24"/>
          <w:szCs w:val="24"/>
          <w:lang w:bidi="ar"/>
        </w:rPr>
      </w:pPr>
      <w:r>
        <w:rPr>
          <w:rFonts w:hint="eastAsia" w:ascii="Times New Roman" w:hAnsi="Times New Roman"/>
          <w:color w:val="000000"/>
          <w:sz w:val="24"/>
          <w:szCs w:val="24"/>
          <w:lang w:bidi="ar"/>
        </w:rPr>
        <w:t>本项目基本按照环评及批复要求建设，与环评及批复要求对比，差异如下：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b/>
          <w:bCs/>
        </w:rPr>
      </w:pPr>
      <w:r>
        <w:rPr>
          <w:b/>
          <w:bCs/>
          <w:sz w:val="24"/>
          <w:szCs w:val="24"/>
        </w:rPr>
        <w:t>表</w:t>
      </w:r>
      <w:r>
        <w:rPr>
          <w:rFonts w:ascii="Times New Roman" w:eastAsia="Times New Roman"/>
          <w:b/>
          <w:bCs/>
          <w:sz w:val="24"/>
          <w:szCs w:val="24"/>
        </w:rPr>
        <w:t>1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b/>
          <w:bCs/>
          <w:sz w:val="24"/>
          <w:szCs w:val="24"/>
        </w:rPr>
        <w:t>与环办环评函</w:t>
      </w:r>
      <w:r>
        <w:rPr>
          <w:rFonts w:ascii="Times New Roman" w:eastAsia="Times New Roman"/>
          <w:b/>
          <w:bCs/>
          <w:sz w:val="24"/>
          <w:szCs w:val="24"/>
        </w:rPr>
        <w:t>[2020]688</w:t>
      </w:r>
      <w:r>
        <w:rPr>
          <w:rFonts w:ascii="Times New Roman" w:eastAsia="Times New Roman"/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号对照表</w:t>
      </w:r>
    </w:p>
    <w:tbl>
      <w:tblPr>
        <w:tblStyle w:val="11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5"/>
        <w:gridCol w:w="3630"/>
        <w:gridCol w:w="3161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pStyle w:val="2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环办环评函[2020]688号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本次验收建设情况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变化情况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505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性质</w:t>
            </w: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建设项目开发、使用功能发生变化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建设项目开发、使用功能未发生变化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规模</w:t>
            </w: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生产、处置或储存能力增大30%及以上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本次验收生产能力未扩大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生产、处置或储存能力增大，导致废水第一类污染物排放增加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生产、处置或储存能力未增大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且废水第一类污染物排放未增加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位于环境质量不达标区的建设项目生产、处置或储存能力增大，导致相应污染物排放量增加的（细颗粒物不达标区，相应污染物为二氧化硫、氮氧化物、可吸入颗粒物、挥发性有机物；臭氧不达标区，相应污染物为氮氧化物、挥发性有机物；其他大气、水污染物因子不达标区，相应污染物为超标污染因子）；位于达标区的建设项目生产、处置或储存能力增大，导致污染物排放量增加10%及以上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本项目生产、处置和储存能力未增大，实际生产能力未达到设计能力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不属于重大变化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505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地址</w:t>
            </w: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重新选址：在原厂址附近调整（包括总平面布置变化）导致环境防护距离范围变化且新增敏感点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未进行重新选址，防护距离内无新增敏感点等变化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生产工艺</w:t>
            </w: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新增产品品种或生产工艺（含主要生产装置、设备及拍套设施）、主要原辅材料、燃料变化，导致以下情形之一：（1）新增排放污染物种类的（毒性、挥发性降低的除外）；（2）位于环境质量不达标区的建设项目相应污染物排放量增加的；（3）废水第一类污染物排放量增加的；（4）其他污染物排放量增加10%及以上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未新增产品和生产工艺，污染物排放量未增加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不属于重大变化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物料运输、装卸、贮存方式变化，导致大气污染物无组织排放量增加10%及以上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物料运输、装卸、贮存方式未变化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环境保护措施</w:t>
            </w: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废气、废水污染防治措施变化，导致第6条中所列情形之一（废气无组织排放改为有组织排放、污染防治措施强化或改进的除外）或大气污染物无组织排放量增加10%及以上的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由1套污水处理设施（位于</w:t>
            </w:r>
            <w:r>
              <w:rPr>
                <w:rFonts w:hint="eastAsia"/>
                <w:lang w:val="en-US" w:eastAsia="zh-CN"/>
              </w:rPr>
              <w:t>美容洗澡区</w:t>
            </w:r>
            <w:r>
              <w:rPr>
                <w:rFonts w:hint="eastAsia"/>
              </w:rPr>
              <w:t>）变为2套污水处理设施（位于</w:t>
            </w:r>
            <w:r>
              <w:rPr>
                <w:rFonts w:hint="eastAsia"/>
                <w:lang w:val="en-US" w:eastAsia="zh-CN"/>
              </w:rPr>
              <w:t>一层处置输液区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val="en-US" w:eastAsia="zh-CN"/>
              </w:rPr>
              <w:t>二层化验/处置区</w:t>
            </w:r>
            <w:r>
              <w:rPr>
                <w:rFonts w:hint="eastAsia"/>
              </w:rPr>
              <w:t>），污染物未增加，</w:t>
            </w:r>
            <w:r>
              <w:rPr>
                <w:rFonts w:hint="eastAsia"/>
                <w:highlight w:val="none"/>
              </w:rPr>
              <w:t>2套</w:t>
            </w:r>
            <w:r>
              <w:rPr>
                <w:rFonts w:hint="eastAsia"/>
                <w:highlight w:val="none"/>
                <w:lang w:val="en-US" w:eastAsia="zh-CN"/>
              </w:rPr>
              <w:t>设施</w:t>
            </w:r>
            <w:r>
              <w:rPr>
                <w:rFonts w:hint="eastAsia"/>
                <w:color w:val="000000" w:themeColor="text1"/>
                <w:highlight w:val="none"/>
              </w:rPr>
              <w:t>设计处理能力均为0.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42</w:t>
            </w:r>
            <w:r>
              <w:rPr>
                <w:szCs w:val="21"/>
                <w:highlight w:val="none"/>
                <w:lang w:bidi="ar"/>
              </w:rPr>
              <w:t>m</w:t>
            </w:r>
            <w:r>
              <w:rPr>
                <w:szCs w:val="21"/>
                <w:highlight w:val="none"/>
                <w:vertAlign w:val="superscript"/>
                <w:lang w:bidi="ar"/>
              </w:rPr>
              <w:t>3</w:t>
            </w:r>
            <w:r>
              <w:rPr>
                <w:szCs w:val="21"/>
                <w:highlight w:val="none"/>
                <w:lang w:bidi="ar"/>
              </w:rPr>
              <w:t>/d，</w:t>
            </w:r>
            <w:r>
              <w:rPr>
                <w:rFonts w:hint="eastAsia"/>
                <w:szCs w:val="21"/>
                <w:highlight w:val="none"/>
                <w:lang w:bidi="ar"/>
              </w:rPr>
              <w:t>有效</w:t>
            </w:r>
            <w:r>
              <w:rPr>
                <w:szCs w:val="21"/>
                <w:highlight w:val="none"/>
                <w:lang w:bidi="ar"/>
              </w:rPr>
              <w:t>容积0.0</w:t>
            </w:r>
            <w:r>
              <w:rPr>
                <w:rFonts w:hint="eastAsia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szCs w:val="21"/>
                <w:highlight w:val="none"/>
                <w:lang w:bidi="ar"/>
              </w:rPr>
              <w:t>m</w:t>
            </w:r>
            <w:r>
              <w:rPr>
                <w:szCs w:val="21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eastAsia"/>
                <w:szCs w:val="21"/>
                <w:highlight w:val="none"/>
                <w:lang w:bidi="ar"/>
              </w:rPr>
              <w:t>，</w:t>
            </w:r>
            <w:r>
              <w:rPr>
                <w:rFonts w:hint="eastAsia"/>
              </w:rPr>
              <w:t>处理能力和容积满足</w:t>
            </w:r>
            <w:r>
              <w:rPr>
                <w:rFonts w:hint="eastAsia"/>
                <w:lang w:val="en-US" w:eastAsia="zh-CN"/>
              </w:rPr>
              <w:t>环评（1套设施处理能力</w:t>
            </w:r>
            <w:r>
              <w:rPr>
                <w:rFonts w:hint="eastAsia"/>
                <w:highlight w:val="none"/>
                <w:lang w:val="en-US" w:eastAsia="zh-CN"/>
              </w:rPr>
              <w:t>0.8</w:t>
            </w:r>
            <w:r>
              <w:rPr>
                <w:szCs w:val="21"/>
                <w:highlight w:val="none"/>
                <w:lang w:bidi="ar"/>
              </w:rPr>
              <w:t>m</w:t>
            </w:r>
            <w:r>
              <w:rPr>
                <w:szCs w:val="21"/>
                <w:highlight w:val="none"/>
                <w:vertAlign w:val="superscript"/>
                <w:lang w:bidi="ar"/>
              </w:rPr>
              <w:t>3</w:t>
            </w:r>
            <w:r>
              <w:rPr>
                <w:szCs w:val="21"/>
                <w:highlight w:val="none"/>
                <w:lang w:bidi="ar"/>
              </w:rPr>
              <w:t>/d，</w:t>
            </w:r>
            <w:r>
              <w:rPr>
                <w:rFonts w:hint="eastAsia"/>
                <w:szCs w:val="21"/>
                <w:highlight w:val="none"/>
                <w:lang w:bidi="ar"/>
              </w:rPr>
              <w:t>有效</w:t>
            </w:r>
            <w:r>
              <w:rPr>
                <w:szCs w:val="21"/>
                <w:highlight w:val="none"/>
                <w:lang w:bidi="ar"/>
              </w:rPr>
              <w:t>容积0.0</w:t>
            </w:r>
            <w:r>
              <w:rPr>
                <w:rFonts w:hint="eastAsia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szCs w:val="21"/>
                <w:highlight w:val="none"/>
                <w:lang w:bidi="ar"/>
              </w:rPr>
              <w:t>m</w:t>
            </w:r>
            <w:r>
              <w:rPr>
                <w:szCs w:val="21"/>
                <w:highlight w:val="none"/>
                <w:vertAlign w:val="superscript"/>
                <w:lang w:bidi="ar"/>
              </w:rPr>
              <w:t>3</w:t>
            </w:r>
            <w:r>
              <w:rPr>
                <w:rFonts w:hint="eastAsia"/>
                <w:szCs w:val="21"/>
                <w:highlight w:val="none"/>
                <w:vertAlign w:val="baseline"/>
                <w:lang w:eastAsia="zh-CN" w:bidi="ar"/>
              </w:rPr>
              <w:t>）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要求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不属于重大变化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新增废水直接排放口；废水由间接排放改为直接排放；废水直接排放口位置变化，导致不利环境影响加重的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由1套污水处理设施（位于</w:t>
            </w:r>
            <w:r>
              <w:rPr>
                <w:rFonts w:hint="eastAsia"/>
                <w:lang w:val="en-US" w:eastAsia="zh-CN"/>
              </w:rPr>
              <w:t>美容洗澡区</w:t>
            </w:r>
            <w:r>
              <w:rPr>
                <w:rFonts w:hint="eastAsia"/>
              </w:rPr>
              <w:t>）变为2套污水处理设施（位于</w:t>
            </w:r>
            <w:r>
              <w:rPr>
                <w:rFonts w:hint="eastAsia"/>
                <w:lang w:val="en-US" w:eastAsia="zh-CN"/>
              </w:rPr>
              <w:t>一层处置输液区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val="en-US" w:eastAsia="zh-CN"/>
              </w:rPr>
              <w:t>二层化验/处置区</w:t>
            </w:r>
            <w:r>
              <w:rPr>
                <w:rFonts w:hint="eastAsia"/>
              </w:rPr>
              <w:t>），项目废水排放方式、排放口位置均未变化，污染物未增加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不属于重大变化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新增废气主要排放口（废气无组织排放改为有组织排放的除外）；主要排放口排气筒降低10%及以上的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未新增废气主要排放口，无排气筒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噪声、土壤或地下水污染防治措施变化，导致不利环境影响加重的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噪声、土壤或地下水污染防治措施未变化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固体废物利用处置方式由委托外单位利用处置改为自行利用处置的（自行利用处置设施单独开展环境影响评价的除外）；固体废物自行处置方式变化，导致不利环境影响加重的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固体废物暂存于危废库并交由</w:t>
            </w:r>
            <w:r>
              <w:rPr>
                <w:szCs w:val="21"/>
              </w:rPr>
              <w:t>安徽浩悦环境科技有限责任公司</w:t>
            </w:r>
            <w:r>
              <w:rPr>
                <w:rFonts w:hint="eastAsia"/>
                <w:szCs w:val="21"/>
              </w:rPr>
              <w:t>定期</w:t>
            </w:r>
            <w:r>
              <w:rPr>
                <w:snapToGrid w:val="0"/>
                <w:szCs w:val="21"/>
              </w:rPr>
              <w:t>处置</w:t>
            </w:r>
            <w:r>
              <w:rPr>
                <w:rFonts w:hint="eastAsia"/>
                <w:snapToGrid w:val="0"/>
                <w:szCs w:val="21"/>
              </w:rPr>
              <w:t>，</w:t>
            </w:r>
            <w:r>
              <w:rPr>
                <w:rFonts w:hint="eastAsia"/>
              </w:rPr>
              <w:t>固体废物利用处置方式未变化，未导致不利影响加重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  <w:lang w:val="en-US" w:eastAsia="zh-CN"/>
              </w:rPr>
              <w:t>没有</w:t>
            </w:r>
            <w:r>
              <w:rPr>
                <w:rFonts w:hint="eastAsia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7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505" w:type="dxa"/>
            <w:vMerge w:val="continue"/>
          </w:tcPr>
          <w:p>
            <w:pPr>
              <w:pStyle w:val="20"/>
              <w:widowControl w:val="0"/>
            </w:pPr>
          </w:p>
        </w:tc>
        <w:tc>
          <w:tcPr>
            <w:tcW w:w="3630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事故废水暂存能力或拦截设施变化，导致环境风险防范能力弱化或降低的</w:t>
            </w:r>
          </w:p>
        </w:tc>
        <w:tc>
          <w:tcPr>
            <w:tcW w:w="3161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环境风险防范能力未变化</w:t>
            </w:r>
          </w:p>
        </w:tc>
        <w:tc>
          <w:tcPr>
            <w:tcW w:w="916" w:type="dxa"/>
            <w:vAlign w:val="center"/>
          </w:tcPr>
          <w:p>
            <w:pPr>
              <w:pStyle w:val="20"/>
              <w:widowControl w:val="0"/>
            </w:pPr>
            <w:r>
              <w:rPr>
                <w:rFonts w:hint="eastAsia"/>
              </w:rPr>
              <w:t>没有变化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jc w:val="both"/>
        <w:rPr>
          <w:b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jc w:val="both"/>
        <w:rPr>
          <w:b/>
          <w:sz w:val="24"/>
        </w:rPr>
      </w:pPr>
      <w:r>
        <w:rPr>
          <w:b/>
          <w:sz w:val="24"/>
        </w:rPr>
        <w:t>三、环境保护设施建设情况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  <w:r>
        <w:t>（一）废水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本项目厂区采用雨污分流制，雨水进入市政雨水管网，产生的废水主要为</w:t>
      </w:r>
      <w:r>
        <w:rPr>
          <w:rFonts w:hint="eastAsia" w:ascii="Times New Roman" w:hAnsi="Times New Roman"/>
          <w:sz w:val="24"/>
        </w:rPr>
        <w:t>生活污水、夜间急诊生活污水</w:t>
      </w:r>
      <w:r>
        <w:rPr>
          <w:rFonts w:hint="eastAsia" w:ascii="Times New Roman" w:hAnsi="Times New Roman"/>
          <w:sz w:val="24"/>
          <w:lang w:eastAsia="zh-CN"/>
        </w:rPr>
        <w:t>、</w:t>
      </w:r>
      <w:r>
        <w:rPr>
          <w:rFonts w:hint="eastAsia" w:ascii="Times New Roman" w:hAnsi="Times New Roman"/>
          <w:sz w:val="24"/>
          <w:lang w:val="en-US" w:eastAsia="zh-CN"/>
        </w:rPr>
        <w:t>诊疗废水、美容废水、动物笼清洗废水</w:t>
      </w:r>
      <w:r>
        <w:rPr>
          <w:rFonts w:hint="eastAsia"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保洁废水</w:t>
      </w:r>
      <w:r>
        <w:rPr>
          <w:rFonts w:hint="eastAsia"/>
          <w:color w:val="000000"/>
          <w:sz w:val="24"/>
        </w:rPr>
        <w:t>，</w:t>
      </w:r>
      <w:r>
        <w:rPr>
          <w:rFonts w:hint="eastAsia" w:ascii="Times New Roman" w:hAnsi="Times New Roman"/>
          <w:color w:val="000000"/>
          <w:sz w:val="24"/>
          <w:szCs w:val="24"/>
        </w:rPr>
        <w:t>主要污染因子为pH、COD、BOD</w:t>
      </w:r>
      <w:r>
        <w:rPr>
          <w:rFonts w:hint="eastAsia"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hint="eastAsia" w:ascii="Times New Roman" w:hAnsi="Times New Roman"/>
          <w:color w:val="000000"/>
          <w:sz w:val="24"/>
          <w:szCs w:val="24"/>
        </w:rPr>
        <w:t>、SS、NH</w:t>
      </w:r>
      <w:r>
        <w:rPr>
          <w:rFonts w:hint="eastAsia"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hint="eastAsia" w:ascii="Times New Roman" w:hAnsi="Times New Roman"/>
          <w:color w:val="000000"/>
          <w:sz w:val="24"/>
          <w:szCs w:val="24"/>
        </w:rPr>
        <w:t>-N、粪大肠菌群。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项</w:t>
      </w:r>
      <w:r>
        <w:rPr>
          <w:rFonts w:hint="eastAsia" w:ascii="Times New Roman" w:hAnsi="Times New Roman"/>
          <w:color w:val="000000"/>
          <w:sz w:val="24"/>
          <w:szCs w:val="24"/>
        </w:rPr>
        <w:t>目诊疗废水、美容废水及动物笼清洗废水经过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2套</w:t>
      </w:r>
      <w:r>
        <w:rPr>
          <w:rFonts w:hint="eastAsia" w:ascii="Times New Roman" w:hAnsi="Times New Roman"/>
          <w:color w:val="000000"/>
          <w:sz w:val="24"/>
          <w:szCs w:val="24"/>
        </w:rPr>
        <w:t>污水处理设施（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位于一层处置输液区和二层化验/处置区，</w:t>
      </w:r>
      <w:r>
        <w:rPr>
          <w:rFonts w:hint="eastAsia" w:ascii="Times New Roman" w:hAnsi="Times New Roman"/>
          <w:color w:val="000000"/>
          <w:sz w:val="24"/>
          <w:szCs w:val="24"/>
        </w:rPr>
        <w:t>处理工艺为“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滤网过滤+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氯片缓释消毒</w:t>
      </w:r>
      <w:r>
        <w:rPr>
          <w:rFonts w:hint="eastAsia" w:ascii="Times New Roman" w:hAnsi="Times New Roman"/>
          <w:color w:val="000000"/>
          <w:sz w:val="24"/>
          <w:szCs w:val="24"/>
        </w:rPr>
        <w:t>”，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尺寸均为</w:t>
      </w:r>
      <w:r>
        <w:rPr>
          <w:rFonts w:hint="eastAsia" w:ascii="Times New Roman" w:hAnsi="Times New Roman"/>
          <w:color w:val="000000"/>
          <w:sz w:val="24"/>
          <w:szCs w:val="24"/>
        </w:rPr>
        <w:t>30cm*2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color w:val="000000"/>
          <w:sz w:val="24"/>
          <w:szCs w:val="24"/>
        </w:rPr>
        <w:t>cm*3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/>
          <w:color w:val="000000"/>
          <w:sz w:val="24"/>
          <w:szCs w:val="24"/>
        </w:rPr>
        <w:t>cm，设计处理能力均为0.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42</w:t>
      </w:r>
      <w:r>
        <w:rPr>
          <w:rFonts w:hint="eastAsia" w:ascii="Times New Roman" w:hAnsi="Times New Roman"/>
          <w:color w:val="000000"/>
          <w:sz w:val="24"/>
          <w:szCs w:val="24"/>
        </w:rPr>
        <w:t>m3/d，有效容积0.0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color w:val="000000"/>
          <w:sz w:val="24"/>
          <w:szCs w:val="24"/>
        </w:rPr>
        <w:t>m3）处理达《医疗机构水污染物排放标准》（GB18466-2005）表2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预处理标准后与</w:t>
      </w:r>
      <w:r>
        <w:rPr>
          <w:rFonts w:hint="eastAsia" w:ascii="Times New Roman" w:hAnsi="Times New Roman"/>
          <w:color w:val="000000"/>
          <w:sz w:val="24"/>
          <w:szCs w:val="24"/>
        </w:rPr>
        <w:t>生活污水、夜间急诊生活污水、保洁废水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共同</w:t>
      </w:r>
      <w:r>
        <w:rPr>
          <w:rFonts w:hint="eastAsia" w:ascii="Times New Roman" w:hAnsi="Times New Roman"/>
          <w:color w:val="000000"/>
          <w:sz w:val="24"/>
          <w:szCs w:val="24"/>
        </w:rPr>
        <w:t>排入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万达华府</w:t>
      </w:r>
      <w:r>
        <w:rPr>
          <w:rFonts w:hint="eastAsia" w:ascii="Times New Roman" w:hAnsi="Times New Roman"/>
          <w:color w:val="000000"/>
          <w:sz w:val="24"/>
          <w:szCs w:val="24"/>
        </w:rPr>
        <w:t>现有化粪池处理，达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朱砖井</w:t>
      </w:r>
      <w:r>
        <w:rPr>
          <w:rFonts w:hint="eastAsia" w:ascii="Times New Roman" w:hAnsi="Times New Roman"/>
          <w:color w:val="000000"/>
          <w:sz w:val="24"/>
          <w:szCs w:val="24"/>
        </w:rPr>
        <w:t>污水处理厂接管标准后排入市政污水管网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处理达标后最终排入二十埠河，</w:t>
      </w:r>
      <w:r>
        <w:rPr>
          <w:rFonts w:hint="eastAsia" w:ascii="Times New Roman" w:hAnsi="Times New Roman"/>
          <w:color w:val="000000"/>
          <w:sz w:val="24"/>
          <w:szCs w:val="24"/>
        </w:rPr>
        <w:t>对周围水环境影响较小。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  <w:r>
        <w:t>（二）废气</w:t>
      </w:r>
    </w:p>
    <w:p>
      <w:pPr>
        <w:spacing w:after="0" w:line="360" w:lineRule="auto"/>
        <w:ind w:firstLine="482"/>
        <w:rPr>
          <w:rFonts w:hint="eastAsia" w:ascii="Times New Roman" w:hAnsi="Times New Roman" w:eastAsia="宋体" w:cs="Times New Roman"/>
          <w:sz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sz w:val="24"/>
        </w:rPr>
        <w:t>项目营运过程无明显废气产生，主要为主要是动物住院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室</w:t>
      </w:r>
      <w:r>
        <w:rPr>
          <w:rFonts w:hint="eastAsia"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危废库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污水处理设施中产生的少量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臭气。</w:t>
      </w:r>
      <w:r>
        <w:rPr>
          <w:rFonts w:hint="default" w:ascii="Times New Roman" w:hAnsi="Times New Roman" w:eastAsia="宋体" w:cs="Times New Roman"/>
          <w:sz w:val="24"/>
          <w:lang w:bidi="ar"/>
        </w:rPr>
        <w:t>项目臭气（异味）浓度较小，建设单位采取对动物活动区域喷洒除臭剂（小力士），以消除</w:t>
      </w:r>
      <w:r>
        <w:rPr>
          <w:rFonts w:hint="default" w:ascii="Times New Roman" w:hAnsi="Times New Roman" w:eastAsia="宋体" w:cs="Times New Roman"/>
          <w:sz w:val="24"/>
          <w:lang w:val="en-US" w:eastAsia="zh-CN" w:bidi="ar"/>
        </w:rPr>
        <w:t>臭气</w:t>
      </w:r>
      <w:r>
        <w:rPr>
          <w:rFonts w:hint="default" w:ascii="Times New Roman" w:hAnsi="Times New Roman" w:eastAsia="宋体" w:cs="Times New Roman"/>
          <w:sz w:val="24"/>
          <w:lang w:bidi="ar"/>
        </w:rPr>
        <w:t>，</w:t>
      </w:r>
      <w:r>
        <w:rPr>
          <w:rFonts w:hint="default" w:ascii="Times New Roman" w:hAnsi="Times New Roman" w:eastAsia="宋体" w:cs="Times New Roman"/>
          <w:sz w:val="24"/>
          <w:lang w:val="en-US" w:eastAsia="zh-CN" w:bidi="ar"/>
        </w:rPr>
        <w:t>并</w:t>
      </w:r>
      <w:r>
        <w:rPr>
          <w:rFonts w:hint="default" w:ascii="Times New Roman" w:hAnsi="Times New Roman" w:eastAsia="宋体" w:cs="Times New Roman"/>
          <w:sz w:val="24"/>
          <w:lang w:bidi="ar"/>
        </w:rPr>
        <w:t>及时清理宠物排泄物，做好室内卫生工作；项目诊疗废水、美容废水及动物笼清洗废水产生量较少，废水经</w:t>
      </w:r>
      <w:r>
        <w:rPr>
          <w:rFonts w:hint="default" w:ascii="Times New Roman" w:hAnsi="Times New Roman" w:eastAsia="宋体" w:cs="Times New Roman"/>
          <w:sz w:val="24"/>
          <w:lang w:val="en-US" w:eastAsia="zh-CN" w:bidi="ar"/>
        </w:rPr>
        <w:t>滤网过滤+</w:t>
      </w:r>
      <w:r>
        <w:rPr>
          <w:rFonts w:hint="default" w:ascii="Times New Roman" w:hAnsi="Times New Roman" w:eastAsia="宋体" w:cs="Times New Roman"/>
          <w:sz w:val="24"/>
          <w:lang w:eastAsia="zh-CN" w:bidi="ar"/>
        </w:rPr>
        <w:t>氯片缓释消毒</w:t>
      </w:r>
      <w:r>
        <w:rPr>
          <w:rFonts w:hint="default" w:ascii="Times New Roman" w:hAnsi="Times New Roman" w:eastAsia="宋体" w:cs="Times New Roman"/>
          <w:sz w:val="24"/>
          <w:lang w:bidi="ar"/>
        </w:rPr>
        <w:t>，同时污水处理设施保持密闭，臭气产生量小，再经喷洒除臭剂（小力士）处理后对周边环境影响较小</w:t>
      </w:r>
      <w:r>
        <w:rPr>
          <w:rFonts w:hint="eastAsia" w:ascii="Times New Roman" w:hAnsi="Times New Roman" w:eastAsia="宋体" w:cs="Times New Roman"/>
          <w:sz w:val="24"/>
          <w:lang w:eastAsia="zh-CN" w:bidi="ar"/>
        </w:rPr>
        <w:t>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</w:pPr>
      <w:r>
        <w:t>（三）噪声</w:t>
      </w:r>
    </w:p>
    <w:p>
      <w:pPr>
        <w:spacing w:after="0" w:line="360" w:lineRule="auto"/>
        <w:ind w:firstLine="482"/>
        <w:rPr>
          <w:rFonts w:ascii="Times New Roman" w:hAnsi="Times New Roman" w:eastAsia="宋体"/>
          <w:b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本项目不设置高噪声设备，主要噪声源为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>分体式空调外机</w:t>
      </w:r>
      <w:r>
        <w:rPr>
          <w:rFonts w:hint="eastAsia" w:ascii="宋体" w:hAnsi="宋体" w:eastAsia="宋体" w:cs="宋体"/>
          <w:color w:val="000000"/>
          <w:sz w:val="24"/>
          <w:lang w:val="en-US" w:eastAsia="zh-CN" w:bidi="ar"/>
        </w:rPr>
        <w:t>和美容设备</w:t>
      </w:r>
      <w:r>
        <w:rPr>
          <w:rFonts w:hint="eastAsia" w:ascii="宋体" w:hAnsi="宋体" w:eastAsia="宋体" w:cs="宋体"/>
          <w:color w:val="000000"/>
          <w:sz w:val="24"/>
        </w:rPr>
        <w:t>运行产生的噪声及动物吠叫的偶发性噪声。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设备单台噪声在60~70dB(A)之间，动物日常偶发噪声在70dB(A)左右。通过医院工作人员的合理喂食，可避免动物因饥饿或口渴而发出叫声，能有效控制动物的活动噪声，同时将动物存放于内侧房间，减小噪声的影响。项目区厂界噪声可以达到《社会生活环境噪声排放标准》（GB22337-2008）中2类标准</w:t>
      </w:r>
      <w:r>
        <w:rPr>
          <w:rFonts w:hint="eastAsia" w:ascii="宋体" w:hAnsi="宋体" w:eastAsia="宋体" w:cs="宋体"/>
          <w:color w:val="000000"/>
          <w:sz w:val="24"/>
        </w:rPr>
        <w:t>（昼间</w:t>
      </w:r>
      <w:r>
        <w:rPr>
          <w:rFonts w:ascii="Times New Roman" w:hAnsi="Times New Roman" w:eastAsia="宋体"/>
          <w:color w:val="000000"/>
          <w:sz w:val="24"/>
        </w:rPr>
        <w:t>≤60dB(A)，</w:t>
      </w:r>
      <w:r>
        <w:rPr>
          <w:rFonts w:hint="eastAsia" w:ascii="宋体" w:hAnsi="宋体" w:eastAsia="宋体" w:cs="宋体"/>
          <w:color w:val="000000"/>
          <w:sz w:val="24"/>
        </w:rPr>
        <w:t>夜间</w:t>
      </w:r>
      <w:r>
        <w:rPr>
          <w:rFonts w:ascii="Times New Roman" w:hAnsi="Times New Roman" w:eastAsia="宋体"/>
          <w:color w:val="000000"/>
          <w:sz w:val="24"/>
        </w:rPr>
        <w:t>≤50dB(A)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要求。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（四）固体废物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bidi="ar"/>
        </w:rPr>
      </w:pP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本项目产生的固废主要为人员生活垃圾、诊疗废物、化验废物、动物粪便、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val="en-US" w:eastAsia="zh-CN" w:bidi="ar"/>
        </w:rPr>
        <w:t>动物废毛、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动物尸体、动物切除组织及废紫外线灯管等危险废物。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bidi="ar"/>
        </w:rPr>
        <w:t>本项目固体废物经妥善处理后，对外环境影响</w:t>
      </w:r>
      <w:r>
        <w:rPr>
          <w:rFonts w:hint="eastAsia" w:ascii="Times New Roman" w:hAnsi="Times New Roman" w:eastAsia="宋体" w:cs="宋体"/>
          <w:color w:val="000000"/>
          <w:sz w:val="24"/>
          <w:szCs w:val="24"/>
          <w:lang w:bidi="ar"/>
        </w:rPr>
        <w:t>较小。</w:t>
      </w:r>
      <w:r>
        <w:rPr>
          <w:rFonts w:hint="default" w:ascii="Times New Roman" w:hAnsi="Times New Roman" w:cs="Times New Roman"/>
          <w:snapToGrid w:val="0"/>
          <w:sz w:val="24"/>
          <w:szCs w:val="24"/>
        </w:rPr>
        <w:t>生活垃圾与动物粪便</w:t>
      </w:r>
      <w:r>
        <w:rPr>
          <w:rFonts w:hint="eastAsia" w:ascii="Times New Roman" w:hAnsi="Times New Roman" w:cs="Times New Roman"/>
          <w:snapToGrid w:val="0"/>
          <w:sz w:val="24"/>
          <w:szCs w:val="24"/>
          <w:lang w:val="en-US" w:eastAsia="zh-CN"/>
        </w:rPr>
        <w:t>和动物废毛</w:t>
      </w:r>
      <w:r>
        <w:rPr>
          <w:rFonts w:hint="default" w:ascii="Times New Roman" w:hAnsi="Times New Roman" w:cs="Times New Roman"/>
          <w:snapToGrid w:val="0"/>
          <w:sz w:val="24"/>
          <w:szCs w:val="24"/>
        </w:rPr>
        <w:t>一并委托环卫部门清运处理，日产日清；医疗废物</w:t>
      </w:r>
      <w:r>
        <w:rPr>
          <w:rFonts w:hint="eastAsia" w:ascii="Times New Roman" w:hAnsi="Times New Roman" w:cs="Times New Roman"/>
          <w:snapToGrid w:val="0"/>
          <w:sz w:val="24"/>
          <w:szCs w:val="24"/>
          <w:lang w:val="en-US" w:eastAsia="zh-CN"/>
        </w:rPr>
        <w:t>和废紫外线灯管</w:t>
      </w:r>
      <w:r>
        <w:rPr>
          <w:rFonts w:hint="default" w:ascii="Times New Roman" w:hAnsi="Times New Roman" w:cs="Times New Roman"/>
          <w:snapToGrid w:val="0"/>
          <w:sz w:val="24"/>
          <w:szCs w:val="24"/>
        </w:rPr>
        <w:t>暂存于危废暂存间，委托</w:t>
      </w:r>
      <w:r>
        <w:rPr>
          <w:rFonts w:hint="default" w:ascii="Times New Roman" w:hAnsi="Times New Roman" w:cs="Times New Roman"/>
          <w:sz w:val="24"/>
          <w:szCs w:val="24"/>
        </w:rPr>
        <w:t>安徽浩悦环境科技有限责任公司</w:t>
      </w:r>
      <w:r>
        <w:rPr>
          <w:rFonts w:hint="default" w:ascii="Times New Roman" w:hAnsi="Times New Roman" w:cs="Times New Roman"/>
          <w:snapToGrid w:val="0"/>
          <w:sz w:val="24"/>
          <w:szCs w:val="24"/>
        </w:rPr>
        <w:t>处置；动物尸体按《病死及病害动物无害化处理技术规范》（农医发[2017]25号）的规定委托</w:t>
      </w:r>
      <w:r>
        <w:rPr>
          <w:rFonts w:hint="default" w:ascii="Times New Roman" w:hAnsi="Times New Roman" w:cs="Times New Roman"/>
          <w:sz w:val="24"/>
          <w:szCs w:val="24"/>
        </w:rPr>
        <w:t>安徽浩悦环境科技有限责任公司</w:t>
      </w:r>
      <w:r>
        <w:rPr>
          <w:rFonts w:hint="default" w:ascii="Times New Roman" w:hAnsi="Times New Roman" w:cs="Times New Roman"/>
          <w:snapToGrid w:val="0"/>
          <w:sz w:val="24"/>
          <w:szCs w:val="24"/>
        </w:rPr>
        <w:t>转运处置。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bidi="ar"/>
        </w:rPr>
        <w:t>危废库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位于医院</w:t>
      </w:r>
      <w:r>
        <w:rPr>
          <w:rFonts w:hint="eastAsia" w:ascii="Times New Roman" w:hAnsi="Times New Roman" w:eastAsia="宋体"/>
          <w:sz w:val="24"/>
          <w:szCs w:val="24"/>
          <w:lang w:val="en-US" w:eastAsia="zh-CN" w:bidi="ar"/>
        </w:rPr>
        <w:t>二层中部东侧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bidi="ar"/>
        </w:rPr>
        <w:t>，建筑面积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bidi="ar"/>
        </w:rPr>
        <w:t>m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vertAlign w:val="superscript"/>
          <w:lang w:bidi="ar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ar"/>
        </w:rPr>
        <w:t>。本项目固体废物经妥善处理后，对外环境影响较小。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（五）其他环境保护设施</w:t>
      </w:r>
    </w:p>
    <w:p>
      <w:pPr>
        <w:pStyle w:val="16"/>
        <w:tabs>
          <w:tab w:val="left" w:pos="1101"/>
        </w:tabs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>
        <w:rPr>
          <w:rFonts w:hint="eastAsia" w:ascii="Times New Roman" w:hAnsi="Times New Roman" w:cs="Times New Roman"/>
          <w:sz w:val="24"/>
          <w:lang w:val="en-US"/>
        </w:rPr>
        <w:t>、</w:t>
      </w:r>
      <w:r>
        <w:rPr>
          <w:rFonts w:ascii="Times New Roman" w:hAnsi="Times New Roman" w:cs="Times New Roman"/>
          <w:sz w:val="24"/>
        </w:rPr>
        <w:t>环境风险防范设施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项目采取以下防腐防渗措施：</w:t>
      </w:r>
    </w:p>
    <w:p>
      <w:pPr>
        <w:pStyle w:val="3"/>
        <w:spacing w:before="81"/>
        <w:ind w:left="0"/>
        <w:jc w:val="center"/>
      </w:pPr>
      <w:r>
        <w:rPr>
          <w:rFonts w:ascii="Times New Roman" w:hAnsi="Times New Roman" w:cs="Times New Roman"/>
        </w:rPr>
        <w:t xml:space="preserve">表 </w:t>
      </w:r>
      <w:r>
        <w:rPr>
          <w:rFonts w:ascii="Times New Roman" w:hAnsi="Times New Roman" w:eastAsia="Times New Roman" w:cs="Times New Roman"/>
        </w:rPr>
        <w:t xml:space="preserve">3 </w:t>
      </w:r>
      <w:r>
        <w:rPr>
          <w:rFonts w:ascii="Times New Roman" w:hAnsi="Times New Roman" w:cs="Times New Roman"/>
        </w:rPr>
        <w:t>项目采取的防腐防渗措施一览表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44"/>
        <w:gridCol w:w="5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pStyle w:val="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08" w:type="dxa"/>
            <w:vAlign w:val="center"/>
          </w:tcPr>
          <w:p>
            <w:pPr>
              <w:pStyle w:val="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5198" w:type="dxa"/>
            <w:vAlign w:val="center"/>
          </w:tcPr>
          <w:p>
            <w:pPr>
              <w:pStyle w:val="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防渗措施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pStyle w:val="20"/>
            </w:pPr>
            <w:r>
              <w:t>1</w:t>
            </w:r>
          </w:p>
        </w:tc>
        <w:tc>
          <w:tcPr>
            <w:tcW w:w="2108" w:type="dxa"/>
            <w:vAlign w:val="center"/>
          </w:tcPr>
          <w:p>
            <w:pPr>
              <w:pStyle w:val="20"/>
            </w:pPr>
            <w:r>
              <w:t>危废库</w:t>
            </w:r>
          </w:p>
        </w:tc>
        <w:tc>
          <w:tcPr>
            <w:tcW w:w="5198" w:type="dxa"/>
            <w:vAlign w:val="center"/>
          </w:tcPr>
          <w:p>
            <w:pPr>
              <w:pStyle w:val="20"/>
            </w:pPr>
            <w:r>
              <w:t>现有地面为高度混凝土层，建设单位在现有地面的基础上涂刷防水涂料+环氧树脂漆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pStyle w:val="20"/>
            </w:pPr>
            <w:r>
              <w:t>2</w:t>
            </w:r>
          </w:p>
        </w:tc>
        <w:tc>
          <w:tcPr>
            <w:tcW w:w="2108" w:type="dxa"/>
            <w:vAlign w:val="center"/>
          </w:tcPr>
          <w:p>
            <w:pPr>
              <w:pStyle w:val="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一楼处置输液区和二楼化验/处置区（含污水处理设施区域）</w:t>
            </w:r>
          </w:p>
        </w:tc>
        <w:tc>
          <w:tcPr>
            <w:tcW w:w="5198" w:type="dxa"/>
            <w:vAlign w:val="center"/>
          </w:tcPr>
          <w:p>
            <w:pPr>
              <w:pStyle w:val="20"/>
            </w:pPr>
            <w:r>
              <w:rPr>
                <w:lang w:bidi="ar"/>
              </w:rPr>
              <w:t>现有地面为高度混凝土层，该区域</w:t>
            </w:r>
            <w:r>
              <w:rPr>
                <w:rFonts w:hint="eastAsia"/>
                <w:lang w:val="en-US" w:eastAsia="zh-CN" w:bidi="ar"/>
              </w:rPr>
              <w:t>地面满足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等效黏土防渗层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Mb≥1.5m，K≤1.0×10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vertAlign w:val="superscript"/>
                <w:lang w:val="en-US" w:eastAsia="zh-CN"/>
              </w:rPr>
              <w:t>-7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cm/s</w:t>
            </w:r>
          </w:p>
        </w:tc>
      </w:tr>
    </w:tbl>
    <w:p>
      <w:pPr>
        <w:pStyle w:val="2"/>
        <w:spacing w:before="5"/>
        <w:ind w:left="0"/>
        <w:jc w:val="both"/>
        <w:rPr>
          <w:rFonts w:ascii="Times New Roman" w:hAnsi="Times New Roman" w:cs="Times New Roman"/>
          <w:b/>
          <w:sz w:val="12"/>
        </w:rPr>
      </w:pPr>
    </w:p>
    <w:p>
      <w:pPr>
        <w:pStyle w:val="16"/>
        <w:tabs>
          <w:tab w:val="left" w:pos="1101"/>
        </w:tabs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>
        <w:rPr>
          <w:rFonts w:hint="eastAsia" w:ascii="Times New Roman" w:hAnsi="Times New Roman" w:cs="Times New Roman"/>
          <w:sz w:val="24"/>
          <w:lang w:val="en-US"/>
        </w:rPr>
        <w:t>、</w:t>
      </w:r>
      <w:r>
        <w:rPr>
          <w:rFonts w:ascii="Times New Roman" w:hAnsi="Times New Roman" w:cs="Times New Roman"/>
          <w:sz w:val="24"/>
        </w:rPr>
        <w:t>在线监测装置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本项目不涉及在线监测装置。</w:t>
      </w:r>
    </w:p>
    <w:p>
      <w:pPr>
        <w:pStyle w:val="16"/>
        <w:tabs>
          <w:tab w:val="left" w:pos="1101"/>
        </w:tabs>
        <w:adjustRightInd w:val="0"/>
        <w:snapToGrid w:val="0"/>
        <w:spacing w:before="0" w:line="360" w:lineRule="auto"/>
        <w:ind w:left="0" w:firstLine="460" w:firstLineChars="200"/>
        <w:jc w:val="both"/>
        <w:rPr>
          <w:rFonts w:ascii="Times New Roman" w:hAnsi="Times New Roman" w:cs="Times New Roman"/>
          <w:spacing w:val="-5"/>
          <w:sz w:val="24"/>
        </w:rPr>
      </w:pPr>
      <w:r>
        <w:rPr>
          <w:rFonts w:ascii="Times New Roman" w:hAnsi="Times New Roman" w:cs="Times New Roman"/>
          <w:spacing w:val="-5"/>
          <w:sz w:val="24"/>
          <w:lang w:val="en-US"/>
        </w:rPr>
        <w:t>3</w:t>
      </w:r>
      <w:r>
        <w:rPr>
          <w:rFonts w:hint="eastAsia" w:ascii="Times New Roman" w:hAnsi="Times New Roman" w:cs="Times New Roman"/>
          <w:spacing w:val="-5"/>
          <w:sz w:val="24"/>
          <w:lang w:val="en-US"/>
        </w:rPr>
        <w:t>、</w:t>
      </w:r>
      <w:r>
        <w:rPr>
          <w:rFonts w:ascii="Times New Roman" w:hAnsi="Times New Roman" w:cs="Times New Roman"/>
          <w:spacing w:val="-5"/>
          <w:sz w:val="24"/>
        </w:rPr>
        <w:t>其他设施</w:t>
      </w:r>
    </w:p>
    <w:p>
      <w:pPr>
        <w:pStyle w:val="16"/>
        <w:tabs>
          <w:tab w:val="left" w:pos="1101"/>
        </w:tabs>
        <w:adjustRightInd w:val="0"/>
        <w:snapToGrid w:val="0"/>
        <w:spacing w:before="0" w:line="360" w:lineRule="auto"/>
        <w:ind w:left="0" w:firstLine="480" w:firstLineChars="200"/>
        <w:jc w:val="both"/>
        <w:rPr>
          <w:sz w:val="24"/>
        </w:rPr>
      </w:pPr>
      <w:r>
        <w:rPr>
          <w:sz w:val="24"/>
        </w:rPr>
        <w:t>无</w:t>
      </w:r>
    </w:p>
    <w:p>
      <w:pPr>
        <w:pStyle w:val="3"/>
        <w:adjustRightInd w:val="0"/>
        <w:snapToGrid w:val="0"/>
        <w:spacing w:line="360" w:lineRule="auto"/>
        <w:ind w:left="0" w:firstLine="482" w:firstLineChars="200"/>
        <w:jc w:val="both"/>
      </w:pPr>
      <w:r>
        <w:t>四、环境保护设施调试效果</w:t>
      </w:r>
    </w:p>
    <w:p>
      <w:pPr>
        <w:pStyle w:val="16"/>
        <w:tabs>
          <w:tab w:val="left" w:pos="1104"/>
        </w:tabs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>
        <w:rPr>
          <w:rFonts w:hint="eastAsia" w:ascii="Times New Roman" w:hAnsi="Times New Roman" w:cs="Times New Roman"/>
          <w:sz w:val="24"/>
          <w:lang w:val="en-US"/>
        </w:rPr>
        <w:t>、</w:t>
      </w:r>
      <w:r>
        <w:rPr>
          <w:rFonts w:ascii="Times New Roman" w:hAnsi="Times New Roman" w:cs="Times New Roman"/>
          <w:sz w:val="24"/>
        </w:rPr>
        <w:t>废水</w:t>
      </w:r>
    </w:p>
    <w:p>
      <w:pPr>
        <w:spacing w:after="0" w:line="360" w:lineRule="auto"/>
        <w:ind w:firstLine="480" w:firstLineChars="200"/>
        <w:jc w:val="both"/>
        <w:rPr>
          <w:rFonts w:ascii="Times New Roman" w:hAnsi="Times New Roman" w:eastAsia="宋体"/>
          <w:color w:val="000000"/>
          <w:sz w:val="24"/>
          <w:szCs w:val="24"/>
          <w:lang w:bidi="ar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经过两天监测，医院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 w:bidi="ar"/>
        </w:rPr>
        <w:t>一楼处置输液区水池下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污水处理设施出水口的主要污染物悬浮物、五日生化需氧量、化学需氧量、氨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氮、粪大肠杆菌的日平均浓度分别为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26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日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24.25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24.4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92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1.26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2.2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×10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vertAlign w:val="superscript"/>
          <w:lang w:bidi="ar"/>
        </w:rPr>
        <w:t>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MPN/L；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27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日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22.5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25.55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91.25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1.23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2.3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×10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vertAlign w:val="superscript"/>
          <w:lang w:bidi="ar"/>
        </w:rPr>
        <w:t>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MPN/L；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医院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 w:bidi="ar"/>
        </w:rPr>
        <w:t>二楼化验/处置室水池下的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污水处理设施出水口的主要污染物悬浮物、五日生化需氧量、化学需氧量、氨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氮、粪大肠杆菌的日平均浓度分别为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26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日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24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23.95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87.25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1.28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2.33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×10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MPN/L；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27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日2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23.28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82.5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1.21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mg/L、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 w:bidi="ar"/>
        </w:rPr>
        <w:t>2.2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×10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bidi="ar"/>
        </w:rPr>
        <w:t>MPN/L。设备出口水质能够满足《医疗机构水污染物排放标准》（GB18466-2005）表2中“综合医疗机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构和其他医疗机构水污染物排放限值（日均值）”预处理标准及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 w:bidi="ar"/>
        </w:rPr>
        <w:t>朱砖井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污水处理厂接管标准。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2、无组织废气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根据两天监测，厂界上风向、下风向的臭气浓度均小于</w:t>
      </w:r>
      <w:r>
        <w:rPr>
          <w:rFonts w:ascii="Times New Roman" w:hAnsi="Times New Roman" w:eastAsia="宋体"/>
          <w:b w:val="0"/>
          <w:bCs w:val="0"/>
          <w:color w:val="000000"/>
          <w:sz w:val="24"/>
          <w:szCs w:val="24"/>
        </w:rPr>
        <w:t>10</w:t>
      </w:r>
      <w:r>
        <w:rPr>
          <w:rFonts w:hint="eastAsia" w:ascii="Times New Roman" w:hAnsi="Times New Roman" w:eastAsia="宋体"/>
          <w:b w:val="0"/>
          <w:bCs w:val="0"/>
          <w:color w:val="000000"/>
          <w:sz w:val="24"/>
          <w:szCs w:val="24"/>
        </w:rPr>
        <w:t>，满足</w:t>
      </w:r>
      <w:r>
        <w:rPr>
          <w:rFonts w:ascii="Times New Roman" w:hAnsi="Times New Roman" w:eastAsia="宋体"/>
          <w:b w:val="0"/>
          <w:bCs w:val="0"/>
          <w:sz w:val="24"/>
          <w:szCs w:val="24"/>
        </w:rPr>
        <w:t>《恶臭污染物排放标准》(GB14554-93)中</w:t>
      </w:r>
      <w:r>
        <w:rPr>
          <w:rFonts w:hint="eastAsia" w:ascii="Times New Roman" w:hAnsi="Times New Roman" w:eastAsia="宋体"/>
          <w:b w:val="0"/>
          <w:bCs w:val="0"/>
          <w:sz w:val="24"/>
          <w:szCs w:val="24"/>
        </w:rPr>
        <w:t>臭气浓度限值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/>
        </w:rPr>
        <w:t>、</w:t>
      </w:r>
      <w:r>
        <w:rPr>
          <w:rFonts w:ascii="Times New Roman" w:hAnsi="Times New Roman" w:cs="Times New Roman"/>
          <w:lang w:val="en-US"/>
        </w:rPr>
        <w:t>厂界噪声</w:t>
      </w:r>
    </w:p>
    <w:p>
      <w:pPr>
        <w:widowControl/>
        <w:autoSpaceDE/>
        <w:autoSpaceDN/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经过两天监测，项目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昼间</w:t>
      </w:r>
      <w:r>
        <w:rPr>
          <w:rFonts w:ascii="Times New Roman" w:hAnsi="Times New Roman" w:eastAsia="宋体"/>
          <w:color w:val="000000"/>
          <w:sz w:val="24"/>
          <w:szCs w:val="24"/>
        </w:rPr>
        <w:t>厂界噪声噪声值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在5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-5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/>
          <w:color w:val="000000" w:themeColor="text1"/>
          <w:sz w:val="24"/>
          <w:szCs w:val="24"/>
        </w:rPr>
        <w:t>dB（A），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</w:rPr>
        <w:t>夜间</w:t>
      </w:r>
      <w:r>
        <w:rPr>
          <w:rFonts w:ascii="Times New Roman" w:hAnsi="Times New Roman" w:eastAsia="宋体"/>
          <w:color w:val="000000" w:themeColor="text1"/>
          <w:sz w:val="24"/>
          <w:szCs w:val="24"/>
        </w:rPr>
        <w:t>噪声噪声值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</w:rPr>
        <w:t>在4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</w:rPr>
        <w:t>-48</w:t>
      </w:r>
      <w:r>
        <w:rPr>
          <w:rFonts w:ascii="Times New Roman" w:hAnsi="Times New Roman" w:eastAsia="宋体"/>
          <w:color w:val="000000"/>
          <w:sz w:val="24"/>
          <w:szCs w:val="24"/>
        </w:rPr>
        <w:t>dB（A）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，符合《社会生活环境噪声排放标准》（GB22337-2008）中2类标准要求（昼间≤60dB，夜间≤50dB）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。</w:t>
      </w:r>
    </w:p>
    <w:p>
      <w:pPr>
        <w:pStyle w:val="2"/>
        <w:adjustRightInd w:val="0"/>
        <w:snapToGrid w:val="0"/>
        <w:spacing w:before="0" w:line="360" w:lineRule="auto"/>
        <w:ind w:left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、固体废物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bookmarkStart w:id="0" w:name="_Hlk70690027"/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本项目产生的生活垃圾、动物废毛、动物粪便定点集中收集后交由环卫部门统一清运；动物尸体按《病死及病害动物无害化处理技术规范》（农医发[2017]25号）的规定委托</w:t>
      </w:r>
      <w:r>
        <w:rPr>
          <w:rFonts w:hint="eastAsia" w:ascii="Times New Roman" w:hAnsi="Times New Roman" w:eastAsia="宋体"/>
          <w:sz w:val="24"/>
          <w:szCs w:val="24"/>
        </w:rPr>
        <w:t>安徽浩悦环境科技有限责任公司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转运处置；医疗废物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 w:bidi="ar"/>
        </w:rPr>
        <w:t>和废紫外线灯管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暂存于危废库（危废库位于医院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 w:bidi="ar"/>
        </w:rPr>
        <w:t>二层中部东侧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，建筑面积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m</w:t>
      </w:r>
      <w:r>
        <w:rPr>
          <w:rFonts w:hint="eastAsia" w:ascii="Times New Roman" w:hAnsi="Times New Roman" w:eastAsia="宋体"/>
          <w:color w:val="000000"/>
          <w:sz w:val="24"/>
          <w:szCs w:val="24"/>
          <w:vertAlign w:val="superscript"/>
          <w:lang w:bidi="ar"/>
        </w:rPr>
        <w:t>2</w:t>
      </w:r>
      <w:r>
        <w:rPr>
          <w:rFonts w:hint="eastAsia" w:ascii="Times New Roman" w:hAnsi="Times New Roman" w:eastAsia="宋体"/>
          <w:color w:val="000000"/>
          <w:sz w:val="24"/>
          <w:szCs w:val="24"/>
          <w:lang w:bidi="ar"/>
        </w:rPr>
        <w:t>），交由安徽浩悦环境科技有限责任公司定期清运处置。综上所述，项目的固废处置率为100%</w:t>
      </w:r>
      <w:r>
        <w:rPr>
          <w:rFonts w:ascii="Times New Roman" w:hAnsi="Times New Roman" w:cs="Times New Roman"/>
          <w:color w:val="000000"/>
          <w:sz w:val="24"/>
          <w:szCs w:val="24"/>
          <w:lang w:bidi="ar"/>
        </w:rPr>
        <w:t>。</w:t>
      </w:r>
      <w:bookmarkEnd w:id="0"/>
    </w:p>
    <w:p>
      <w:pPr>
        <w:widowControl/>
        <w:adjustRightInd w:val="0"/>
        <w:snapToGrid w:val="0"/>
        <w:spacing w:line="360" w:lineRule="auto"/>
        <w:ind w:firstLine="482" w:firstLineChars="200"/>
        <w:rPr>
          <w:b/>
          <w:bCs/>
          <w:color w:val="000000"/>
          <w:sz w:val="24"/>
          <w:szCs w:val="24"/>
          <w:lang w:val="en-US" w:bidi="ar"/>
        </w:rPr>
      </w:pPr>
      <w:r>
        <w:rPr>
          <w:rFonts w:hint="eastAsia"/>
          <w:b/>
          <w:bCs/>
          <w:color w:val="000000"/>
          <w:sz w:val="24"/>
          <w:szCs w:val="24"/>
          <w:lang w:val="en-US" w:bidi="ar"/>
        </w:rPr>
        <w:t>五、工程建设对环境的影响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验收期间对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万达华府一期1栋和荷塘家园</w:t>
      </w:r>
      <w:r>
        <w:rPr>
          <w:rFonts w:hint="eastAsia" w:ascii="Times New Roman" w:hAnsi="Times New Roman"/>
          <w:color w:val="000000"/>
          <w:sz w:val="24"/>
          <w:szCs w:val="24"/>
        </w:rPr>
        <w:t>进行声环境质量监测，设置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color w:val="000000"/>
          <w:sz w:val="24"/>
          <w:szCs w:val="24"/>
        </w:rPr>
        <w:t>个噪声监测点位，昼、夜间各监测1次、连续监测2天。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根据两天监测，项目昼间敏感点噪声噪声值在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56</w:t>
      </w:r>
      <w:r>
        <w:rPr>
          <w:rFonts w:hint="eastAsia" w:ascii="Times New Roman" w:hAnsi="Times New Roman"/>
          <w:color w:val="000000"/>
          <w:sz w:val="24"/>
          <w:szCs w:val="24"/>
        </w:rPr>
        <w:t>-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60</w:t>
      </w:r>
      <w:r>
        <w:rPr>
          <w:rFonts w:hint="eastAsia" w:ascii="Times New Roman" w:hAnsi="Times New Roman"/>
          <w:color w:val="000000"/>
          <w:sz w:val="24"/>
          <w:szCs w:val="24"/>
        </w:rPr>
        <w:t>dB（A），夜间敏感点噪声噪声值在4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color w:val="000000"/>
          <w:sz w:val="24"/>
          <w:szCs w:val="24"/>
        </w:rPr>
        <w:t>-47dB（A），符合《声环境质量标准》（GB3096-2008）中2类标准（昼间≤60dB，夜间≤50dB）。本项目产生的噪声对周边敏感点影响较小。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both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bidi="ar"/>
        </w:rPr>
        <w:t>六、验收结论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bidi="ar"/>
        </w:rPr>
        <w:t>按《建设项目环境保护管理条例》中所规定要求：本项目建设前期环境保护审查、审批手续完备，技术资料与环境保护档案资料基本齐全；环境保护设施已按环评及批复的要求落实，环境保护设施经负荷检测合格，具备环境保护设施正常运转的条件，各项污染物排放均满足排放标准要求。验收组成员认为本项目竣工环境保护验收合格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both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bidi="ar"/>
        </w:rPr>
        <w:t>七、后续要求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color w:val="000000"/>
          <w:sz w:val="24"/>
          <w:szCs w:val="24"/>
          <w:lang w:val="en-US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bidi="ar"/>
        </w:rPr>
        <w:t>1</w:t>
      </w:r>
      <w:r>
        <w:rPr>
          <w:rFonts w:hint="eastAsia"/>
          <w:color w:val="000000"/>
          <w:sz w:val="24"/>
          <w:szCs w:val="24"/>
          <w:lang w:val="en-US" w:bidi="ar"/>
        </w:rPr>
        <w:t>、进一步完善环境保护管理制度及操作规程，加强污染防治设施的运行管理和维护，确保设施正常运行，污染物稳定达标排放。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bidi="ar"/>
        </w:rPr>
        <w:t>2</w:t>
      </w:r>
      <w:r>
        <w:rPr>
          <w:rFonts w:hint="eastAsia"/>
          <w:color w:val="000000"/>
          <w:sz w:val="24"/>
          <w:szCs w:val="24"/>
          <w:lang w:val="en-US" w:bidi="ar"/>
        </w:rPr>
        <w:t>、建议建设单位增强员工危险废物集中处理与存放的意识，并定期对危废仓库进行检查与核对，做到无任何安全隐患。</w:t>
      </w:r>
    </w:p>
    <w:p>
      <w:pPr>
        <w:widowControl/>
        <w:jc w:val="right"/>
        <w:rPr>
          <w:b/>
          <w:bCs/>
          <w:color w:val="000000"/>
          <w:sz w:val="24"/>
          <w:szCs w:val="24"/>
          <w:lang w:val="en-US" w:bidi="ar"/>
        </w:rPr>
      </w:pPr>
    </w:p>
    <w:p>
      <w:pPr>
        <w:widowControl/>
        <w:jc w:val="right"/>
        <w:rPr>
          <w:b/>
          <w:bCs/>
          <w:color w:val="000000"/>
          <w:sz w:val="24"/>
          <w:szCs w:val="24"/>
          <w:lang w:val="en-US" w:bidi="ar"/>
        </w:rPr>
      </w:pPr>
    </w:p>
    <w:p>
      <w:pPr>
        <w:widowControl/>
        <w:jc w:val="right"/>
        <w:rPr>
          <w:rFonts w:hint="eastAsia"/>
          <w:b/>
          <w:bCs/>
          <w:color w:val="000000"/>
          <w:sz w:val="24"/>
          <w:szCs w:val="24"/>
          <w:lang w:val="en-US" w:bidi="ar"/>
        </w:rPr>
      </w:pPr>
      <w:r>
        <w:rPr>
          <w:rFonts w:hint="eastAsia"/>
          <w:b/>
          <w:bCs/>
          <w:color w:val="000000"/>
          <w:sz w:val="24"/>
          <w:szCs w:val="24"/>
          <w:lang w:val="en-US" w:bidi="ar"/>
        </w:rPr>
        <w:t>合肥</w:t>
      </w:r>
      <w:r>
        <w:rPr>
          <w:rFonts w:hint="eastAsia"/>
          <w:b/>
          <w:bCs/>
          <w:color w:val="000000"/>
          <w:sz w:val="24"/>
          <w:szCs w:val="24"/>
          <w:lang w:val="en-US" w:eastAsia="zh-CN" w:bidi="ar"/>
        </w:rPr>
        <w:t>瑶海区爱佳</w:t>
      </w:r>
      <w:r>
        <w:rPr>
          <w:rFonts w:hint="eastAsia"/>
          <w:b/>
          <w:bCs/>
          <w:color w:val="000000"/>
          <w:sz w:val="24"/>
          <w:szCs w:val="24"/>
          <w:lang w:val="en-US" w:bidi="ar"/>
        </w:rPr>
        <w:t>宠物医院</w:t>
      </w:r>
    </w:p>
    <w:p>
      <w:pPr>
        <w:widowControl/>
        <w:jc w:val="right"/>
        <w:rPr>
          <w:b/>
          <w:bCs/>
          <w:color w:val="000000"/>
          <w:sz w:val="24"/>
          <w:szCs w:val="24"/>
          <w:lang w:val="en-US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ar"/>
        </w:rPr>
        <w:t>202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bidi="ar"/>
        </w:rPr>
        <w:t>3</w:t>
      </w:r>
      <w:r>
        <w:rPr>
          <w:rFonts w:hint="eastAsia"/>
          <w:b/>
          <w:bCs/>
          <w:color w:val="000000"/>
          <w:sz w:val="24"/>
          <w:szCs w:val="24"/>
          <w:lang w:val="en-US" w:bidi="ar"/>
        </w:rPr>
        <w:t>年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8</w:t>
      </w:r>
      <w:r>
        <w:rPr>
          <w:rFonts w:hint="eastAsia"/>
          <w:b/>
          <w:bCs/>
          <w:color w:val="000000"/>
          <w:sz w:val="24"/>
          <w:szCs w:val="24"/>
          <w:lang w:val="en-US" w:bidi="ar"/>
        </w:rPr>
        <w:t>月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7</w:t>
      </w:r>
      <w:r>
        <w:rPr>
          <w:rFonts w:hint="eastAsia"/>
          <w:b/>
          <w:bCs/>
          <w:color w:val="000000"/>
          <w:sz w:val="24"/>
          <w:szCs w:val="24"/>
          <w:lang w:val="en-US" w:bidi="ar"/>
        </w:rPr>
        <w:t>日</w:t>
      </w:r>
    </w:p>
    <w:p>
      <w:pPr>
        <w:pStyle w:val="2"/>
        <w:spacing w:line="364" w:lineRule="auto"/>
        <w:ind w:left="0" w:right="317"/>
        <w:jc w:val="both"/>
        <w:rPr>
          <w:position w:val="2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BiNzU5MTBkOGRjZTlmNzQ1M2FjOTE5ZmExMTU1YmIifQ=="/>
  </w:docVars>
  <w:rsids>
    <w:rsidRoot w:val="00172A27"/>
    <w:rsid w:val="000A5E5E"/>
    <w:rsid w:val="0073096C"/>
    <w:rsid w:val="00A15EC3"/>
    <w:rsid w:val="00DE22B6"/>
    <w:rsid w:val="01157970"/>
    <w:rsid w:val="026C678D"/>
    <w:rsid w:val="042660B6"/>
    <w:rsid w:val="073565E7"/>
    <w:rsid w:val="082C200E"/>
    <w:rsid w:val="0BD240F7"/>
    <w:rsid w:val="0C8D168C"/>
    <w:rsid w:val="0D3E301B"/>
    <w:rsid w:val="151A0AF9"/>
    <w:rsid w:val="16D44AA8"/>
    <w:rsid w:val="17D91C78"/>
    <w:rsid w:val="17E71FFD"/>
    <w:rsid w:val="1CFF45C7"/>
    <w:rsid w:val="208E22FC"/>
    <w:rsid w:val="22765C09"/>
    <w:rsid w:val="23537C6E"/>
    <w:rsid w:val="28DA6519"/>
    <w:rsid w:val="295F5479"/>
    <w:rsid w:val="29D6374D"/>
    <w:rsid w:val="29FD50A5"/>
    <w:rsid w:val="2A3A7029"/>
    <w:rsid w:val="2AFF36C6"/>
    <w:rsid w:val="2CFE37D1"/>
    <w:rsid w:val="2D6930B0"/>
    <w:rsid w:val="2E0B7921"/>
    <w:rsid w:val="303B71E2"/>
    <w:rsid w:val="324C14CB"/>
    <w:rsid w:val="345F7057"/>
    <w:rsid w:val="353E4427"/>
    <w:rsid w:val="38380ABC"/>
    <w:rsid w:val="3E8C7B55"/>
    <w:rsid w:val="3F810087"/>
    <w:rsid w:val="430B2FDB"/>
    <w:rsid w:val="441B2382"/>
    <w:rsid w:val="441C4C7D"/>
    <w:rsid w:val="45BF2680"/>
    <w:rsid w:val="471313A4"/>
    <w:rsid w:val="47682185"/>
    <w:rsid w:val="48916B04"/>
    <w:rsid w:val="4B5674EB"/>
    <w:rsid w:val="4BB62FE7"/>
    <w:rsid w:val="501A3718"/>
    <w:rsid w:val="50383C57"/>
    <w:rsid w:val="508342E0"/>
    <w:rsid w:val="511755E1"/>
    <w:rsid w:val="515531D2"/>
    <w:rsid w:val="52A1593D"/>
    <w:rsid w:val="536D783D"/>
    <w:rsid w:val="546E385E"/>
    <w:rsid w:val="54C05AF3"/>
    <w:rsid w:val="5538150B"/>
    <w:rsid w:val="565129F5"/>
    <w:rsid w:val="589B2B72"/>
    <w:rsid w:val="5D14180F"/>
    <w:rsid w:val="5D607E16"/>
    <w:rsid w:val="643B7C00"/>
    <w:rsid w:val="6671147A"/>
    <w:rsid w:val="681811A0"/>
    <w:rsid w:val="68936BB5"/>
    <w:rsid w:val="6925620C"/>
    <w:rsid w:val="69482B5A"/>
    <w:rsid w:val="6B5B4D11"/>
    <w:rsid w:val="6CE8220C"/>
    <w:rsid w:val="6F507677"/>
    <w:rsid w:val="6F986851"/>
    <w:rsid w:val="6FE16EE1"/>
    <w:rsid w:val="750C2069"/>
    <w:rsid w:val="782271E9"/>
    <w:rsid w:val="784B51B1"/>
    <w:rsid w:val="7FA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922"/>
      <w:outlineLvl w:val="0"/>
    </w:pPr>
    <w:rPr>
      <w:b/>
      <w:bCs/>
      <w:sz w:val="24"/>
      <w:szCs w:val="24"/>
    </w:rPr>
  </w:style>
  <w:style w:type="paragraph" w:styleId="4">
    <w:name w:val="heading 4"/>
    <w:basedOn w:val="1"/>
    <w:next w:val="1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440"/>
    </w:pPr>
    <w:rPr>
      <w:sz w:val="24"/>
      <w:szCs w:val="24"/>
    </w:rPr>
  </w:style>
  <w:style w:type="paragraph" w:styleId="5">
    <w:name w:val="annotation text"/>
    <w:basedOn w:val="1"/>
    <w:unhideWhenUsed/>
    <w:qFormat/>
    <w:uiPriority w:val="0"/>
    <w:pPr>
      <w:adjustRightInd/>
      <w:snapToGrid/>
    </w:pPr>
    <w:rPr>
      <w:sz w:val="21"/>
      <w:szCs w:val="20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  <w:rPr>
      <w:sz w:val="24"/>
      <w:szCs w:val="20"/>
    </w:rPr>
  </w:style>
  <w:style w:type="paragraph" w:styleId="7">
    <w:name w:val="toc 9"/>
    <w:basedOn w:val="1"/>
    <w:next w:val="1"/>
    <w:qFormat/>
    <w:uiPriority w:val="0"/>
    <w:pPr>
      <w:wordWrap w:val="0"/>
      <w:ind w:left="2975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hint="eastAsia"/>
      <w:sz w:val="21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14">
    <w:name w:val="annotation reference"/>
    <w:qFormat/>
    <w:uiPriority w:val="0"/>
    <w:rPr>
      <w:sz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160"/>
      <w:ind w:left="1101" w:hanging="182"/>
    </w:p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Default"/>
    <w:basedOn w:val="19"/>
    <w:next w:val="8"/>
    <w:qFormat/>
    <w:uiPriority w:val="0"/>
    <w:pPr>
      <w:tabs>
        <w:tab w:val="left" w:pos="888"/>
      </w:tabs>
      <w:adjustRightInd w:val="0"/>
    </w:pPr>
    <w:rPr>
      <w:rFonts w:hAnsi="Times New Roman"/>
      <w:color w:val="000000"/>
      <w:sz w:val="24"/>
      <w:lang w:val="en-US" w:bidi="ar-SA"/>
    </w:rPr>
  </w:style>
  <w:style w:type="paragraph" w:customStyle="1" w:styleId="19">
    <w:name w:val="文本"/>
    <w:basedOn w:val="1"/>
    <w:next w:val="1"/>
    <w:qFormat/>
    <w:uiPriority w:val="0"/>
    <w:pPr>
      <w:ind w:firstLine="1446"/>
    </w:pPr>
    <w:rPr>
      <w:szCs w:val="24"/>
    </w:rPr>
  </w:style>
  <w:style w:type="paragraph" w:customStyle="1" w:styleId="20">
    <w:name w:val="表内正文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3"/>
    <w:link w:val="9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4008</Words>
  <Characters>4418</Characters>
  <Lines>34</Lines>
  <Paragraphs>9</Paragraphs>
  <TotalTime>2</TotalTime>
  <ScaleCrop>false</ScaleCrop>
  <LinksUpToDate>false</LinksUpToDate>
  <CharactersWithSpaces>4423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2022-06-27T07:05:00Z</dcterms:created>
  <dc:creator>xqy</dc:creator>
  <cp:lastModifiedBy>WR</cp:lastModifiedBy>
  <dcterms:modified xsi:type="dcterms:W3CDTF">2023-09-06T06:01:10Z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B9F7FB3BD4254A69987F2723E964443C_13</vt:lpwstr>
  </property>
</Properties>
</file>