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b/>
          <w:color w:val="auto"/>
          <w:sz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lang w:eastAsia="zh-CN"/>
        </w:rPr>
        <w:t>安徽瑞新生物工程有限公司生物细胞资源库建设项目</w:t>
      </w:r>
      <w:r>
        <w:rPr>
          <w:rFonts w:ascii="Times New Roman" w:hAnsi="Times New Roman" w:cs="Times New Roman"/>
          <w:b/>
          <w:color w:val="auto"/>
          <w:sz w:val="32"/>
        </w:rPr>
        <w:t>竣工环境保护验收意见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2023</w:t>
      </w:r>
      <w:r>
        <w:rPr>
          <w:rFonts w:ascii="Times New Roman" w:hAnsi="Times New Roman" w:cs="Times New Roman"/>
          <w:color w:val="auto"/>
        </w:rPr>
        <w:t>年</w:t>
      </w:r>
      <w:r>
        <w:rPr>
          <w:rFonts w:hint="eastAsia" w:cs="Times New Roman"/>
          <w:color w:val="auto"/>
          <w:highlight w:val="none"/>
          <w:lang w:val="en-US" w:eastAsia="zh-CN"/>
        </w:rPr>
        <w:t>10</w:t>
      </w:r>
      <w:r>
        <w:rPr>
          <w:rFonts w:ascii="Times New Roman" w:hAnsi="Times New Roman" w:cs="Times New Roman"/>
          <w:color w:val="auto"/>
          <w:highlight w:val="none"/>
        </w:rPr>
        <w:t>月</w:t>
      </w:r>
      <w:r>
        <w:rPr>
          <w:rFonts w:hint="eastAsia" w:cs="Times New Roman"/>
          <w:color w:val="auto"/>
          <w:highlight w:val="none"/>
          <w:lang w:val="en-US" w:eastAsia="zh-CN"/>
        </w:rPr>
        <w:t>13</w:t>
      </w:r>
      <w:r>
        <w:rPr>
          <w:rFonts w:ascii="Times New Roman" w:hAnsi="Times New Roman" w:cs="Times New Roman"/>
          <w:color w:val="auto"/>
        </w:rPr>
        <w:t>日，</w:t>
      </w:r>
      <w:r>
        <w:rPr>
          <w:rFonts w:hint="eastAsia" w:ascii="Times New Roman" w:hAnsi="Times New Roman" w:cs="Times New Roman"/>
          <w:color w:val="auto"/>
        </w:rPr>
        <w:t>安徽瑞新生物工程有限公司</w:t>
      </w:r>
      <w:r>
        <w:rPr>
          <w:rFonts w:ascii="Times New Roman" w:hAnsi="Times New Roman" w:cs="Times New Roman"/>
          <w:color w:val="auto"/>
        </w:rPr>
        <w:t>组织召开了</w:t>
      </w:r>
      <w:r>
        <w:rPr>
          <w:rFonts w:hint="default" w:ascii="Times New Roman" w:hAnsi="Times New Roman" w:cs="Times New Roman"/>
          <w:color w:val="auto"/>
          <w:lang w:eastAsia="zh-CN"/>
        </w:rPr>
        <w:t>安徽瑞新生物工程有限公司生物细胞资源库建设项目</w:t>
      </w:r>
      <w:r>
        <w:rPr>
          <w:rFonts w:ascii="Times New Roman" w:hAnsi="Times New Roman" w:cs="Times New Roman"/>
          <w:color w:val="auto"/>
        </w:rPr>
        <w:t>竣工环境保护验收</w:t>
      </w:r>
      <w:r>
        <w:rPr>
          <w:rFonts w:hint="eastAsia" w:ascii="Times New Roman" w:hAnsi="Times New Roman" w:cs="Times New Roman"/>
          <w:color w:val="auto"/>
        </w:rPr>
        <w:t>工作</w:t>
      </w:r>
      <w:r>
        <w:rPr>
          <w:rFonts w:ascii="Times New Roman" w:hAnsi="Times New Roman" w:cs="Times New Roman"/>
          <w:color w:val="auto"/>
        </w:rPr>
        <w:t>会。</w:t>
      </w:r>
      <w:r>
        <w:rPr>
          <w:rFonts w:hint="eastAsia" w:ascii="Times New Roman" w:hAnsi="Times New Roman" w:cs="Times New Roman"/>
          <w:color w:val="auto"/>
        </w:rPr>
        <w:t>在</w:t>
      </w:r>
      <w:r>
        <w:rPr>
          <w:rFonts w:ascii="Times New Roman" w:hAnsi="Times New Roman" w:cs="Times New Roman"/>
          <w:color w:val="auto"/>
        </w:rPr>
        <w:t>查看了项目现场及周边环境，并根据</w:t>
      </w:r>
      <w:r>
        <w:rPr>
          <w:rFonts w:hint="eastAsia"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竣工环境保护验收监测报告</w:t>
      </w:r>
      <w:r>
        <w:rPr>
          <w:rFonts w:hint="eastAsia"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及《建设项目竣工环境保护验收暂行办法》</w:t>
      </w:r>
      <w:r>
        <w:rPr>
          <w:rFonts w:hint="eastAsia"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国环规环评【2017】4号</w:t>
      </w:r>
      <w:r>
        <w:rPr>
          <w:rFonts w:hint="eastAsia" w:ascii="Times New Roman" w:hAnsi="Times New Roman" w:cs="Times New Roman"/>
          <w:color w:val="auto"/>
        </w:rPr>
        <w:t>）</w:t>
      </w:r>
      <w:r>
        <w:rPr>
          <w:rFonts w:ascii="Times New Roman" w:hAnsi="Times New Roman" w:cs="Times New Roman"/>
          <w:color w:val="auto"/>
        </w:rPr>
        <w:t>，严格依照国家有关法律法规、建设项目竣工环境保护验收技术规范、本项目环境影响报告</w:t>
      </w:r>
      <w:r>
        <w:rPr>
          <w:rFonts w:hint="eastAsia" w:cs="Times New Roman"/>
          <w:color w:val="auto"/>
          <w:lang w:val="en-US" w:eastAsia="zh-CN"/>
        </w:rPr>
        <w:t>表</w:t>
      </w:r>
      <w:r>
        <w:rPr>
          <w:rFonts w:ascii="Times New Roman" w:hAnsi="Times New Roman" w:cs="Times New Roman"/>
          <w:color w:val="auto"/>
        </w:rPr>
        <w:t>和审批部门审批</w:t>
      </w:r>
      <w:r>
        <w:rPr>
          <w:rFonts w:hint="eastAsia" w:ascii="Times New Roman" w:hAnsi="Times New Roman" w:cs="Times New Roman"/>
          <w:color w:val="auto"/>
        </w:rPr>
        <w:t>意见</w:t>
      </w:r>
      <w:r>
        <w:rPr>
          <w:rFonts w:ascii="Times New Roman" w:hAnsi="Times New Roman" w:cs="Times New Roman"/>
          <w:color w:val="auto"/>
        </w:rPr>
        <w:t>等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对本项目进行验收，提出意见如下：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一、工程建设基本情况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（一）建设地点、规模、主要建设内容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安徽瑞新生物工程有限公司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位于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安徽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省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合肥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市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u w:val="none"/>
          <w:lang w:val="en-US" w:eastAsia="zh-CN"/>
        </w:rPr>
        <w:t>高新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区习友路与孔雀台路交口国家健康大数据产业园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B4-101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室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Times New Roman"/>
          <w:color w:val="auto"/>
          <w:spacing w:val="-4"/>
          <w:kern w:val="2"/>
          <w:sz w:val="24"/>
          <w:szCs w:val="24"/>
          <w:highlight w:val="none"/>
          <w:lang w:val="en-US" w:eastAsia="zh-CN" w:bidi="ar"/>
        </w:rPr>
        <w:t>租赁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 w:bidi="ar"/>
        </w:rPr>
        <w:t>高新区习友路与孔雀台路交口西南角国家健康大数据产业园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 w:bidi="ar"/>
        </w:rPr>
        <w:t xml:space="preserve"> B4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 w:bidi="ar"/>
        </w:rPr>
        <w:t>栋一、二两层厂房</w:t>
      </w:r>
      <w:r>
        <w:rPr>
          <w:rFonts w:hint="eastAsia" w:ascii="宋体" w:hAnsi="宋体" w:eastAsia="宋体" w:cs="Times New Roman"/>
          <w:color w:val="auto"/>
          <w:spacing w:val="-1"/>
          <w:kern w:val="2"/>
          <w:sz w:val="24"/>
          <w:szCs w:val="24"/>
          <w:highlight w:val="none"/>
          <w:lang w:val="en-US" w:eastAsia="zh-CN" w:bidi="ar"/>
        </w:rPr>
        <w:t xml:space="preserve">，建筑面积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2905.16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m</w:t>
      </w:r>
      <w:r>
        <w:rPr>
          <w:rFonts w:hint="default" w:ascii="Times New Roman" w:hAnsi="Times New Roman" w:eastAsia="Times New Roman" w:cs="Times New Roman"/>
          <w:color w:val="auto"/>
          <w:kern w:val="2"/>
          <w:position w:val="9"/>
          <w:sz w:val="16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Times New Roman"/>
          <w:color w:val="auto"/>
          <w:spacing w:val="-2"/>
          <w:kern w:val="2"/>
          <w:sz w:val="24"/>
          <w:szCs w:val="24"/>
          <w:highlight w:val="none"/>
          <w:lang w:val="en-US" w:eastAsia="zh-CN" w:bidi="ar"/>
        </w:rPr>
        <w:t>，建设内容包括生物样本库、生物检测中心、细胞制备中心、办公区等，建设规模为约</w:t>
      </w:r>
      <w:r>
        <w:rPr>
          <w:rFonts w:hint="default" w:ascii="Times New Roman" w:hAnsi="Times New Roman" w:eastAsia="宋体" w:cs="Times New Roman"/>
          <w:color w:val="auto"/>
          <w:spacing w:val="-2"/>
          <w:kern w:val="2"/>
          <w:sz w:val="24"/>
          <w:szCs w:val="24"/>
          <w:highlight w:val="none"/>
          <w:lang w:val="en-US" w:eastAsia="zh-CN" w:bidi="ar"/>
        </w:rPr>
        <w:t>3000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m</w:t>
      </w:r>
      <w:r>
        <w:rPr>
          <w:rFonts w:hint="default" w:ascii="Times New Roman" w:hAnsi="Times New Roman" w:eastAsia="Times New Roman" w:cs="Times New Roman"/>
          <w:color w:val="auto"/>
          <w:kern w:val="2"/>
          <w:position w:val="9"/>
          <w:sz w:val="16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Times New Roman"/>
          <w:color w:val="auto"/>
          <w:spacing w:val="-2"/>
          <w:kern w:val="2"/>
          <w:sz w:val="24"/>
          <w:szCs w:val="24"/>
          <w:highlight w:val="none"/>
          <w:lang w:val="en-US" w:eastAsia="zh-CN" w:bidi="ar"/>
        </w:rPr>
        <w:t>的生物细胞资源库，主要进行干细胞提取、生物检测、收集实验数据、样本储存等，以建立资源库，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检测收集干细胞、样本、实验数据共18000组/a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color w:val="auto"/>
        </w:rPr>
        <w:t>（二）</w:t>
      </w:r>
      <w:r>
        <w:rPr>
          <w:rFonts w:ascii="Times New Roman" w:hAnsi="Times New Roman" w:cs="Times New Roman"/>
          <w:color w:val="auto"/>
        </w:rPr>
        <w:t>建设过程及环保审批情况　</w:t>
      </w:r>
      <w:r>
        <w:rPr>
          <w:rFonts w:ascii="Times New Roman" w:hAnsi="Times New Roman" w:cs="Times New Roman"/>
          <w:color w:val="0000FF"/>
        </w:rPr>
        <w:t>　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安徽瑞新生物工程有限公司生物细胞资源库建设项目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于202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合肥高新技术产业开发区经济贸易局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进行了项目备案。202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月，安徽省智源环保工程有限公司编制完成了《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安徽瑞新生物工程有限公司生物细胞资源库建设项目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环境影响报告表》；202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日合肥市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高新技术产业开发区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生态环境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局以文件“环建审〔202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10092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号”对该环评报告进行了批复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项目已在排污许可证管理信息平台上进行了排污许可登记申请，并已取得备案回执，登记编号：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913401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00MA8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L8WGL5T001Z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项目于202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开始建设，202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月建设完成并投入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实验使用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（三）投资情况</w:t>
      </w:r>
    </w:p>
    <w:p>
      <w:pPr>
        <w:pStyle w:val="1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本项目总投资</w:t>
      </w:r>
      <w:r>
        <w:rPr>
          <w:rFonts w:hint="eastAsia" w:cs="Times New Roman"/>
          <w:color w:val="auto"/>
          <w:sz w:val="24"/>
          <w:szCs w:val="24"/>
          <w:lang w:val="en-US" w:eastAsia="zh-CN" w:bidi="ar"/>
        </w:rPr>
        <w:t>17130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万元，其中环保投资为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5万元，占总投资的</w:t>
      </w:r>
      <w:r>
        <w:rPr>
          <w:rFonts w:hint="eastAsia" w:cs="Times New Roman"/>
          <w:color w:val="auto"/>
          <w:sz w:val="24"/>
          <w:szCs w:val="24"/>
          <w:lang w:val="en-US" w:eastAsia="zh-CN" w:bidi="ar"/>
        </w:rPr>
        <w:t>0.26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%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　</w:t>
      </w:r>
      <w:r>
        <w:rPr>
          <w:rFonts w:ascii="Times New Roman" w:hAnsi="Times New Roman" w:cs="Times New Roman"/>
          <w:color w:val="auto"/>
        </w:rPr>
        <w:t>　（四）验收范围</w:t>
      </w:r>
    </w:p>
    <w:p>
      <w:pPr>
        <w:pStyle w:val="11"/>
        <w:spacing w:before="0" w:beforeAutospacing="0" w:after="0" w:afterAutospacing="0" w:line="360" w:lineRule="auto"/>
        <w:ind w:firstLine="480"/>
        <w:jc w:val="both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项目整体验收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二、工程变动情况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本项目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基本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按照环评及批复要求建设，与环评及批复要求对比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变化如下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废气收集于工作台设备上方增加2个万向罩，产能未增加，废气产生量未增加；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项目污水处理设施工艺由“微电解-絮凝沉淀-消毒”变更为“多相催化氧化-絮凝沉淀-过滤-消毒”，不会导致造成污染物排放增大等情况；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项目布局发生部分变化，其中2层部分办公区变更为实验区，废水处理设施位置由1层南侧变更为-1层车库，已按环评做好防渗</w:t>
      </w:r>
      <w:r>
        <w:rPr>
          <w:rFonts w:hint="eastAsia"/>
          <w:color w:val="auto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项目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建设情况发生变化，对照《污染影响类建设项目重大变动清单（试行）》（环办环评函[2020]688号）</w:t>
      </w:r>
      <w:r>
        <w:rPr>
          <w:rFonts w:hint="eastAsia"/>
          <w:color w:val="auto"/>
          <w:sz w:val="24"/>
          <w:szCs w:val="24"/>
          <w:lang w:val="en-US" w:eastAsia="zh-CN"/>
        </w:rPr>
        <w:t>，本次验收建设内容与该清单所列各项内容均不符合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，故本次验收无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重大变动。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三、环境保护设施建设情况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（一）废水</w:t>
      </w:r>
    </w:p>
    <w:p>
      <w:pPr>
        <w:spacing w:after="0"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本项目主要为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员工生活污水、其他区域保洁废水、二次清洗废水、蒸汽灭活废水、水浴废水、实验区域保洁废水、洗衣废水及纯水制备浓水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污染因子为COD、BOD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、SS、NH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总磷、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LAS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本项目区实行雨污分流制，雨水接市政雨水管网；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生活污水和其他区域保洁废水经化粪池预处理，二次清洗废水、实验区域保洁废水、洗衣废水、蒸汽灭活废水、水浴废水经污水处理设施预处理，预处理后污水和纯水制备浓水一同接入市政污水管网，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排入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西部组团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污水处理厂，达标尾水排入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派河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其中消毒剂为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过硫酸氢钾消毒粉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其由设备根据水质情况自动投加进入废水进行消毒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（二）废气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本项目主要废气为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实验室试剂挥发废气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。项目乙醇废气产生于项目区南侧的样本处理间，操作工序均于生物安全柜中进行，乙醇废气经生物安全柜管道和万向罩收集通过“二级活性炭吸附”处理后，最终通过1根排气筒（27m，2000m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bidi="ar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/h）屋顶排放</w:t>
      </w:r>
      <w:r>
        <w:rPr>
          <w:rFonts w:hint="eastAsia" w:ascii="Times New Roman" w:hAnsi="Times New Roman"/>
          <w:color w:val="auto"/>
          <w:sz w:val="24"/>
          <w:szCs w:val="24"/>
        </w:rPr>
        <w:t>。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（三）噪声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bCs/>
          <w:color w:val="auto"/>
          <w:spacing w:val="6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>项目主要噪声为引风机、纯水机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  <w:lang w:val="en-US" w:eastAsia="zh-CN"/>
        </w:rPr>
        <w:t>离心机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>等设备产生的噪声，源强约为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  <w:lang w:val="en-US" w:eastAsia="zh-CN"/>
        </w:rPr>
        <w:t>60-90</w:t>
      </w:r>
      <w:r>
        <w:rPr>
          <w:rFonts w:hint="default" w:ascii="Times New Roman" w:hAnsi="Times New Roman" w:eastAsia="宋体" w:cs="Times New Roman"/>
          <w:color w:val="auto"/>
          <w:sz w:val="24"/>
          <w:szCs w:val="20"/>
        </w:rPr>
        <w:t>dB(A)。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本项目通过采取了合理布局、厂房隔声、选用低噪声设备、隔声、减振，加强管理等措施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 w:bidi="ar"/>
        </w:rPr>
        <w:t>，</w:t>
      </w:r>
      <w:r>
        <w:rPr>
          <w:rFonts w:hint="default" w:ascii="Times New Roman" w:hAnsi="Times New Roman" w:cs="Times New Roman"/>
          <w:bCs/>
          <w:color w:val="auto"/>
          <w:spacing w:val="6"/>
        </w:rPr>
        <w:t>保证项目厂界噪声可以达到《工业企业厂界环境噪声排放标准》（GB12348-2008）中3类标准要求，尽可能降低生产噪声对周围环境的影响</w:t>
      </w:r>
      <w:r>
        <w:rPr>
          <w:rFonts w:ascii="Times New Roman" w:hAnsi="Times New Roman" w:cs="Times New Roman"/>
          <w:bCs/>
          <w:color w:val="auto"/>
          <w:spacing w:val="6"/>
        </w:rPr>
        <w:t>。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（四）固体废物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项目生活垃圾交环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部门统一清运处理；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一般工业固体废物废RO膜、废活性炭（纯水制备），由设备厂家更换后回收利用；废一般包装材料由环卫部门清运；</w:t>
      </w:r>
    </w:p>
    <w:p>
      <w:pPr>
        <w:pStyle w:val="11"/>
        <w:spacing w:before="0" w:beforeAutospacing="0" w:after="0" w:afterAutospacing="0" w:line="360" w:lineRule="auto"/>
        <w:ind w:firstLine="480"/>
        <w:jc w:val="both"/>
        <w:rPr>
          <w:rFonts w:hint="eastAsia" w:ascii="Times New Roman" w:hAnsi="Times New Roman" w:cs="Times New Roman"/>
          <w:bCs/>
          <w:color w:val="0000FF"/>
          <w:spacing w:val="6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危险废物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接触细胞、外周血、细菌、病毒等活性物质的实验废物、实验检测废液）经电加热灭菌消毒后密闭容器收集，暂存在废物暂存间；废酒精纱布、废外包装袋、废过滤器、废紫外灯管、初次清洗废液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紫外消毒后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分类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暂存于危险废物暂存间，定期委托给有相应资质的单位集中处置。危险废物暂存间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位于项目中部东侧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建筑面积为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bidi="ar"/>
        </w:rPr>
        <w:t>2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四、环境保护设施调试效果</w:t>
      </w:r>
    </w:p>
    <w:p>
      <w:pPr>
        <w:pStyle w:val="11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bCs/>
          <w:color w:val="auto"/>
          <w:spacing w:val="6"/>
        </w:rPr>
      </w:pPr>
      <w:r>
        <w:rPr>
          <w:rFonts w:hint="eastAsia" w:ascii="Times New Roman" w:hAnsi="Times New Roman" w:cs="Times New Roman"/>
          <w:bCs/>
          <w:color w:val="auto"/>
          <w:spacing w:val="6"/>
        </w:rPr>
        <w:t>1、</w:t>
      </w:r>
      <w:r>
        <w:rPr>
          <w:rFonts w:ascii="Times New Roman" w:hAnsi="Times New Roman" w:cs="Times New Roman"/>
          <w:bCs/>
          <w:color w:val="auto"/>
          <w:spacing w:val="6"/>
        </w:rPr>
        <w:t>废水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color w:val="auto"/>
          <w:spacing w:val="6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日，项目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污水处理系统出口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pH值范围为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8.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~8.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，日均值化学需氧量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40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mg/L、五日生化需氧量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11.2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mg/L、氨氮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2.27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mg/L、悬浮物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mg/L、总磷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0.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阴离子表面活性剂0.058mg/L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日，项目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污水处理系统出口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pH值范围为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8.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~8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.4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，日均值化学需氧量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40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mg/L、五日生化需氧量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11.4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mg/L、氨氮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2.11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mg/L、悬浮物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mg/L、总磷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0.22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mg/L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阴离子表面活性剂0.059mg/L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。监测期间，连续两日各项水污染物日均值均能满足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合肥西部组团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污水处理厂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接管标准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和《污水综合排放标准》（GB8978-1996）表4中三级排放标准</w:t>
      </w:r>
      <w:r>
        <w:rPr>
          <w:rFonts w:hint="eastAsia" w:ascii="Times New Roman" w:hAnsi="Times New Roman" w:cs="Times New Roman"/>
          <w:bCs/>
          <w:color w:val="auto"/>
          <w:spacing w:val="6"/>
        </w:rPr>
        <w:t>。</w:t>
      </w:r>
    </w:p>
    <w:p>
      <w:pPr>
        <w:pStyle w:val="11"/>
        <w:spacing w:before="0" w:beforeAutospacing="0" w:after="0" w:afterAutospacing="0" w:line="360" w:lineRule="auto"/>
        <w:ind w:firstLine="504" w:firstLineChars="200"/>
        <w:jc w:val="both"/>
        <w:rPr>
          <w:rFonts w:hint="eastAsia" w:ascii="Times New Roman" w:hAnsi="Times New Roman" w:cs="Times New Roman"/>
          <w:bCs/>
          <w:color w:val="auto"/>
          <w:spacing w:val="6"/>
        </w:rPr>
      </w:pPr>
      <w:r>
        <w:rPr>
          <w:rFonts w:hint="eastAsia" w:ascii="Times New Roman" w:hAnsi="Times New Roman" w:cs="Times New Roman"/>
          <w:bCs/>
          <w:color w:val="auto"/>
          <w:spacing w:val="6"/>
        </w:rPr>
        <w:t>2、废气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1）有组织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月1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日时，两级活性炭吸附装置出口非甲烷总烃平均排放浓度为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2.13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，平均排放速率为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0.001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kg/h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月1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日时，两级活性炭吸附装置出口非甲烷总烃平均排放浓度为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2.15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，平均排放速率为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0.001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kg/h。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非甲烷总烃排放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满足《大气污染物综合排放标准》（DB31933-2015）表1中的大气污染物排放限值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2）无组织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项目厂界非甲烷总烃的最大监测值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分别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1.06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和1.05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mg/m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vertAlign w:val="baseli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非甲烷总烃无组织排放满足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《大气污染物综合排放标准》（DB31933-2015）表2中厂区内大气污染物监控点浓度限值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要求</w:t>
      </w:r>
      <w:r>
        <w:rPr>
          <w:rFonts w:hint="eastAsia"/>
          <w:color w:val="000000"/>
          <w:spacing w:val="0"/>
          <w:sz w:val="24"/>
          <w:szCs w:val="24"/>
          <w:highlight w:val="none"/>
          <w:lang w:eastAsia="zh-CN"/>
        </w:rPr>
        <w:t>。</w:t>
      </w:r>
    </w:p>
    <w:p>
      <w:pPr>
        <w:pStyle w:val="11"/>
        <w:spacing w:before="0" w:beforeAutospacing="0" w:after="0" w:afterAutospacing="0" w:line="360" w:lineRule="auto"/>
        <w:ind w:firstLine="480"/>
        <w:jc w:val="both"/>
        <w:rPr>
          <w:rFonts w:ascii="Times New Roman" w:hAnsi="Times New Roman" w:cs="Times New Roman"/>
          <w:bCs/>
          <w:color w:val="auto"/>
          <w:spacing w:val="6"/>
        </w:rPr>
      </w:pPr>
      <w:r>
        <w:rPr>
          <w:rFonts w:hint="eastAsia" w:ascii="Times New Roman" w:hAnsi="Times New Roman" w:cs="Times New Roman"/>
          <w:bCs/>
          <w:color w:val="auto"/>
          <w:spacing w:val="6"/>
        </w:rPr>
        <w:t>3、厂界</w:t>
      </w:r>
      <w:r>
        <w:rPr>
          <w:rFonts w:ascii="Times New Roman" w:hAnsi="Times New Roman" w:cs="Times New Roman"/>
          <w:bCs/>
          <w:color w:val="auto"/>
          <w:spacing w:val="6"/>
        </w:rPr>
        <w:t>噪声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经过两天监测，项目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日厂界昼间噪声值范围为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51~57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dB(A)，夜间噪声值范围为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41~48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日厂界昼间噪声值范围为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52~57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dB(A)，夜间噪声值范围为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43~48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dB(A)，均符合《工业企业厂界环境噪声排放标准》（GB12348-2008）中的3类标准要求（昼间65dB(A)、夜间55dB(A)）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11"/>
        <w:spacing w:before="0" w:beforeAutospacing="0" w:after="0" w:afterAutospacing="0" w:line="360" w:lineRule="auto"/>
        <w:ind w:firstLine="504" w:firstLineChars="200"/>
        <w:jc w:val="both"/>
        <w:rPr>
          <w:rFonts w:hint="eastAsia" w:ascii="Times New Roman" w:hAnsi="Times New Roman" w:cs="Times New Roman"/>
          <w:bCs/>
          <w:color w:val="auto"/>
          <w:spacing w:val="6"/>
        </w:rPr>
      </w:pPr>
      <w:r>
        <w:rPr>
          <w:rFonts w:hint="eastAsia" w:ascii="Times New Roman" w:hAnsi="Times New Roman" w:cs="Times New Roman"/>
          <w:bCs/>
          <w:color w:val="auto"/>
          <w:spacing w:val="6"/>
        </w:rPr>
        <w:t>4、</w:t>
      </w:r>
      <w:r>
        <w:rPr>
          <w:rFonts w:ascii="Times New Roman" w:hAnsi="Times New Roman" w:cs="Times New Roman"/>
          <w:color w:val="auto"/>
        </w:rPr>
        <w:t>固体废物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项目生活垃圾交环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部门统一清运处理；</w:t>
      </w:r>
    </w:p>
    <w:p>
      <w:pPr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一般工业固体废物废RO膜、废活性炭（纯水制备），由设备厂家更换后回收利用；废一般包装材料由环卫部门清运；</w:t>
      </w:r>
    </w:p>
    <w:p>
      <w:pPr>
        <w:pStyle w:val="11"/>
        <w:spacing w:before="0" w:beforeAutospacing="0" w:after="0" w:afterAutospacing="0" w:line="360" w:lineRule="auto"/>
        <w:ind w:firstLine="480" w:firstLineChars="200"/>
        <w:jc w:val="both"/>
        <w:rPr>
          <w:rFonts w:hint="eastAsia" w:ascii="Times New Roman" w:hAnsi="Times New Roman" w:cs="Times New Roman"/>
          <w:bCs/>
          <w:color w:val="auto"/>
          <w:spacing w:val="6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危险废物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接触细胞、外周血、细菌、病毒等活性物质的实验废物、实验检测废液）经电加热灭菌消毒后密闭容器收集，暂存在废物暂存间；废酒精纱布、废外包装袋、废过滤器、废紫外灯管、初次清洗废液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紫外消毒后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分类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暂存于危险废物暂存间，定期委托给有相应资质的单位集中处置。危险废物暂存间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位于项目中部东侧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 w:bidi="ar"/>
        </w:rPr>
        <w:t>建筑面积为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bidi="ar"/>
        </w:rPr>
        <w:t>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bidi="ar"/>
        </w:rPr>
        <w:t>2</w:t>
      </w:r>
      <w:r>
        <w:rPr>
          <w:rFonts w:hint="eastAsia" w:ascii="Times New Roman" w:hAnsi="Times New Roman"/>
          <w:color w:val="auto"/>
        </w:rPr>
        <w:t>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五、工程建设对环境的影响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2"/>
          <w:lang w:val="en-US" w:eastAsia="zh-CN"/>
        </w:rPr>
        <w:t>本项目环境影响报告表及其审批意见均未要求进行环境质量监测，且项目建设对周边环境影响轻微，故本次验收期间未对项目周边环境质量进行监测</w:t>
      </w:r>
      <w:r>
        <w:rPr>
          <w:rFonts w:hint="eastAsia" w:ascii="Times New Roman" w:hAnsi="Times New Roman"/>
          <w:color w:val="auto"/>
          <w:kern w:val="0"/>
          <w:sz w:val="24"/>
          <w:szCs w:val="24"/>
        </w:rPr>
        <w:t>。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六、验收结论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该项目环境保护审批手续完备，项目建设过程中基本按照环评及批复的要求落实了污染防治措施，主要污染物做到达标排放，符合验收条件。验收工作组认为该项目满足竣工环境保护验收的要求，</w:t>
      </w:r>
      <w:r>
        <w:rPr>
          <w:rFonts w:hint="eastAsia" w:ascii="Times New Roman" w:hAnsi="Times New Roman"/>
          <w:color w:val="auto"/>
          <w:sz w:val="24"/>
        </w:rPr>
        <w:t>建议通过</w:t>
      </w:r>
      <w:r>
        <w:rPr>
          <w:rFonts w:ascii="Times New Roman" w:hAnsi="Times New Roman"/>
          <w:color w:val="auto"/>
          <w:sz w:val="24"/>
        </w:rPr>
        <w:t xml:space="preserve">验收。 </w:t>
      </w:r>
    </w:p>
    <w:p>
      <w:pPr>
        <w:pStyle w:val="11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七、后续要求</w:t>
      </w:r>
    </w:p>
    <w:p>
      <w:pPr>
        <w:pStyle w:val="11"/>
        <w:spacing w:before="0" w:beforeAutospacing="0" w:after="0" w:afterAutospacing="0" w:line="360" w:lineRule="auto"/>
        <w:ind w:left="400" w:leftChars="200"/>
        <w:jc w:val="both"/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/>
          <w:color w:val="auto"/>
        </w:rPr>
        <w:t>建设单位要建立环境保护管理制度，加强环境保护设施的日常运行管理。</w:t>
      </w:r>
    </w:p>
    <w:p>
      <w:pPr>
        <w:pStyle w:val="11"/>
        <w:spacing w:before="156" w:beforeLines="50" w:beforeAutospacing="0" w:after="156" w:afterLines="50" w:afterAutospacing="0" w:line="360" w:lineRule="auto"/>
        <w:jc w:val="right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安徽瑞新生物工程有限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公司</w:t>
      </w:r>
    </w:p>
    <w:p>
      <w:pPr>
        <w:pStyle w:val="11"/>
        <w:spacing w:before="156" w:beforeLines="50" w:beforeAutospacing="0" w:after="156" w:afterLines="50" w:afterAutospacing="0" w:line="360" w:lineRule="auto"/>
        <w:jc w:val="right"/>
        <w:rPr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202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62CA9"/>
    <w:multiLevelType w:val="multilevel"/>
    <w:tmpl w:val="41862CA9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0"/>
        <w:szCs w:val="30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3360" w:firstLine="0"/>
      </w:pPr>
      <w:rPr>
        <w:rFonts w:hint="default" w:ascii="Arial" w:hAnsi="Arial"/>
      </w:rPr>
    </w:lvl>
    <w:lvl w:ilvl="2" w:tentative="0">
      <w:start w:val="1"/>
      <w:numFmt w:val="decimal"/>
      <w:suff w:val="space"/>
      <w:lvlText w:val="%1.%2.%3"/>
      <w:lvlJc w:val="left"/>
      <w:pPr>
        <w:ind w:left="994" w:hanging="426"/>
      </w:pPr>
      <w:rPr>
        <w:rFonts w:hint="default" w:ascii="Arial" w:hAnsi="Arial"/>
      </w:rPr>
    </w:lvl>
    <w:lvl w:ilvl="3" w:tentative="0">
      <w:start w:val="1"/>
      <w:numFmt w:val="decimal"/>
      <w:suff w:val="nothing"/>
      <w:lvlText w:val="%1.%2.%3.%4"/>
      <w:lvlJc w:val="left"/>
      <w:pPr>
        <w:ind w:left="851" w:hanging="851"/>
      </w:pPr>
      <w:rPr>
        <w:rFonts w:hint="eastAsia" w:ascii="Arial" w:hAnsi="Arial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08A5"/>
    <w:rsid w:val="03EF497A"/>
    <w:rsid w:val="054756BE"/>
    <w:rsid w:val="054B0F21"/>
    <w:rsid w:val="060379FA"/>
    <w:rsid w:val="06627CBF"/>
    <w:rsid w:val="07AC25CA"/>
    <w:rsid w:val="07CE54EB"/>
    <w:rsid w:val="088C799D"/>
    <w:rsid w:val="09064339"/>
    <w:rsid w:val="097B223E"/>
    <w:rsid w:val="0A7C7F19"/>
    <w:rsid w:val="0B9C4613"/>
    <w:rsid w:val="0C791CC0"/>
    <w:rsid w:val="0F730BD4"/>
    <w:rsid w:val="11F6134D"/>
    <w:rsid w:val="16A11295"/>
    <w:rsid w:val="16B37E5E"/>
    <w:rsid w:val="1777394D"/>
    <w:rsid w:val="179B76FA"/>
    <w:rsid w:val="17B12177"/>
    <w:rsid w:val="18192877"/>
    <w:rsid w:val="18484D63"/>
    <w:rsid w:val="185B6082"/>
    <w:rsid w:val="18726373"/>
    <w:rsid w:val="18B309A7"/>
    <w:rsid w:val="18EF3E82"/>
    <w:rsid w:val="19346C4F"/>
    <w:rsid w:val="1A9D2E0F"/>
    <w:rsid w:val="1BA2507A"/>
    <w:rsid w:val="1D6E6271"/>
    <w:rsid w:val="1E207A4B"/>
    <w:rsid w:val="28393827"/>
    <w:rsid w:val="28BB4B01"/>
    <w:rsid w:val="28CB6E09"/>
    <w:rsid w:val="2AD95AA3"/>
    <w:rsid w:val="2B223EAD"/>
    <w:rsid w:val="2BF14BDB"/>
    <w:rsid w:val="30DC44F3"/>
    <w:rsid w:val="33D54054"/>
    <w:rsid w:val="34087648"/>
    <w:rsid w:val="342D055E"/>
    <w:rsid w:val="37B27451"/>
    <w:rsid w:val="3C982BE4"/>
    <w:rsid w:val="3CE10792"/>
    <w:rsid w:val="3DA71CA7"/>
    <w:rsid w:val="440C74A8"/>
    <w:rsid w:val="444608E2"/>
    <w:rsid w:val="46860819"/>
    <w:rsid w:val="46F822CF"/>
    <w:rsid w:val="487D72BA"/>
    <w:rsid w:val="489B29FD"/>
    <w:rsid w:val="4E7E368F"/>
    <w:rsid w:val="4F3A0F4D"/>
    <w:rsid w:val="4F545325"/>
    <w:rsid w:val="50F86178"/>
    <w:rsid w:val="55FF43C5"/>
    <w:rsid w:val="568857EA"/>
    <w:rsid w:val="57D63CF6"/>
    <w:rsid w:val="5A14382D"/>
    <w:rsid w:val="5CC5437F"/>
    <w:rsid w:val="5EB82899"/>
    <w:rsid w:val="5F49743E"/>
    <w:rsid w:val="5F4D2A2A"/>
    <w:rsid w:val="5FFF1548"/>
    <w:rsid w:val="628716F4"/>
    <w:rsid w:val="64637E47"/>
    <w:rsid w:val="649E237A"/>
    <w:rsid w:val="661E592C"/>
    <w:rsid w:val="68F41FE7"/>
    <w:rsid w:val="6A3C6BC3"/>
    <w:rsid w:val="6B2F18EB"/>
    <w:rsid w:val="6C43348B"/>
    <w:rsid w:val="6C6F4CB7"/>
    <w:rsid w:val="6C7006B3"/>
    <w:rsid w:val="6EC41B49"/>
    <w:rsid w:val="6F4D68B9"/>
    <w:rsid w:val="6F5D17CB"/>
    <w:rsid w:val="6F6808A5"/>
    <w:rsid w:val="71131AFE"/>
    <w:rsid w:val="718F64EF"/>
    <w:rsid w:val="737D3E73"/>
    <w:rsid w:val="755A6E37"/>
    <w:rsid w:val="77C26757"/>
    <w:rsid w:val="784D5F27"/>
    <w:rsid w:val="78641707"/>
    <w:rsid w:val="7915349C"/>
    <w:rsid w:val="7A0223D6"/>
    <w:rsid w:val="7B757A6A"/>
    <w:rsid w:val="7CCA11B7"/>
    <w:rsid w:val="7D6068C1"/>
    <w:rsid w:val="7D941956"/>
    <w:rsid w:val="7F7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8"/>
    <w:qFormat/>
    <w:uiPriority w:val="0"/>
    <w:pPr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标题2"/>
    <w:basedOn w:val="4"/>
    <w:qFormat/>
    <w:uiPriority w:val="0"/>
    <w:pPr>
      <w:numPr>
        <w:ilvl w:val="1"/>
        <w:numId w:val="1"/>
      </w:numPr>
      <w:spacing w:before="0" w:after="0" w:line="440" w:lineRule="exact"/>
    </w:pPr>
    <w:rPr>
      <w:sz w:val="28"/>
    </w:rPr>
  </w:style>
  <w:style w:type="paragraph" w:styleId="4">
    <w:name w:val="Normal Indent"/>
    <w:basedOn w:val="1"/>
    <w:next w:val="5"/>
    <w:qFormat/>
    <w:uiPriority w:val="99"/>
    <w:pPr>
      <w:widowControl/>
      <w:spacing w:line="360" w:lineRule="auto"/>
      <w:ind w:firstLine="420" w:firstLineChars="200"/>
    </w:pPr>
    <w:rPr>
      <w:kern w:val="0"/>
      <w:sz w:val="24"/>
      <w:szCs w:val="20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toc 9"/>
    <w:basedOn w:val="1"/>
    <w:next w:val="1"/>
    <w:qFormat/>
    <w:uiPriority w:val="0"/>
    <w:pPr>
      <w:widowControl/>
      <w:wordWrap w:val="0"/>
      <w:spacing w:line="240" w:lineRule="auto"/>
      <w:ind w:left="2975"/>
    </w:pPr>
    <w:rPr>
      <w:sz w:val="21"/>
      <w:szCs w:val="22"/>
    </w:rPr>
  </w:style>
  <w:style w:type="paragraph" w:customStyle="1" w:styleId="8">
    <w:name w:val="1正文段落"/>
    <w:basedOn w:val="1"/>
    <w:qFormat/>
    <w:uiPriority w:val="0"/>
    <w:pPr>
      <w:spacing w:line="360" w:lineRule="auto"/>
      <w:ind w:firstLine="480" w:firstLineChars="200"/>
    </w:pPr>
    <w:rPr>
      <w:snapToGrid w:val="0"/>
      <w:sz w:val="24"/>
      <w:szCs w:val="24"/>
    </w:rPr>
  </w:style>
  <w:style w:type="paragraph" w:styleId="9">
    <w:name w:val="annotation text"/>
    <w:basedOn w:val="1"/>
    <w:unhideWhenUsed/>
    <w:qFormat/>
    <w:uiPriority w:val="99"/>
    <w:pPr>
      <w:jc w:val="left"/>
    </w:pPr>
  </w:style>
  <w:style w:type="paragraph" w:styleId="10">
    <w:name w:val="Body Text"/>
    <w:basedOn w:val="1"/>
    <w:next w:val="1"/>
    <w:qFormat/>
    <w:uiPriority w:val="0"/>
    <w:pPr>
      <w:spacing w:line="480" w:lineRule="exact"/>
    </w:pPr>
    <w:rPr>
      <w:rFonts w:ascii="宋体" w:hAnsi="宋体" w:eastAsia="宋体" w:cs="Times New Roman"/>
      <w:sz w:val="2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4正文"/>
    <w:basedOn w:val="1"/>
    <w:qFormat/>
    <w:uiPriority w:val="0"/>
    <w:pPr>
      <w:adjustRightInd w:val="0"/>
      <w:spacing w:beforeLines="50" w:afterLines="50" w:line="400" w:lineRule="atLeast"/>
      <w:ind w:firstLine="200" w:firstLineChars="200"/>
      <w:textAlignment w:val="baseline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2021-01-11T09:05:00Z</dcterms:created>
  <dc:creator>lili</dc:creator>
  <cp:lastModifiedBy>lili</cp:lastModifiedBy>
  <dcterms:modified xsi:type="dcterms:W3CDTF">2023-12-12T03:13:18Z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C79D997FA3744FBA877BE9769A6A2EF4</vt:lpwstr>
  </property>
</Properties>
</file>