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20" w:lineRule="exact"/>
        <w:jc w:val="center"/>
        <w:rPr>
          <w:rFonts w:hint="eastAsia" w:ascii="方正小标宋_GBK" w:hAnsi="Arial" w:eastAsia="方正小标宋_GBK" w:cs="Arial"/>
          <w:color w:val="191919"/>
          <w:kern w:val="36"/>
          <w:sz w:val="44"/>
          <w:szCs w:val="44"/>
        </w:rPr>
      </w:pPr>
    </w:p>
    <w:p>
      <w:pPr>
        <w:spacing w:line="620" w:lineRule="exact"/>
        <w:jc w:val="center"/>
        <w:rPr>
          <w:rFonts w:ascii="方正小标宋_GBK" w:hAnsi="Arial" w:eastAsia="方正小标宋_GBK" w:cs="Arial"/>
          <w:color w:val="191919"/>
          <w:kern w:val="36"/>
          <w:sz w:val="44"/>
          <w:szCs w:val="44"/>
        </w:rPr>
      </w:pPr>
    </w:p>
    <w:p>
      <w:pPr>
        <w:spacing w:line="620" w:lineRule="exact"/>
        <w:jc w:val="center"/>
        <w:rPr>
          <w:rFonts w:ascii="方正小标宋_GBK" w:hAnsi="Arial" w:eastAsia="方正小标宋_GBK" w:cs="Arial"/>
          <w:color w:val="191919"/>
          <w:kern w:val="36"/>
          <w:sz w:val="44"/>
          <w:szCs w:val="44"/>
        </w:rPr>
      </w:pPr>
    </w:p>
    <w:p>
      <w:pPr>
        <w:spacing w:line="620" w:lineRule="exact"/>
        <w:jc w:val="center"/>
        <w:rPr>
          <w:rFonts w:ascii="方正小标宋_GBK" w:hAnsi="Arial" w:eastAsia="方正小标宋_GBK" w:cs="Arial"/>
          <w:color w:val="191919"/>
          <w:kern w:val="36"/>
          <w:sz w:val="44"/>
          <w:szCs w:val="44"/>
        </w:rPr>
      </w:pPr>
    </w:p>
    <w:p>
      <w:pPr>
        <w:spacing w:line="720" w:lineRule="exact"/>
        <w:jc w:val="center"/>
        <w:rPr>
          <w:rFonts w:ascii="方正小标宋_GBK" w:hAnsi="Arial" w:eastAsia="方正小标宋_GBK" w:cs="Arial"/>
          <w:color w:val="191919"/>
          <w:kern w:val="36"/>
          <w:sz w:val="44"/>
          <w:szCs w:val="44"/>
        </w:rPr>
      </w:pPr>
      <w:r>
        <w:rPr>
          <w:rFonts w:hint="eastAsia" w:ascii="方正小标宋_GBK" w:hAnsi="Arial" w:eastAsia="方正小标宋_GBK" w:cs="Arial"/>
          <w:color w:val="191919"/>
          <w:kern w:val="36"/>
          <w:sz w:val="44"/>
          <w:szCs w:val="44"/>
        </w:rPr>
        <w:t>关于开展20</w:t>
      </w:r>
      <w:r>
        <w:rPr>
          <w:rFonts w:ascii="方正小标宋_GBK" w:hAnsi="Arial" w:eastAsia="方正小标宋_GBK" w:cs="Arial"/>
          <w:color w:val="191919"/>
          <w:kern w:val="36"/>
          <w:sz w:val="44"/>
          <w:szCs w:val="44"/>
        </w:rPr>
        <w:t>20</w:t>
      </w:r>
      <w:r>
        <w:rPr>
          <w:rFonts w:hint="eastAsia" w:ascii="方正小标宋_GBK" w:hAnsi="Arial" w:eastAsia="方正小标宋_GBK" w:cs="Arial"/>
          <w:color w:val="191919"/>
          <w:kern w:val="36"/>
          <w:sz w:val="44"/>
          <w:szCs w:val="44"/>
        </w:rPr>
        <w:t>年度“中国好粮油”产品遴选工作的</w:t>
      </w:r>
      <w:r>
        <w:rPr>
          <w:rFonts w:hint="eastAsia" w:ascii="方正小标宋_GBK" w:hAnsi="Arial" w:eastAsia="方正小标宋_GBK" w:cs="Arial"/>
          <w:color w:val="191919"/>
          <w:kern w:val="36"/>
          <w:sz w:val="44"/>
          <w:szCs w:val="44"/>
          <w:lang w:eastAsia="zh-CN"/>
        </w:rPr>
        <w:t>预</w:t>
      </w:r>
      <w:bookmarkStart w:id="4" w:name="_GoBack"/>
      <w:bookmarkEnd w:id="4"/>
      <w:r>
        <w:rPr>
          <w:rFonts w:hint="eastAsia" w:ascii="方正小标宋_GBK" w:hAnsi="Arial" w:eastAsia="方正小标宋_GBK" w:cs="Arial"/>
          <w:color w:val="191919"/>
          <w:kern w:val="36"/>
          <w:sz w:val="44"/>
          <w:szCs w:val="44"/>
        </w:rPr>
        <w:t>通知</w:t>
      </w:r>
    </w:p>
    <w:p>
      <w:pPr>
        <w:spacing w:line="620" w:lineRule="exact"/>
        <w:rPr>
          <w:rFonts w:ascii="仿宋_GB2312" w:hAnsi="Arial" w:eastAsia="仿宋_GB2312" w:cs="Arial"/>
          <w:b/>
          <w:bCs/>
          <w:color w:val="191919"/>
          <w:kern w:val="36"/>
          <w:sz w:val="36"/>
          <w:szCs w:val="36"/>
        </w:rPr>
      </w:pPr>
    </w:p>
    <w:p>
      <w:pPr>
        <w:spacing w:line="580" w:lineRule="exact"/>
        <w:rPr>
          <w:rFonts w:ascii="仿宋_GB2312" w:eastAsia="仿宋_GB2312"/>
          <w:sz w:val="32"/>
          <w:szCs w:val="32"/>
        </w:rPr>
      </w:pPr>
      <w:bookmarkStart w:id="0" w:name="_Hlk53395795"/>
      <w:r>
        <w:rPr>
          <w:rFonts w:hint="eastAsia" w:ascii="仿宋_GB2312" w:eastAsia="仿宋_GB2312"/>
          <w:sz w:val="32"/>
          <w:szCs w:val="32"/>
        </w:rPr>
        <w:t>各省、自治区、直辖市及新疆生产建设兵团</w:t>
      </w:r>
      <w:r>
        <w:rPr>
          <w:rFonts w:hint="eastAsia" w:ascii="仿宋_GB2312" w:eastAsia="仿宋_GB2312"/>
          <w:sz w:val="32"/>
          <w:szCs w:val="32"/>
          <w:lang w:eastAsia="zh-CN"/>
        </w:rPr>
        <w:t>负责</w:t>
      </w:r>
      <w:r>
        <w:rPr>
          <w:rFonts w:hint="eastAsia" w:ascii="仿宋_GB2312" w:eastAsia="仿宋_GB2312"/>
          <w:sz w:val="32"/>
          <w:szCs w:val="32"/>
        </w:rPr>
        <w:t>“好粮油”遴选</w:t>
      </w:r>
      <w:r>
        <w:rPr>
          <w:rFonts w:hint="eastAsia" w:ascii="仿宋_GB2312" w:eastAsia="仿宋_GB2312"/>
          <w:sz w:val="32"/>
          <w:szCs w:val="32"/>
          <w:lang w:eastAsia="zh-CN"/>
        </w:rPr>
        <w:t>工作</w:t>
      </w:r>
      <w:r>
        <w:rPr>
          <w:rFonts w:hint="eastAsia" w:ascii="仿宋_GB2312" w:eastAsia="仿宋_GB2312"/>
          <w:sz w:val="32"/>
          <w:szCs w:val="32"/>
        </w:rPr>
        <w:t>有关单位</w:t>
      </w:r>
      <w:r>
        <w:rPr>
          <w:rFonts w:hint="eastAsia" w:ascii="仿宋_GB2312" w:eastAsia="仿宋_GB2312"/>
          <w:sz w:val="32"/>
          <w:szCs w:val="32"/>
          <w:lang w:eastAsia="zh-CN"/>
        </w:rPr>
        <w:t>：</w:t>
      </w:r>
    </w:p>
    <w:bookmarkEnd w:id="0"/>
    <w:p>
      <w:pPr>
        <w:spacing w:line="580" w:lineRule="exact"/>
        <w:ind w:firstLine="640" w:firstLineChars="200"/>
        <w:rPr>
          <w:rFonts w:ascii="仿宋_GB2312" w:eastAsia="仿宋_GB2312"/>
          <w:sz w:val="32"/>
          <w:szCs w:val="32"/>
        </w:rPr>
      </w:pPr>
      <w:r>
        <w:rPr>
          <w:rFonts w:hint="eastAsia" w:ascii="仿宋_GB2312" w:eastAsia="仿宋_GB2312"/>
          <w:sz w:val="32"/>
          <w:szCs w:val="32"/>
        </w:rPr>
        <w:t>按照财政部、国家粮食和物资储备局《关于深入实施“优质粮食工程”的意见》</w:t>
      </w:r>
      <w:r>
        <w:rPr>
          <w:rFonts w:ascii="仿宋_GB2312" w:eastAsia="仿宋_GB2312"/>
          <w:sz w:val="32"/>
          <w:szCs w:val="32"/>
        </w:rPr>
        <w:t>（财建〔2019〕287号）和国家粮食和物</w:t>
      </w:r>
      <w:r>
        <w:rPr>
          <w:rFonts w:hint="eastAsia" w:ascii="仿宋_GB2312" w:eastAsia="仿宋_GB2312"/>
          <w:sz w:val="32"/>
          <w:szCs w:val="32"/>
        </w:rPr>
        <w:t>资储备局</w:t>
      </w:r>
      <w:r>
        <w:rPr>
          <w:rFonts w:ascii="仿宋_GB2312" w:eastAsia="仿宋_GB2312"/>
          <w:sz w:val="32"/>
          <w:szCs w:val="32"/>
        </w:rPr>
        <w:t>《</w:t>
      </w:r>
      <w:r>
        <w:rPr>
          <w:rFonts w:hint="eastAsia" w:ascii="仿宋_GB2312" w:eastAsia="仿宋_GB2312"/>
          <w:sz w:val="32"/>
          <w:szCs w:val="32"/>
        </w:rPr>
        <w:t>关于印发“优质粮食工程”各子项实施指南的通知》</w:t>
      </w:r>
      <w:r>
        <w:rPr>
          <w:rFonts w:ascii="仿宋_GB2312" w:eastAsia="仿宋_GB2312"/>
          <w:sz w:val="32"/>
          <w:szCs w:val="32"/>
        </w:rPr>
        <w:t>（国</w:t>
      </w:r>
      <w:r>
        <w:rPr>
          <w:rFonts w:hint="eastAsia" w:ascii="仿宋_GB2312" w:eastAsia="仿宋_GB2312"/>
          <w:sz w:val="32"/>
          <w:szCs w:val="32"/>
        </w:rPr>
        <w:t>粮规〔</w:t>
      </w:r>
      <w:r>
        <w:rPr>
          <w:rFonts w:ascii="仿宋_GB2312" w:eastAsia="仿宋_GB2312"/>
          <w:sz w:val="32"/>
          <w:szCs w:val="32"/>
        </w:rPr>
        <w:t>2019〕183号）</w:t>
      </w:r>
      <w:r>
        <w:rPr>
          <w:rFonts w:hint="eastAsia" w:ascii="仿宋_GB2312" w:eastAsia="仿宋_GB2312"/>
          <w:sz w:val="32"/>
          <w:szCs w:val="32"/>
        </w:rPr>
        <w:t>文件</w:t>
      </w:r>
      <w:r>
        <w:rPr>
          <w:rFonts w:ascii="仿宋_GB2312" w:eastAsia="仿宋_GB2312"/>
          <w:sz w:val="32"/>
          <w:szCs w:val="32"/>
        </w:rPr>
        <w:t>要求，</w:t>
      </w:r>
      <w:r>
        <w:rPr>
          <w:rFonts w:hint="eastAsia" w:ascii="仿宋_GB2312" w:eastAsia="仿宋_GB2312"/>
          <w:sz w:val="32"/>
          <w:szCs w:val="32"/>
        </w:rPr>
        <w:t>经研究，决定组织开展2020年度“中国好粮油”产品遴选工作。现将有关事项通知如下：</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一、遴选范围</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本年度遴选范围包括大米、小麦粉、挂面、食用植物油、杂粮杂豆、</w:t>
      </w:r>
      <w:r>
        <w:rPr>
          <w:rFonts w:hint="eastAsia" w:ascii="仿宋_GB2312" w:eastAsia="仿宋_GB2312"/>
          <w:sz w:val="32"/>
          <w:szCs w:val="32"/>
          <w:lang w:eastAsia="zh-CN"/>
        </w:rPr>
        <w:t>食用</w:t>
      </w:r>
      <w:r>
        <w:rPr>
          <w:rFonts w:hint="eastAsia" w:ascii="仿宋_GB2312" w:eastAsia="仿宋_GB2312"/>
          <w:sz w:val="32"/>
          <w:szCs w:val="32"/>
        </w:rPr>
        <w:t>玉米六类成品粮油。</w:t>
      </w:r>
    </w:p>
    <w:p>
      <w:pPr>
        <w:spacing w:line="580" w:lineRule="exact"/>
        <w:ind w:firstLine="640" w:firstLineChars="200"/>
        <w:rPr>
          <w:rFonts w:ascii="黑体" w:hAnsi="黑体" w:eastAsia="黑体"/>
          <w:sz w:val="32"/>
          <w:szCs w:val="32"/>
        </w:rPr>
      </w:pPr>
      <w:r>
        <w:rPr>
          <w:rFonts w:hint="eastAsia" w:ascii="黑体" w:hAnsi="黑体" w:eastAsia="黑体"/>
          <w:sz w:val="32"/>
          <w:szCs w:val="32"/>
          <w:lang w:eastAsia="zh-CN"/>
        </w:rPr>
        <w:t>二</w:t>
      </w:r>
      <w:r>
        <w:rPr>
          <w:rFonts w:hint="eastAsia" w:ascii="黑体" w:hAnsi="黑体" w:eastAsia="黑体"/>
          <w:sz w:val="32"/>
          <w:szCs w:val="32"/>
        </w:rPr>
        <w:t>、遴选程序</w:t>
      </w:r>
    </w:p>
    <w:p>
      <w:pPr>
        <w:spacing w:line="580" w:lineRule="exact"/>
        <w:ind w:firstLine="643" w:firstLineChars="200"/>
        <w:rPr>
          <w:rFonts w:ascii="仿宋_GB2312" w:eastAsia="仿宋_GB2312"/>
          <w:sz w:val="32"/>
          <w:szCs w:val="32"/>
        </w:rPr>
      </w:pPr>
      <w:r>
        <w:rPr>
          <w:rFonts w:hint="eastAsia" w:ascii="楷体_GB2312" w:eastAsia="楷体_GB2312"/>
          <w:b/>
          <w:sz w:val="32"/>
          <w:szCs w:val="32"/>
        </w:rPr>
        <w:t>（一）推荐方式。</w:t>
      </w:r>
      <w:r>
        <w:rPr>
          <w:rFonts w:hint="eastAsia" w:ascii="仿宋_GB2312" w:eastAsia="仿宋_GB2312"/>
          <w:sz w:val="32"/>
          <w:szCs w:val="32"/>
        </w:rPr>
        <w:t>在生产企业应自愿参选的基础上，各省级“好粮油”遴选实施主体择优推荐本省的参选产品。</w:t>
      </w:r>
    </w:p>
    <w:p>
      <w:pPr>
        <w:spacing w:line="580" w:lineRule="exact"/>
        <w:ind w:firstLine="643" w:firstLineChars="200"/>
        <w:rPr>
          <w:rFonts w:ascii="仿宋_GB2312" w:eastAsia="仿宋_GB2312"/>
          <w:sz w:val="32"/>
          <w:szCs w:val="32"/>
        </w:rPr>
      </w:pPr>
      <w:r>
        <w:rPr>
          <w:rFonts w:hint="eastAsia" w:ascii="楷体_GB2312" w:eastAsia="楷体_GB2312"/>
          <w:b/>
          <w:sz w:val="32"/>
          <w:szCs w:val="32"/>
        </w:rPr>
        <w:t>（二）形式审查。</w:t>
      </w:r>
      <w:r>
        <w:rPr>
          <w:rFonts w:hint="eastAsia" w:ascii="仿宋_GB2312" w:eastAsia="仿宋_GB2312"/>
          <w:sz w:val="32"/>
          <w:szCs w:val="32"/>
        </w:rPr>
        <w:t>中国粮油学会粮油质检研究分会（以下简称</w:t>
      </w:r>
      <w:r>
        <w:rPr>
          <w:rFonts w:hint="eastAsia" w:ascii="仿宋_GB2312" w:eastAsia="仿宋_GB2312"/>
          <w:sz w:val="32"/>
          <w:szCs w:val="32"/>
          <w:lang w:eastAsia="zh-CN"/>
        </w:rPr>
        <w:t>“</w:t>
      </w:r>
      <w:r>
        <w:rPr>
          <w:rFonts w:hint="eastAsia" w:ascii="仿宋_GB2312" w:eastAsia="仿宋_GB2312"/>
          <w:sz w:val="32"/>
          <w:szCs w:val="32"/>
        </w:rPr>
        <w:t>质检分会</w:t>
      </w:r>
      <w:r>
        <w:rPr>
          <w:rFonts w:hint="eastAsia" w:ascii="仿宋_GB2312" w:eastAsia="仿宋_GB2312"/>
          <w:sz w:val="32"/>
          <w:szCs w:val="32"/>
          <w:lang w:eastAsia="zh-CN"/>
        </w:rPr>
        <w:t>”</w:t>
      </w:r>
      <w:r>
        <w:rPr>
          <w:rFonts w:hint="eastAsia" w:ascii="仿宋_GB2312" w:eastAsia="仿宋_GB2312"/>
          <w:sz w:val="32"/>
          <w:szCs w:val="32"/>
        </w:rPr>
        <w:t>）负责组织专家进行资料完整性审查，中国粮油学会将审查结果向社会进行公示，公示期为</w:t>
      </w:r>
      <w:r>
        <w:rPr>
          <w:rFonts w:ascii="仿宋_GB2312" w:eastAsia="仿宋_GB2312"/>
          <w:sz w:val="32"/>
          <w:szCs w:val="32"/>
        </w:rPr>
        <w:t>5个工作日。</w:t>
      </w:r>
    </w:p>
    <w:p>
      <w:pPr>
        <w:spacing w:line="580" w:lineRule="exact"/>
        <w:ind w:firstLine="643" w:firstLineChars="200"/>
        <w:rPr>
          <w:rFonts w:ascii="仿宋_GB2312" w:eastAsia="仿宋_GB2312"/>
          <w:sz w:val="32"/>
          <w:szCs w:val="32"/>
        </w:rPr>
      </w:pPr>
      <w:r>
        <w:rPr>
          <w:rFonts w:hint="eastAsia" w:ascii="楷体_GB2312" w:eastAsia="楷体_GB2312"/>
          <w:b/>
          <w:sz w:val="32"/>
          <w:szCs w:val="32"/>
        </w:rPr>
        <w:t>（三）抽样复检。</w:t>
      </w:r>
      <w:bookmarkStart w:id="1" w:name="_Hlk52485058"/>
      <w:r>
        <w:rPr>
          <w:rFonts w:hint="eastAsia" w:ascii="仿宋_GB2312" w:eastAsia="仿宋_GB2312"/>
          <w:sz w:val="32"/>
          <w:szCs w:val="32"/>
        </w:rPr>
        <w:t>国家粮食和物资储备局科学研究院（以下简称</w:t>
      </w:r>
      <w:r>
        <w:rPr>
          <w:rFonts w:hint="eastAsia" w:ascii="仿宋_GB2312" w:eastAsia="仿宋_GB2312"/>
          <w:sz w:val="32"/>
          <w:szCs w:val="32"/>
          <w:lang w:eastAsia="zh-CN"/>
        </w:rPr>
        <w:t>“</w:t>
      </w:r>
      <w:r>
        <w:rPr>
          <w:rFonts w:hint="eastAsia" w:ascii="仿宋_GB2312" w:eastAsia="仿宋_GB2312"/>
          <w:sz w:val="32"/>
          <w:szCs w:val="32"/>
        </w:rPr>
        <w:t>科学研究院</w:t>
      </w:r>
      <w:r>
        <w:rPr>
          <w:rFonts w:hint="eastAsia" w:ascii="仿宋_GB2312" w:eastAsia="仿宋_GB2312"/>
          <w:sz w:val="32"/>
          <w:szCs w:val="32"/>
          <w:lang w:eastAsia="zh-CN"/>
        </w:rPr>
        <w:t>”</w:t>
      </w:r>
      <w:r>
        <w:rPr>
          <w:rFonts w:hint="eastAsia" w:ascii="仿宋_GB2312" w:eastAsia="仿宋_GB2312"/>
          <w:sz w:val="32"/>
          <w:szCs w:val="32"/>
        </w:rPr>
        <w:t>）负责随机抽选20</w:t>
      </w:r>
      <w:r>
        <w:rPr>
          <w:rFonts w:ascii="仿宋_GB2312" w:eastAsia="仿宋_GB2312"/>
          <w:sz w:val="32"/>
          <w:szCs w:val="32"/>
        </w:rPr>
        <w:t>%</w:t>
      </w:r>
      <w:r>
        <w:rPr>
          <w:rFonts w:hint="eastAsia" w:ascii="仿宋_GB2312" w:eastAsia="仿宋_GB2312"/>
          <w:sz w:val="32"/>
          <w:szCs w:val="32"/>
        </w:rPr>
        <w:t>的参选样品，盲样编号后委托具有中国检验检测机构资质认定</w:t>
      </w:r>
      <w:r>
        <w:rPr>
          <w:rFonts w:ascii="仿宋_GB2312" w:eastAsia="仿宋_GB2312"/>
          <w:sz w:val="32"/>
          <w:szCs w:val="32"/>
        </w:rPr>
        <w:t>(CMA)的质检机构</w:t>
      </w:r>
      <w:r>
        <w:rPr>
          <w:rFonts w:hint="eastAsia" w:ascii="仿宋_GB2312" w:eastAsia="仿宋_GB2312"/>
          <w:sz w:val="32"/>
          <w:szCs w:val="32"/>
        </w:rPr>
        <w:t>进行复检。</w:t>
      </w:r>
      <w:bookmarkEnd w:id="1"/>
    </w:p>
    <w:p>
      <w:pPr>
        <w:spacing w:line="580" w:lineRule="exact"/>
        <w:ind w:firstLine="643" w:firstLineChars="200"/>
        <w:rPr>
          <w:rFonts w:ascii="仿宋_GB2312" w:eastAsia="仿宋_GB2312"/>
          <w:sz w:val="32"/>
          <w:szCs w:val="32"/>
        </w:rPr>
      </w:pPr>
      <w:r>
        <w:rPr>
          <w:rFonts w:hint="eastAsia" w:ascii="楷体_GB2312" w:eastAsia="楷体_GB2312"/>
          <w:b/>
          <w:sz w:val="32"/>
          <w:szCs w:val="32"/>
        </w:rPr>
        <w:t>（四）专家评审。</w:t>
      </w:r>
      <w:bookmarkStart w:id="2" w:name="_Hlk52485406"/>
      <w:r>
        <w:rPr>
          <w:rFonts w:hint="eastAsia" w:ascii="仿宋_GB2312" w:eastAsia="仿宋_GB2312"/>
          <w:sz w:val="32"/>
          <w:szCs w:val="32"/>
        </w:rPr>
        <w:t>从“中国好粮油”专家库中随机抽取专家，组成评审专家组</w:t>
      </w:r>
      <w:bookmarkEnd w:id="2"/>
      <w:r>
        <w:rPr>
          <w:rFonts w:hint="eastAsia" w:ascii="仿宋_GB2312" w:eastAsia="仿宋_GB2312"/>
          <w:sz w:val="32"/>
          <w:szCs w:val="32"/>
        </w:rPr>
        <w:t>。质检分会负责组织专家进行评审。</w:t>
      </w:r>
    </w:p>
    <w:p>
      <w:pPr>
        <w:pStyle w:val="3"/>
        <w:tabs>
          <w:tab w:val="left" w:pos="3068"/>
        </w:tabs>
        <w:spacing w:line="580" w:lineRule="exact"/>
        <w:ind w:firstLine="643" w:firstLineChars="200"/>
        <w:rPr>
          <w:rFonts w:ascii="仿宋_GB2312" w:eastAsia="仿宋_GB2312"/>
        </w:rPr>
      </w:pPr>
      <w:r>
        <w:rPr>
          <w:rFonts w:hint="eastAsia" w:ascii="楷体_GB2312" w:eastAsia="楷体_GB2312"/>
          <w:b/>
          <w:bCs/>
        </w:rPr>
        <w:t>（五）结果公示。</w:t>
      </w:r>
      <w:r>
        <w:rPr>
          <w:rFonts w:hint="eastAsia" w:ascii="仿宋_GB2312" w:eastAsia="仿宋_GB2312"/>
        </w:rPr>
        <w:t>遴选结果由中国粮油学会向社会进行公示，公示期为</w:t>
      </w:r>
      <w:r>
        <w:rPr>
          <w:rFonts w:ascii="仿宋_GB2312" w:eastAsia="仿宋_GB2312"/>
        </w:rPr>
        <w:t>5个工作日。</w:t>
      </w:r>
      <w:r>
        <w:rPr>
          <w:rFonts w:hint="eastAsia" w:ascii="仿宋_GB2312" w:eastAsia="仿宋_GB2312"/>
        </w:rPr>
        <w:t>公示无异议后，公开发布本年度“中国好粮油”产品名单。名单发布网址：</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中国粮油学会（</w:t>
      </w:r>
      <w:r>
        <w:rPr>
          <w:rFonts w:ascii="仿宋_GB2312" w:hAnsi="宋体" w:eastAsia="仿宋_GB2312" w:cs="宋体"/>
          <w:sz w:val="32"/>
          <w:szCs w:val="32"/>
          <w:lang w:val="zh-CN" w:bidi="zh-CN"/>
        </w:rPr>
        <w:t>www.ccoaonline.com</w:t>
      </w:r>
      <w:r>
        <w:rPr>
          <w:rFonts w:hint="eastAsia" w:ascii="仿宋_GB2312" w:eastAsia="仿宋_GB2312"/>
          <w:sz w:val="32"/>
          <w:szCs w:val="32"/>
        </w:rPr>
        <w:t>）</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“中国好粮油”网站（</w:t>
      </w:r>
      <w:r>
        <w:rPr>
          <w:rFonts w:ascii="仿宋_GB2312" w:eastAsia="仿宋_GB2312"/>
          <w:sz w:val="32"/>
          <w:szCs w:val="32"/>
        </w:rPr>
        <w:t>http://1.203.103.43:8200/</w:t>
      </w:r>
      <w:r>
        <w:rPr>
          <w:rFonts w:hint="eastAsia" w:ascii="仿宋_GB2312" w:eastAsia="仿宋_GB2312"/>
          <w:sz w:val="32"/>
          <w:szCs w:val="32"/>
        </w:rPr>
        <w:t>）</w:t>
      </w:r>
    </w:p>
    <w:p>
      <w:pPr>
        <w:numPr>
          <w:ilvl w:val="0"/>
          <w:numId w:val="1"/>
        </w:numPr>
        <w:spacing w:line="580" w:lineRule="exact"/>
        <w:ind w:firstLine="640" w:firstLineChars="200"/>
        <w:rPr>
          <w:rFonts w:hint="eastAsia" w:ascii="黑体" w:hAnsi="黑体" w:eastAsia="黑体"/>
          <w:sz w:val="32"/>
          <w:szCs w:val="32"/>
          <w:lang w:val="en-US" w:eastAsia="zh-CN"/>
        </w:rPr>
      </w:pPr>
      <w:r>
        <w:rPr>
          <w:rFonts w:hint="eastAsia" w:ascii="黑体" w:hAnsi="黑体" w:eastAsia="黑体"/>
          <w:sz w:val="32"/>
          <w:szCs w:val="32"/>
          <w:lang w:val="en-US" w:eastAsia="zh-CN"/>
        </w:rPr>
        <w:t>遴选条件</w:t>
      </w:r>
    </w:p>
    <w:p>
      <w:pPr>
        <w:numPr>
          <w:ilvl w:val="0"/>
          <w:numId w:val="0"/>
        </w:numPr>
        <w:spacing w:line="580" w:lineRule="exact"/>
        <w:rPr>
          <w:rFonts w:hint="default" w:ascii="黑体" w:hAnsi="黑体" w:eastAsia="黑体"/>
          <w:sz w:val="32"/>
          <w:szCs w:val="32"/>
          <w:lang w:val="en-US" w:eastAsia="zh-CN"/>
        </w:rPr>
      </w:pPr>
      <w:r>
        <w:rPr>
          <w:rFonts w:hint="eastAsia" w:ascii="黑体" w:hAnsi="黑体" w:eastAsia="黑体"/>
          <w:sz w:val="32"/>
          <w:szCs w:val="32"/>
          <w:lang w:val="en-US" w:eastAsia="zh-CN"/>
        </w:rPr>
        <w:t xml:space="preserve"> </w:t>
      </w:r>
      <w:r>
        <w:rPr>
          <w:rFonts w:hint="eastAsia" w:ascii="仿宋_GB2312" w:eastAsia="仿宋_GB2312"/>
          <w:sz w:val="32"/>
          <w:szCs w:val="32"/>
          <w:lang w:val="en-US" w:eastAsia="zh-CN"/>
        </w:rPr>
        <w:t xml:space="preserve">   推荐参选“中国好粮油”产品遴选的产品及其生产企业需要同时满足以下条件：</w:t>
      </w:r>
    </w:p>
    <w:p>
      <w:pPr>
        <w:spacing w:line="580" w:lineRule="exact"/>
        <w:ind w:firstLine="643" w:firstLineChars="200"/>
        <w:rPr>
          <w:rFonts w:hint="eastAsia" w:ascii="楷体_GB2312" w:eastAsia="楷体_GB2312"/>
          <w:b/>
          <w:sz w:val="32"/>
          <w:szCs w:val="32"/>
          <w:lang w:eastAsia="zh-CN"/>
        </w:rPr>
      </w:pPr>
      <w:r>
        <w:rPr>
          <w:rFonts w:hint="eastAsia" w:ascii="楷体_GB2312" w:eastAsia="楷体_GB2312"/>
          <w:b/>
          <w:sz w:val="32"/>
          <w:szCs w:val="32"/>
          <w:lang w:eastAsia="zh-CN"/>
        </w:rPr>
        <w:t>（一）产品需满足的条件</w:t>
      </w:r>
    </w:p>
    <w:p>
      <w:pPr>
        <w:spacing w:line="58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由中国境内种植的粮食、油料为原料加工生产，且产品质量符合或优于“中国好粮油”系列标准（见附件1）。</w:t>
      </w:r>
    </w:p>
    <w:p>
      <w:pPr>
        <w:spacing w:line="580" w:lineRule="exact"/>
        <w:ind w:firstLine="643" w:firstLineChars="200"/>
        <w:rPr>
          <w:rFonts w:hint="eastAsia" w:ascii="楷体_GB2312" w:eastAsia="楷体_GB2312"/>
          <w:b/>
          <w:sz w:val="32"/>
          <w:szCs w:val="32"/>
          <w:lang w:eastAsia="zh-CN"/>
        </w:rPr>
      </w:pPr>
      <w:r>
        <w:rPr>
          <w:rFonts w:hint="eastAsia" w:ascii="楷体_GB2312" w:eastAsia="楷体_GB2312"/>
          <w:b/>
          <w:sz w:val="32"/>
          <w:szCs w:val="32"/>
          <w:lang w:eastAsia="zh-CN"/>
        </w:rPr>
        <w:t>（二）被推荐产品的生产企业需满足的条件</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w:t>
      </w:r>
      <w:r>
        <w:rPr>
          <w:rFonts w:hint="eastAsia" w:ascii="仿宋_GB2312" w:eastAsia="仿宋_GB2312"/>
          <w:sz w:val="32"/>
          <w:szCs w:val="32"/>
        </w:rPr>
        <w:t>在中华人民共和国市场监督管理部门登记、注册，具备独立法人资格；</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依法取得营业执照和食品生产许可证，正常运行2年及以上；</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在中华人民共和国境内注册商标２年及以上，注册商标有效，注册范围涵盖申报产品；</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4.</w:t>
      </w:r>
      <w:r>
        <w:rPr>
          <w:rFonts w:hint="eastAsia" w:ascii="仿宋_GB2312" w:eastAsia="仿宋_GB2312"/>
          <w:sz w:val="32"/>
          <w:szCs w:val="32"/>
        </w:rPr>
        <w:t>申报产品系本企业加工生产的自有品牌产品，符合相关“中国好粮油”产品系列标准，已实现量产，具有较高的品牌知名度、市场占有率及消费者认同度；</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5.</w:t>
      </w:r>
      <w:r>
        <w:rPr>
          <w:rFonts w:hint="eastAsia" w:ascii="仿宋_GB2312" w:eastAsia="仿宋_GB2312"/>
          <w:sz w:val="32"/>
          <w:szCs w:val="32"/>
        </w:rPr>
        <w:t>建立并实施由国家认监委授权批准的第三方认证机构认证的质量管理体系；</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6.</w:t>
      </w:r>
      <w:r>
        <w:rPr>
          <w:rFonts w:hint="eastAsia" w:ascii="仿宋_GB2312" w:eastAsia="仿宋_GB2312"/>
          <w:sz w:val="32"/>
          <w:szCs w:val="32"/>
        </w:rPr>
        <w:t>连续2年盈利，运营稳定；</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7.</w:t>
      </w:r>
      <w:r>
        <w:rPr>
          <w:rFonts w:hint="eastAsia" w:ascii="仿宋_GB2312" w:eastAsia="仿宋_GB2312"/>
          <w:sz w:val="32"/>
          <w:szCs w:val="32"/>
        </w:rPr>
        <w:t>近2年</w:t>
      </w:r>
      <w:bookmarkStart w:id="3" w:name="_Hlk53178460"/>
      <w:r>
        <w:rPr>
          <w:rFonts w:hint="eastAsia" w:ascii="仿宋_GB2312" w:eastAsia="仿宋_GB2312"/>
          <w:sz w:val="32"/>
          <w:szCs w:val="32"/>
        </w:rPr>
        <w:t>无产品质量问题、安全生产责任事故、环境污染事件、不良信用记录和消费投诉等被相关行政部门惩处的违法违规行为。</w:t>
      </w:r>
      <w:bookmarkEnd w:id="3"/>
    </w:p>
    <w:p>
      <w:pPr>
        <w:spacing w:line="580" w:lineRule="exact"/>
        <w:ind w:firstLine="640" w:firstLineChars="200"/>
        <w:rPr>
          <w:rFonts w:ascii="黑体" w:hAnsi="黑体" w:eastAsia="黑体"/>
          <w:sz w:val="32"/>
          <w:szCs w:val="32"/>
        </w:rPr>
      </w:pPr>
      <w:r>
        <w:rPr>
          <w:rFonts w:hint="eastAsia" w:ascii="黑体" w:hAnsi="黑体" w:eastAsia="黑体"/>
          <w:sz w:val="32"/>
          <w:szCs w:val="32"/>
          <w:lang w:eastAsia="zh-CN"/>
        </w:rPr>
        <w:t>四</w:t>
      </w:r>
      <w:r>
        <w:rPr>
          <w:rFonts w:hint="eastAsia" w:ascii="黑体" w:hAnsi="黑体" w:eastAsia="黑体"/>
          <w:sz w:val="32"/>
          <w:szCs w:val="32"/>
        </w:rPr>
        <w:t>、申报材料及要求</w:t>
      </w:r>
    </w:p>
    <w:p>
      <w:pPr>
        <w:spacing w:line="580" w:lineRule="exact"/>
        <w:ind w:firstLine="640" w:firstLineChars="200"/>
        <w:rPr>
          <w:rFonts w:ascii="黑体" w:hAnsi="黑体" w:eastAsia="黑体"/>
          <w:sz w:val="32"/>
          <w:szCs w:val="32"/>
        </w:rPr>
      </w:pPr>
      <w:r>
        <w:rPr>
          <w:rFonts w:hint="eastAsia" w:ascii="仿宋_GB2312" w:eastAsia="仿宋_GB2312"/>
          <w:sz w:val="32"/>
          <w:szCs w:val="32"/>
        </w:rPr>
        <w:t>参选产品的生产企业</w:t>
      </w:r>
      <w:r>
        <w:rPr>
          <w:rFonts w:hint="eastAsia" w:ascii="仿宋_GB2312" w:eastAsia="仿宋_GB2312"/>
          <w:color w:val="auto"/>
          <w:sz w:val="32"/>
          <w:szCs w:val="32"/>
        </w:rPr>
        <w:t>须</w:t>
      </w:r>
      <w:r>
        <w:rPr>
          <w:rFonts w:hint="eastAsia" w:ascii="仿宋_GB2312" w:eastAsia="仿宋_GB2312"/>
          <w:sz w:val="32"/>
          <w:szCs w:val="32"/>
        </w:rPr>
        <w:t>登录中国好粮油网（</w:t>
      </w:r>
      <w:r>
        <w:rPr>
          <w:rFonts w:ascii="仿宋_GB2312" w:eastAsia="仿宋_GB2312"/>
          <w:color w:val="auto"/>
          <w:sz w:val="32"/>
          <w:szCs w:val="32"/>
          <w:u w:val="none"/>
        </w:rPr>
        <w:t>http://220.194.54.82:8866/</w:t>
      </w:r>
      <w:r>
        <w:rPr>
          <w:rFonts w:ascii="仿宋_GB2312" w:eastAsia="仿宋_GB2312"/>
          <w:sz w:val="32"/>
          <w:szCs w:val="32"/>
        </w:rPr>
        <w:t>cnly/）</w:t>
      </w:r>
      <w:r>
        <w:rPr>
          <w:rFonts w:hint="eastAsia" w:ascii="仿宋_GB2312" w:eastAsia="仿宋_GB2312"/>
          <w:sz w:val="32"/>
          <w:szCs w:val="32"/>
        </w:rPr>
        <w:t>“</w:t>
      </w:r>
      <w:r>
        <w:rPr>
          <w:rFonts w:ascii="仿宋_GB2312" w:eastAsia="仿宋_GB2312"/>
          <w:sz w:val="32"/>
          <w:szCs w:val="32"/>
        </w:rPr>
        <w:t>中国好粮油</w:t>
      </w:r>
      <w:r>
        <w:rPr>
          <w:rFonts w:hint="eastAsia" w:ascii="仿宋_GB2312" w:eastAsia="仿宋_GB2312"/>
          <w:sz w:val="32"/>
          <w:szCs w:val="32"/>
        </w:rPr>
        <w:t>”</w:t>
      </w:r>
      <w:r>
        <w:rPr>
          <w:rFonts w:ascii="仿宋_GB2312" w:eastAsia="仿宋_GB2312"/>
          <w:sz w:val="32"/>
          <w:szCs w:val="32"/>
        </w:rPr>
        <w:t>产品申报系统</w:t>
      </w:r>
      <w:r>
        <w:rPr>
          <w:rFonts w:hint="eastAsia" w:ascii="仿宋_GB2312" w:eastAsia="仿宋_GB2312"/>
          <w:sz w:val="32"/>
          <w:szCs w:val="32"/>
          <w:lang w:eastAsia="zh-CN"/>
        </w:rPr>
        <w:t>（该系统自</w:t>
      </w:r>
      <w:r>
        <w:rPr>
          <w:rFonts w:hint="eastAsia" w:ascii="仿宋_GB2312" w:eastAsia="仿宋_GB2312"/>
          <w:sz w:val="32"/>
          <w:szCs w:val="32"/>
          <w:lang w:val="en-US" w:eastAsia="zh-CN"/>
        </w:rPr>
        <w:t>11月5日起正式开放</w:t>
      </w:r>
      <w:r>
        <w:rPr>
          <w:rFonts w:hint="eastAsia" w:ascii="仿宋_GB2312" w:eastAsia="仿宋_GB2312"/>
          <w:sz w:val="32"/>
          <w:szCs w:val="32"/>
          <w:lang w:eastAsia="zh-CN"/>
        </w:rPr>
        <w:t>）</w:t>
      </w:r>
      <w:r>
        <w:rPr>
          <w:rFonts w:hint="eastAsia" w:ascii="仿宋_GB2312" w:eastAsia="仿宋_GB2312"/>
          <w:sz w:val="32"/>
          <w:szCs w:val="32"/>
        </w:rPr>
        <w:t>中填报材料，并</w:t>
      </w:r>
      <w:r>
        <w:rPr>
          <w:rFonts w:hint="eastAsia" w:ascii="仿宋_GB2312" w:eastAsia="仿宋_GB2312"/>
          <w:sz w:val="32"/>
          <w:szCs w:val="32"/>
          <w:highlight w:val="none"/>
        </w:rPr>
        <w:t>于</w:t>
      </w:r>
      <w:r>
        <w:rPr>
          <w:rFonts w:ascii="仿宋_GB2312" w:eastAsia="仿宋_GB2312"/>
          <w:sz w:val="32"/>
          <w:szCs w:val="32"/>
          <w:highlight w:val="none"/>
        </w:rPr>
        <w:t>1</w:t>
      </w:r>
      <w:r>
        <w:rPr>
          <w:rFonts w:hint="eastAsia" w:ascii="仿宋_GB2312" w:eastAsia="仿宋_GB2312"/>
          <w:sz w:val="32"/>
          <w:szCs w:val="32"/>
          <w:highlight w:val="none"/>
        </w:rPr>
        <w:t>1</w:t>
      </w:r>
      <w:r>
        <w:rPr>
          <w:rFonts w:ascii="仿宋_GB2312" w:eastAsia="仿宋_GB2312"/>
          <w:sz w:val="32"/>
          <w:szCs w:val="32"/>
          <w:highlight w:val="none"/>
        </w:rPr>
        <w:t>月</w:t>
      </w:r>
      <w:r>
        <w:rPr>
          <w:rFonts w:hint="eastAsia" w:ascii="仿宋_GB2312" w:eastAsia="仿宋_GB2312"/>
          <w:sz w:val="32"/>
          <w:szCs w:val="32"/>
          <w:highlight w:val="none"/>
        </w:rPr>
        <w:t>1</w:t>
      </w:r>
      <w:r>
        <w:rPr>
          <w:rFonts w:hint="eastAsia" w:ascii="仿宋_GB2312" w:eastAsia="仿宋_GB2312"/>
          <w:sz w:val="32"/>
          <w:szCs w:val="32"/>
          <w:highlight w:val="none"/>
          <w:lang w:val="en-US" w:eastAsia="zh-CN"/>
        </w:rPr>
        <w:t>5</w:t>
      </w:r>
      <w:r>
        <w:rPr>
          <w:rFonts w:ascii="仿宋_GB2312" w:eastAsia="仿宋_GB2312"/>
          <w:sz w:val="32"/>
          <w:szCs w:val="32"/>
          <w:highlight w:val="none"/>
        </w:rPr>
        <w:t>日前</w:t>
      </w:r>
      <w:r>
        <w:rPr>
          <w:rFonts w:hint="eastAsia" w:ascii="仿宋_GB2312" w:eastAsia="仿宋_GB2312"/>
          <w:sz w:val="32"/>
          <w:szCs w:val="32"/>
        </w:rPr>
        <w:t>在系统内完成</w:t>
      </w:r>
      <w:r>
        <w:rPr>
          <w:rFonts w:ascii="仿宋_GB2312" w:eastAsia="仿宋_GB2312"/>
          <w:sz w:val="32"/>
          <w:szCs w:val="32"/>
        </w:rPr>
        <w:t>提交</w:t>
      </w:r>
      <w:r>
        <w:rPr>
          <w:rFonts w:hint="eastAsia" w:ascii="仿宋_GB2312" w:eastAsia="仿宋_GB2312"/>
          <w:sz w:val="32"/>
          <w:szCs w:val="32"/>
        </w:rPr>
        <w:t>；请于</w:t>
      </w:r>
      <w:r>
        <w:rPr>
          <w:rFonts w:hint="eastAsia" w:ascii="仿宋_GB2312" w:eastAsia="仿宋_GB2312"/>
          <w:sz w:val="32"/>
          <w:szCs w:val="32"/>
          <w:highlight w:val="none"/>
        </w:rPr>
        <w:t>11月</w:t>
      </w:r>
      <w:r>
        <w:rPr>
          <w:rFonts w:hint="eastAsia" w:ascii="仿宋_GB2312" w:eastAsia="仿宋_GB2312"/>
          <w:sz w:val="32"/>
          <w:szCs w:val="32"/>
          <w:highlight w:val="none"/>
          <w:lang w:val="en-US" w:eastAsia="zh-CN"/>
        </w:rPr>
        <w:t>18</w:t>
      </w:r>
      <w:r>
        <w:rPr>
          <w:rFonts w:hint="eastAsia" w:ascii="仿宋_GB2312" w:eastAsia="仿宋_GB2312"/>
          <w:sz w:val="32"/>
          <w:szCs w:val="32"/>
          <w:highlight w:val="none"/>
        </w:rPr>
        <w:t>日</w:t>
      </w:r>
      <w:r>
        <w:rPr>
          <w:rFonts w:hint="eastAsia" w:ascii="仿宋_GB2312" w:eastAsia="仿宋_GB2312"/>
          <w:sz w:val="32"/>
          <w:szCs w:val="32"/>
        </w:rPr>
        <w:t>前将《“中国好粮油”遴选推荐产品汇总表》（见附件</w:t>
      </w:r>
      <w:r>
        <w:rPr>
          <w:rFonts w:hint="eastAsia" w:ascii="仿宋_GB2312" w:eastAsia="仿宋_GB2312"/>
          <w:sz w:val="32"/>
          <w:szCs w:val="32"/>
          <w:lang w:val="en-US" w:eastAsia="zh-CN"/>
        </w:rPr>
        <w:t>1</w:t>
      </w:r>
      <w:r>
        <w:rPr>
          <w:rFonts w:hint="eastAsia" w:ascii="仿宋_GB2312" w:eastAsia="仿宋_GB2312"/>
          <w:sz w:val="32"/>
          <w:szCs w:val="32"/>
        </w:rPr>
        <w:t>）原件1份</w:t>
      </w:r>
      <w:r>
        <w:rPr>
          <w:rFonts w:hint="eastAsia" w:ascii="仿宋_GB2312" w:eastAsia="仿宋_GB2312"/>
          <w:sz w:val="32"/>
          <w:szCs w:val="32"/>
          <w:lang w:eastAsia="zh-CN"/>
        </w:rPr>
        <w:t>以及</w:t>
      </w:r>
      <w:r>
        <w:rPr>
          <w:rFonts w:hint="eastAsia" w:ascii="仿宋_GB2312" w:eastAsia="仿宋_GB2312"/>
          <w:sz w:val="32"/>
          <w:szCs w:val="32"/>
        </w:rPr>
        <w:t>导出的《“中国好粮油”产品申报书》（见附件</w:t>
      </w:r>
      <w:r>
        <w:rPr>
          <w:rFonts w:hint="eastAsia" w:ascii="仿宋_GB2312" w:eastAsia="仿宋_GB2312"/>
          <w:sz w:val="32"/>
          <w:szCs w:val="32"/>
          <w:lang w:val="en-US" w:eastAsia="zh-CN"/>
        </w:rPr>
        <w:t>2</w:t>
      </w:r>
      <w:r>
        <w:rPr>
          <w:rFonts w:hint="eastAsia" w:ascii="仿宋_GB2312" w:eastAsia="仿宋_GB2312"/>
          <w:sz w:val="32"/>
          <w:szCs w:val="32"/>
        </w:rPr>
        <w:t>）及相关附件材料纸质版（一式两份</w:t>
      </w:r>
      <w:r>
        <w:rPr>
          <w:rFonts w:hint="eastAsia" w:ascii="仿宋_GB2312" w:eastAsia="仿宋_GB2312"/>
          <w:sz w:val="32"/>
          <w:szCs w:val="32"/>
          <w:lang w:eastAsia="zh-CN"/>
        </w:rPr>
        <w:t>，含原件一份</w:t>
      </w:r>
      <w:r>
        <w:rPr>
          <w:rFonts w:hint="eastAsia" w:ascii="仿宋_GB2312" w:eastAsia="仿宋_GB2312"/>
          <w:sz w:val="32"/>
          <w:szCs w:val="32"/>
        </w:rPr>
        <w:t>）邮寄至质检分会，并同时发送</w:t>
      </w:r>
      <w:r>
        <w:rPr>
          <w:rFonts w:hint="eastAsia" w:ascii="仿宋_GB2312" w:eastAsia="仿宋_GB2312"/>
          <w:sz w:val="32"/>
          <w:szCs w:val="32"/>
          <w:lang w:val="en-US" w:eastAsia="zh-CN"/>
        </w:rPr>
        <w:t>PDF</w:t>
      </w:r>
      <w:r>
        <w:rPr>
          <w:rFonts w:hint="eastAsia" w:ascii="仿宋_GB2312" w:eastAsia="仿宋_GB2312"/>
          <w:sz w:val="32"/>
          <w:szCs w:val="32"/>
        </w:rPr>
        <w:t>电子版材料</w:t>
      </w:r>
      <w:r>
        <w:rPr>
          <w:rFonts w:hint="eastAsia" w:ascii="仿宋_GB2312" w:eastAsia="仿宋_GB2312"/>
          <w:sz w:val="32"/>
          <w:szCs w:val="32"/>
          <w:lang w:eastAsia="zh-CN"/>
        </w:rPr>
        <w:t>至联系邮箱</w:t>
      </w:r>
      <w:r>
        <w:rPr>
          <w:rFonts w:hint="eastAsia" w:ascii="仿宋_GB2312" w:eastAsia="仿宋_GB2312"/>
          <w:sz w:val="32"/>
          <w:szCs w:val="32"/>
        </w:rPr>
        <w:t>。申报企业和省级“好粮油”遴选实施主体对材料的真实性负责，并确保所有证明材料签章清晰完整。</w:t>
      </w:r>
    </w:p>
    <w:p>
      <w:pPr>
        <w:ind w:firstLine="640" w:firstLineChars="200"/>
        <w:rPr>
          <w:rFonts w:ascii="黑体" w:hAnsi="黑体" w:eastAsia="黑体"/>
          <w:bCs/>
          <w:sz w:val="32"/>
          <w:szCs w:val="32"/>
        </w:rPr>
      </w:pPr>
      <w:r>
        <w:rPr>
          <w:rFonts w:hint="eastAsia" w:ascii="黑体" w:hAnsi="黑体" w:eastAsia="黑体"/>
          <w:bCs/>
          <w:sz w:val="32"/>
          <w:szCs w:val="32"/>
          <w:lang w:eastAsia="zh-CN"/>
        </w:rPr>
        <w:t>五</w:t>
      </w:r>
      <w:r>
        <w:rPr>
          <w:rFonts w:hint="eastAsia" w:ascii="黑体" w:hAnsi="黑体" w:eastAsia="黑体"/>
          <w:bCs/>
          <w:sz w:val="32"/>
          <w:szCs w:val="32"/>
        </w:rPr>
        <w:t xml:space="preserve">、联系方式 </w:t>
      </w:r>
    </w:p>
    <w:p>
      <w:pPr>
        <w:ind w:left="2238" w:leftChars="304" w:hanging="1600" w:hangingChars="500"/>
        <w:jc w:val="left"/>
        <w:rPr>
          <w:rFonts w:hint="eastAsia" w:ascii="仿宋_GB2312" w:eastAsia="仿宋_GB2312"/>
          <w:sz w:val="32"/>
          <w:szCs w:val="32"/>
          <w:lang w:val="en-US" w:eastAsia="zh-CN"/>
        </w:rPr>
      </w:pPr>
      <w:r>
        <w:rPr>
          <w:rFonts w:hint="eastAsia" w:ascii="仿宋_GB2312" w:eastAsia="仿宋_GB2312"/>
          <w:sz w:val="32"/>
          <w:szCs w:val="32"/>
        </w:rPr>
        <w:t>联 系 人：刘洁  周明慧</w:t>
      </w:r>
      <w:r>
        <w:rPr>
          <w:rFonts w:hint="eastAsia" w:ascii="仿宋_GB2312" w:eastAsia="仿宋_GB2312"/>
          <w:sz w:val="32"/>
          <w:szCs w:val="32"/>
          <w:lang w:val="en-US" w:eastAsia="zh-CN"/>
        </w:rPr>
        <w:t xml:space="preserve"> 陈志宁 杨晓静</w:t>
      </w:r>
    </w:p>
    <w:p>
      <w:pPr>
        <w:ind w:left="2238" w:leftChars="304" w:hanging="1600" w:hangingChars="500"/>
        <w:jc w:val="left"/>
        <w:rPr>
          <w:rFonts w:ascii="仿宋_GB2312" w:eastAsia="仿宋_GB2312"/>
          <w:sz w:val="32"/>
          <w:szCs w:val="32"/>
        </w:rPr>
      </w:pPr>
      <w:r>
        <w:rPr>
          <w:rFonts w:hint="eastAsia" w:ascii="仿宋_GB2312" w:eastAsia="仿宋_GB2312"/>
          <w:sz w:val="32"/>
          <w:szCs w:val="32"/>
        </w:rPr>
        <w:t>联系电话：</w:t>
      </w:r>
      <w:r>
        <w:rPr>
          <w:rFonts w:ascii="仿宋_GB2312" w:eastAsia="仿宋_GB2312"/>
          <w:sz w:val="32"/>
          <w:szCs w:val="32"/>
        </w:rPr>
        <w:t>010</w:t>
      </w:r>
      <w:r>
        <w:rPr>
          <w:rFonts w:hint="eastAsia" w:ascii="仿宋_GB2312" w:eastAsia="仿宋_GB2312"/>
          <w:sz w:val="32"/>
          <w:szCs w:val="32"/>
        </w:rPr>
        <w:t>-</w:t>
      </w:r>
      <w:r>
        <w:rPr>
          <w:rFonts w:ascii="仿宋_GB2312" w:eastAsia="仿宋_GB2312"/>
          <w:sz w:val="32"/>
          <w:szCs w:val="32"/>
        </w:rPr>
        <w:t>58523740/3744</w:t>
      </w:r>
    </w:p>
    <w:p>
      <w:pPr>
        <w:ind w:firstLine="640" w:firstLineChars="200"/>
        <w:rPr>
          <w:rFonts w:ascii="仿宋_GB2312" w:eastAsia="仿宋_GB2312"/>
          <w:sz w:val="32"/>
          <w:szCs w:val="32"/>
        </w:rPr>
      </w:pPr>
      <w:r>
        <w:rPr>
          <w:rFonts w:hint="eastAsia" w:ascii="仿宋_GB2312" w:eastAsia="仿宋_GB2312"/>
          <w:sz w:val="32"/>
          <w:szCs w:val="32"/>
        </w:rPr>
        <w:t xml:space="preserve">邮 </w:t>
      </w:r>
      <w:r>
        <w:rPr>
          <w:rFonts w:ascii="仿宋_GB2312" w:eastAsia="仿宋_GB2312"/>
          <w:sz w:val="32"/>
          <w:szCs w:val="32"/>
        </w:rPr>
        <w:t xml:space="preserve">  </w:t>
      </w:r>
      <w:r>
        <w:rPr>
          <w:rFonts w:hint="eastAsia" w:ascii="仿宋_GB2312" w:eastAsia="仿宋_GB2312"/>
          <w:sz w:val="32"/>
          <w:szCs w:val="32"/>
        </w:rPr>
        <w:t> 箱：</w:t>
      </w:r>
      <w:r>
        <w:rPr>
          <w:rFonts w:ascii="仿宋_GB2312" w:eastAsia="仿宋_GB2312"/>
          <w:color w:val="auto"/>
          <w:sz w:val="32"/>
          <w:szCs w:val="32"/>
          <w:u w:val="none"/>
        </w:rPr>
        <w:t>zghly</w:t>
      </w:r>
      <w:r>
        <w:rPr>
          <w:rFonts w:hint="eastAsia" w:ascii="仿宋_GB2312" w:eastAsia="仿宋_GB2312"/>
          <w:color w:val="auto"/>
          <w:sz w:val="32"/>
          <w:szCs w:val="32"/>
          <w:u w:val="none"/>
        </w:rPr>
        <w:t>@ags</w:t>
      </w:r>
      <w:r>
        <w:rPr>
          <w:rFonts w:ascii="仿宋_GB2312" w:eastAsia="仿宋_GB2312"/>
          <w:color w:val="auto"/>
          <w:sz w:val="32"/>
          <w:szCs w:val="32"/>
          <w:u w:val="none"/>
        </w:rPr>
        <w:t>.ac.cn</w:t>
      </w:r>
      <w:r>
        <w:rPr>
          <w:rFonts w:hint="eastAsia" w:ascii="仿宋_GB2312" w:eastAsia="仿宋_GB2312"/>
          <w:sz w:val="32"/>
          <w:szCs w:val="32"/>
        </w:rPr>
        <w:t> </w:t>
      </w:r>
    </w:p>
    <w:p>
      <w:pPr>
        <w:ind w:firstLine="640" w:firstLineChars="200"/>
        <w:rPr>
          <w:rFonts w:ascii="仿宋_GB2312" w:eastAsia="仿宋_GB2312"/>
          <w:sz w:val="32"/>
          <w:szCs w:val="32"/>
        </w:rPr>
      </w:pPr>
      <w:r>
        <w:rPr>
          <w:rFonts w:hint="eastAsia" w:ascii="仿宋_GB2312" w:eastAsia="仿宋_GB2312"/>
          <w:sz w:val="32"/>
          <w:szCs w:val="32"/>
        </w:rPr>
        <w:t xml:space="preserve">地  </w:t>
      </w:r>
      <w:r>
        <w:rPr>
          <w:rFonts w:ascii="仿宋_GB2312" w:eastAsia="仿宋_GB2312"/>
          <w:sz w:val="32"/>
          <w:szCs w:val="32"/>
        </w:rPr>
        <w:t xml:space="preserve">  </w:t>
      </w:r>
      <w:r>
        <w:rPr>
          <w:rFonts w:hint="eastAsia" w:ascii="仿宋_GB2312" w:eastAsia="仿宋_GB2312"/>
          <w:sz w:val="32"/>
          <w:szCs w:val="32"/>
        </w:rPr>
        <w:t>址：北京市西城区百万庄大街1</w:t>
      </w:r>
      <w:r>
        <w:rPr>
          <w:rFonts w:ascii="仿宋_GB2312" w:eastAsia="仿宋_GB2312"/>
          <w:sz w:val="32"/>
          <w:szCs w:val="32"/>
        </w:rPr>
        <w:t>1</w:t>
      </w:r>
      <w:r>
        <w:rPr>
          <w:rFonts w:hint="eastAsia" w:ascii="仿宋_GB2312" w:eastAsia="仿宋_GB2312"/>
          <w:sz w:val="32"/>
          <w:szCs w:val="32"/>
        </w:rPr>
        <w:t>号粮科大厦</w:t>
      </w:r>
    </w:p>
    <w:p>
      <w:pPr>
        <w:rPr>
          <w:rFonts w:ascii="楷体_GB2312" w:eastAsia="楷体_GB2312"/>
          <w:b/>
          <w:bCs/>
          <w:sz w:val="32"/>
          <w:szCs w:val="32"/>
        </w:rPr>
      </w:pPr>
    </w:p>
    <w:p>
      <w:pPr>
        <w:ind w:firstLine="640" w:firstLineChars="200"/>
        <w:rPr>
          <w:rFonts w:hint="eastAsia" w:ascii="仿宋_GB2312" w:eastAsia="仿宋_GB2312"/>
          <w:sz w:val="32"/>
          <w:szCs w:val="32"/>
          <w:lang w:eastAsia="zh-CN"/>
        </w:rPr>
      </w:pPr>
      <w:r>
        <w:rPr>
          <w:rFonts w:hint="eastAsia" w:ascii="仿宋_GB2312" w:eastAsia="仿宋_GB2312"/>
          <w:sz w:val="32"/>
          <w:szCs w:val="32"/>
        </w:rPr>
        <w:t>附件：</w:t>
      </w:r>
      <w:r>
        <w:rPr>
          <w:rFonts w:hint="eastAsia" w:ascii="仿宋_GB2312" w:eastAsia="仿宋_GB2312"/>
          <w:sz w:val="32"/>
          <w:szCs w:val="32"/>
          <w:lang w:val="en-US" w:eastAsia="zh-CN"/>
        </w:rPr>
        <w:t>1</w:t>
      </w:r>
      <w:r>
        <w:rPr>
          <w:rFonts w:ascii="仿宋_GB2312" w:eastAsia="仿宋_GB2312"/>
          <w:sz w:val="32"/>
          <w:szCs w:val="32"/>
        </w:rPr>
        <w:t>.</w:t>
      </w:r>
      <w:r>
        <w:rPr>
          <w:rFonts w:hint="eastAsia" w:ascii="仿宋_GB2312" w:eastAsia="仿宋_GB2312"/>
          <w:sz w:val="32"/>
          <w:szCs w:val="32"/>
        </w:rPr>
        <w:t>“中国好粮油”</w:t>
      </w:r>
      <w:r>
        <w:rPr>
          <w:rFonts w:hint="eastAsia" w:ascii="仿宋_GB2312" w:eastAsia="仿宋_GB2312"/>
          <w:sz w:val="32"/>
          <w:szCs w:val="32"/>
          <w:lang w:eastAsia="zh-CN"/>
        </w:rPr>
        <w:t>系列标准清单</w:t>
      </w:r>
    </w:p>
    <w:p>
      <w:pPr>
        <w:ind w:firstLine="1600" w:firstLineChars="500"/>
        <w:rPr>
          <w:rFonts w:ascii="仿宋_GB2312" w:eastAsia="仿宋_GB2312"/>
          <w:sz w:val="32"/>
          <w:szCs w:val="32"/>
        </w:rPr>
      </w:pPr>
      <w:r>
        <w:rPr>
          <w:rFonts w:hint="eastAsia" w:ascii="仿宋_GB2312" w:eastAsia="仿宋_GB2312"/>
          <w:sz w:val="32"/>
          <w:szCs w:val="32"/>
          <w:lang w:val="en-US" w:eastAsia="zh-CN"/>
        </w:rPr>
        <w:t>2</w:t>
      </w:r>
      <w:r>
        <w:rPr>
          <w:rFonts w:ascii="仿宋_GB2312" w:eastAsia="仿宋_GB2312"/>
          <w:sz w:val="32"/>
          <w:szCs w:val="32"/>
        </w:rPr>
        <w:t>.</w:t>
      </w:r>
      <w:r>
        <w:rPr>
          <w:rFonts w:hint="eastAsia" w:ascii="仿宋_GB2312" w:eastAsia="仿宋_GB2312"/>
          <w:sz w:val="32"/>
          <w:szCs w:val="32"/>
        </w:rPr>
        <w:t>“中国好粮油”产品信息汇总表（省级</w:t>
      </w:r>
    </w:p>
    <w:p>
      <w:pPr>
        <w:ind w:firstLine="1920" w:firstLineChars="600"/>
        <w:rPr>
          <w:rFonts w:ascii="仿宋_GB2312" w:eastAsia="仿宋_GB2312"/>
          <w:sz w:val="32"/>
          <w:szCs w:val="32"/>
        </w:rPr>
      </w:pPr>
      <w:r>
        <w:rPr>
          <w:rFonts w:hint="eastAsia" w:ascii="仿宋_GB2312" w:eastAsia="仿宋_GB2312"/>
          <w:sz w:val="32"/>
          <w:szCs w:val="32"/>
        </w:rPr>
        <w:t>“好粮油”遴选实施主体</w:t>
      </w:r>
      <w:r>
        <w:rPr>
          <w:rFonts w:hint="eastAsia" w:ascii="仿宋_GB2312" w:eastAsia="仿宋_GB2312"/>
          <w:sz w:val="32"/>
          <w:szCs w:val="32"/>
          <w:lang w:eastAsia="zh-CN"/>
        </w:rPr>
        <w:t>填报</w:t>
      </w:r>
      <w:r>
        <w:rPr>
          <w:rFonts w:hint="eastAsia" w:ascii="仿宋_GB2312" w:eastAsia="仿宋_GB2312"/>
          <w:sz w:val="32"/>
          <w:szCs w:val="32"/>
        </w:rPr>
        <w:t>用）</w:t>
      </w:r>
    </w:p>
    <w:p>
      <w:pPr>
        <w:ind w:firstLine="1600" w:firstLineChars="500"/>
        <w:rPr>
          <w:rFonts w:ascii="仿宋_GB2312" w:eastAsia="仿宋_GB2312"/>
          <w:sz w:val="32"/>
          <w:szCs w:val="32"/>
        </w:rPr>
      </w:pPr>
      <w:r>
        <w:rPr>
          <w:rFonts w:hint="eastAsia" w:ascii="仿宋_GB2312" w:eastAsia="仿宋_GB2312"/>
          <w:sz w:val="32"/>
          <w:szCs w:val="32"/>
          <w:lang w:val="en-US" w:eastAsia="zh-CN"/>
        </w:rPr>
        <w:t>3</w:t>
      </w:r>
      <w:r>
        <w:rPr>
          <w:rFonts w:ascii="仿宋_GB2312" w:eastAsia="仿宋_GB2312"/>
          <w:sz w:val="32"/>
          <w:szCs w:val="32"/>
        </w:rPr>
        <w:t>.</w:t>
      </w:r>
      <w:r>
        <w:rPr>
          <w:rFonts w:hint="eastAsia" w:ascii="仿宋_GB2312" w:eastAsia="仿宋_GB2312"/>
          <w:sz w:val="32"/>
          <w:szCs w:val="32"/>
        </w:rPr>
        <w:t>“中国好粮油”</w:t>
      </w:r>
      <w:r>
        <w:rPr>
          <w:rFonts w:ascii="仿宋_GB2312" w:eastAsia="仿宋_GB2312"/>
          <w:sz w:val="32"/>
          <w:szCs w:val="32"/>
        </w:rPr>
        <w:t>产品申报书</w:t>
      </w:r>
      <w:r>
        <w:rPr>
          <w:rFonts w:hint="eastAsia" w:ascii="仿宋_GB2312" w:eastAsia="仿宋_GB2312"/>
          <w:sz w:val="32"/>
          <w:szCs w:val="32"/>
        </w:rPr>
        <w:t>（企业</w:t>
      </w:r>
      <w:r>
        <w:rPr>
          <w:rFonts w:hint="eastAsia" w:ascii="仿宋_GB2312" w:eastAsia="仿宋_GB2312"/>
          <w:sz w:val="32"/>
          <w:szCs w:val="32"/>
          <w:lang w:eastAsia="zh-CN"/>
        </w:rPr>
        <w:t>参考</w:t>
      </w:r>
      <w:r>
        <w:rPr>
          <w:rFonts w:ascii="仿宋_GB2312" w:eastAsia="仿宋_GB2312"/>
          <w:sz w:val="32"/>
          <w:szCs w:val="32"/>
        </w:rPr>
        <w:t>用</w:t>
      </w:r>
      <w:r>
        <w:rPr>
          <w:rFonts w:hint="eastAsia" w:ascii="仿宋_GB2312" w:eastAsia="仿宋_GB2312"/>
          <w:sz w:val="32"/>
          <w:szCs w:val="32"/>
        </w:rPr>
        <w:t>）</w:t>
      </w:r>
    </w:p>
    <w:p>
      <w:pPr>
        <w:ind w:firstLine="640" w:firstLineChars="200"/>
        <w:rPr>
          <w:rFonts w:ascii="仿宋_GB2312" w:eastAsia="仿宋_GB2312"/>
          <w:sz w:val="32"/>
          <w:szCs w:val="32"/>
        </w:rPr>
      </w:pPr>
    </w:p>
    <w:p>
      <w:pPr>
        <w:ind w:firstLine="640" w:firstLineChars="200"/>
        <w:rPr>
          <w:rFonts w:ascii="仿宋_GB2312" w:eastAsia="仿宋_GB2312"/>
          <w:sz w:val="32"/>
          <w:szCs w:val="32"/>
        </w:rPr>
      </w:pPr>
    </w:p>
    <w:p>
      <w:pPr>
        <w:spacing w:line="620" w:lineRule="exact"/>
        <w:ind w:firstLine="4480" w:firstLineChars="1400"/>
        <w:rPr>
          <w:rFonts w:ascii="仿宋_GB2312" w:eastAsia="仿宋_GB2312"/>
          <w:sz w:val="32"/>
          <w:szCs w:val="32"/>
        </w:rPr>
      </w:pPr>
      <w:r>
        <w:rPr>
          <w:rFonts w:hint="eastAsia" w:ascii="仿宋_GB2312" w:eastAsia="仿宋_GB2312"/>
          <w:sz w:val="32"/>
          <w:szCs w:val="32"/>
        </w:rPr>
        <w:t>中国粮油学会</w:t>
      </w:r>
    </w:p>
    <w:p>
      <w:pPr>
        <w:spacing w:line="620" w:lineRule="exact"/>
        <w:ind w:firstLine="4160" w:firstLineChars="1300"/>
        <w:rPr>
          <w:rFonts w:ascii="仿宋_GB2312" w:eastAsia="仿宋_GB2312"/>
          <w:sz w:val="32"/>
          <w:szCs w:val="32"/>
        </w:rPr>
      </w:pPr>
      <w:r>
        <w:rPr>
          <w:rFonts w:hint="eastAsia" w:ascii="仿宋_GB2312" w:eastAsia="仿宋_GB2312"/>
          <w:sz w:val="32"/>
          <w:szCs w:val="32"/>
        </w:rPr>
        <w:t>20</w:t>
      </w:r>
      <w:r>
        <w:rPr>
          <w:rFonts w:ascii="仿宋_GB2312" w:eastAsia="仿宋_GB2312"/>
          <w:sz w:val="32"/>
          <w:szCs w:val="32"/>
        </w:rPr>
        <w:t>20</w:t>
      </w:r>
      <w:r>
        <w:rPr>
          <w:rFonts w:hint="eastAsia" w:ascii="仿宋_GB2312" w:eastAsia="仿宋_GB2312"/>
          <w:sz w:val="32"/>
          <w:szCs w:val="32"/>
        </w:rPr>
        <w:t>年</w:t>
      </w:r>
      <w:r>
        <w:rPr>
          <w:rFonts w:ascii="仿宋_GB2312" w:eastAsia="仿宋_GB2312"/>
          <w:sz w:val="32"/>
          <w:szCs w:val="32"/>
        </w:rPr>
        <w:t>10</w:t>
      </w:r>
      <w:r>
        <w:rPr>
          <w:rFonts w:hint="eastAsia" w:ascii="仿宋_GB2312" w:eastAsia="仿宋_GB2312"/>
          <w:sz w:val="32"/>
          <w:szCs w:val="32"/>
        </w:rPr>
        <w:t>月</w:t>
      </w:r>
      <w:r>
        <w:rPr>
          <w:rFonts w:hint="eastAsia" w:ascii="仿宋_GB2312" w:eastAsia="仿宋_GB2312"/>
          <w:sz w:val="32"/>
          <w:szCs w:val="32"/>
          <w:lang w:val="en-US" w:eastAsia="zh-CN"/>
        </w:rPr>
        <w:t>30</w:t>
      </w:r>
      <w:r>
        <w:rPr>
          <w:rFonts w:hint="eastAsia" w:ascii="仿宋_GB2312" w:eastAsia="仿宋_GB2312"/>
          <w:sz w:val="32"/>
          <w:szCs w:val="32"/>
        </w:rPr>
        <w:t>日</w:t>
      </w:r>
    </w:p>
    <w:p>
      <w:pPr>
        <w:spacing w:line="620" w:lineRule="exact"/>
        <w:rPr>
          <w:rFonts w:ascii="仿宋_GB2312" w:eastAsia="仿宋_GB2312"/>
          <w:sz w:val="32"/>
          <w:szCs w:val="32"/>
        </w:rPr>
      </w:pPr>
    </w:p>
    <w:p>
      <w:pPr>
        <w:spacing w:line="620" w:lineRule="exact"/>
        <w:rPr>
          <w:rFonts w:ascii="仿宋_GB2312" w:eastAsia="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0000000000000000000"/>
    <w:charset w:val="86"/>
    <w:family w:val="auto"/>
    <w:pitch w:val="default"/>
    <w:sig w:usb0="00000000" w:usb1="00000000" w:usb2="00000016" w:usb3="00000000" w:csb0="0004000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7DD29B"/>
    <w:multiLevelType w:val="singleLevel"/>
    <w:tmpl w:val="187DD29B"/>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07E"/>
    <w:rsid w:val="00017E2B"/>
    <w:rsid w:val="00021A82"/>
    <w:rsid w:val="000432D6"/>
    <w:rsid w:val="0007168E"/>
    <w:rsid w:val="00073056"/>
    <w:rsid w:val="000A23AE"/>
    <w:rsid w:val="000A5645"/>
    <w:rsid w:val="000C6F4D"/>
    <w:rsid w:val="000D5ADA"/>
    <w:rsid w:val="000F0BF2"/>
    <w:rsid w:val="000F782F"/>
    <w:rsid w:val="000F7BEE"/>
    <w:rsid w:val="0010481A"/>
    <w:rsid w:val="00105FF7"/>
    <w:rsid w:val="00132258"/>
    <w:rsid w:val="00144D2B"/>
    <w:rsid w:val="00172716"/>
    <w:rsid w:val="0019310E"/>
    <w:rsid w:val="001B79BB"/>
    <w:rsid w:val="001C5EA8"/>
    <w:rsid w:val="001D4D0F"/>
    <w:rsid w:val="002031A3"/>
    <w:rsid w:val="00204B82"/>
    <w:rsid w:val="002140BF"/>
    <w:rsid w:val="00233C04"/>
    <w:rsid w:val="00237408"/>
    <w:rsid w:val="00243D75"/>
    <w:rsid w:val="002501BF"/>
    <w:rsid w:val="00265DEA"/>
    <w:rsid w:val="002A01BD"/>
    <w:rsid w:val="002D0DE0"/>
    <w:rsid w:val="002F6B45"/>
    <w:rsid w:val="0031217B"/>
    <w:rsid w:val="00324A08"/>
    <w:rsid w:val="003364E4"/>
    <w:rsid w:val="003623D0"/>
    <w:rsid w:val="00374C93"/>
    <w:rsid w:val="00385174"/>
    <w:rsid w:val="003B1E46"/>
    <w:rsid w:val="003B2016"/>
    <w:rsid w:val="003B3433"/>
    <w:rsid w:val="003E5A08"/>
    <w:rsid w:val="003F681F"/>
    <w:rsid w:val="004430B1"/>
    <w:rsid w:val="004562A3"/>
    <w:rsid w:val="004667B6"/>
    <w:rsid w:val="00483A30"/>
    <w:rsid w:val="004C241D"/>
    <w:rsid w:val="004D76DB"/>
    <w:rsid w:val="004E35A9"/>
    <w:rsid w:val="004F6A9D"/>
    <w:rsid w:val="004F784A"/>
    <w:rsid w:val="00507F52"/>
    <w:rsid w:val="00521DEB"/>
    <w:rsid w:val="0052570B"/>
    <w:rsid w:val="00526E67"/>
    <w:rsid w:val="0057769E"/>
    <w:rsid w:val="005945FB"/>
    <w:rsid w:val="005C0960"/>
    <w:rsid w:val="005C3888"/>
    <w:rsid w:val="005E4C9F"/>
    <w:rsid w:val="005E79BC"/>
    <w:rsid w:val="00617CF9"/>
    <w:rsid w:val="00621296"/>
    <w:rsid w:val="00627E5B"/>
    <w:rsid w:val="00642EF5"/>
    <w:rsid w:val="00645A66"/>
    <w:rsid w:val="00646837"/>
    <w:rsid w:val="00647141"/>
    <w:rsid w:val="00650752"/>
    <w:rsid w:val="00654FDF"/>
    <w:rsid w:val="00671494"/>
    <w:rsid w:val="006859A2"/>
    <w:rsid w:val="006A130F"/>
    <w:rsid w:val="006A4535"/>
    <w:rsid w:val="006B0065"/>
    <w:rsid w:val="006C5DD2"/>
    <w:rsid w:val="006F0BB6"/>
    <w:rsid w:val="00726E70"/>
    <w:rsid w:val="00747ABF"/>
    <w:rsid w:val="0076573E"/>
    <w:rsid w:val="007820BA"/>
    <w:rsid w:val="00784A9C"/>
    <w:rsid w:val="00786113"/>
    <w:rsid w:val="007B73CD"/>
    <w:rsid w:val="007E156E"/>
    <w:rsid w:val="007E1D51"/>
    <w:rsid w:val="007E7821"/>
    <w:rsid w:val="00801359"/>
    <w:rsid w:val="0080540B"/>
    <w:rsid w:val="008123C2"/>
    <w:rsid w:val="00821A6B"/>
    <w:rsid w:val="00860BA1"/>
    <w:rsid w:val="00877EDF"/>
    <w:rsid w:val="008974DB"/>
    <w:rsid w:val="008C74C7"/>
    <w:rsid w:val="008F1D28"/>
    <w:rsid w:val="009132F0"/>
    <w:rsid w:val="00932E61"/>
    <w:rsid w:val="00934E3D"/>
    <w:rsid w:val="009358A6"/>
    <w:rsid w:val="0096494B"/>
    <w:rsid w:val="009C516F"/>
    <w:rsid w:val="009D76F2"/>
    <w:rsid w:val="009D7FA4"/>
    <w:rsid w:val="00A050D7"/>
    <w:rsid w:val="00A205BE"/>
    <w:rsid w:val="00A4176C"/>
    <w:rsid w:val="00A63CA1"/>
    <w:rsid w:val="00A6634B"/>
    <w:rsid w:val="00A82852"/>
    <w:rsid w:val="00A83EF9"/>
    <w:rsid w:val="00A9508D"/>
    <w:rsid w:val="00AB4265"/>
    <w:rsid w:val="00AC2BB0"/>
    <w:rsid w:val="00AC6842"/>
    <w:rsid w:val="00B03CD3"/>
    <w:rsid w:val="00B219F7"/>
    <w:rsid w:val="00B76CCE"/>
    <w:rsid w:val="00B813FE"/>
    <w:rsid w:val="00B94398"/>
    <w:rsid w:val="00BC3AA6"/>
    <w:rsid w:val="00BE1EA5"/>
    <w:rsid w:val="00BF54F4"/>
    <w:rsid w:val="00C25847"/>
    <w:rsid w:val="00C65BF8"/>
    <w:rsid w:val="00C6797A"/>
    <w:rsid w:val="00C74D65"/>
    <w:rsid w:val="00C81507"/>
    <w:rsid w:val="00C82FB5"/>
    <w:rsid w:val="00CB2B90"/>
    <w:rsid w:val="00CC6FBC"/>
    <w:rsid w:val="00D0307E"/>
    <w:rsid w:val="00D365BC"/>
    <w:rsid w:val="00D50CA0"/>
    <w:rsid w:val="00D546B4"/>
    <w:rsid w:val="00D61854"/>
    <w:rsid w:val="00D902D4"/>
    <w:rsid w:val="00D940E7"/>
    <w:rsid w:val="00DA0192"/>
    <w:rsid w:val="00DA5F93"/>
    <w:rsid w:val="00DB4439"/>
    <w:rsid w:val="00E03910"/>
    <w:rsid w:val="00E074DB"/>
    <w:rsid w:val="00E25B60"/>
    <w:rsid w:val="00E33B6F"/>
    <w:rsid w:val="00E3507A"/>
    <w:rsid w:val="00E36F22"/>
    <w:rsid w:val="00E467AF"/>
    <w:rsid w:val="00E650E9"/>
    <w:rsid w:val="00EA19C9"/>
    <w:rsid w:val="00EA6B4B"/>
    <w:rsid w:val="00EB49DD"/>
    <w:rsid w:val="00ED4627"/>
    <w:rsid w:val="00EE1E06"/>
    <w:rsid w:val="00EE5440"/>
    <w:rsid w:val="00EF18CC"/>
    <w:rsid w:val="00F33098"/>
    <w:rsid w:val="00F407B3"/>
    <w:rsid w:val="00F612F3"/>
    <w:rsid w:val="00F62523"/>
    <w:rsid w:val="00F66D10"/>
    <w:rsid w:val="00F84B4D"/>
    <w:rsid w:val="00F948ED"/>
    <w:rsid w:val="00FC41BA"/>
    <w:rsid w:val="00FE5657"/>
    <w:rsid w:val="04052172"/>
    <w:rsid w:val="054C2B1E"/>
    <w:rsid w:val="059F20D9"/>
    <w:rsid w:val="05F948C3"/>
    <w:rsid w:val="07A70CA1"/>
    <w:rsid w:val="07E21545"/>
    <w:rsid w:val="08484520"/>
    <w:rsid w:val="084F58E1"/>
    <w:rsid w:val="091063FB"/>
    <w:rsid w:val="09D77858"/>
    <w:rsid w:val="101A6691"/>
    <w:rsid w:val="10EF3D6A"/>
    <w:rsid w:val="181F0110"/>
    <w:rsid w:val="18D16D55"/>
    <w:rsid w:val="1F917829"/>
    <w:rsid w:val="203E03F0"/>
    <w:rsid w:val="206D758C"/>
    <w:rsid w:val="23D63F25"/>
    <w:rsid w:val="277E4DC2"/>
    <w:rsid w:val="2A887EBB"/>
    <w:rsid w:val="2E9E7686"/>
    <w:rsid w:val="2EA50B64"/>
    <w:rsid w:val="31BC3A6A"/>
    <w:rsid w:val="31DC2C4C"/>
    <w:rsid w:val="34363CA8"/>
    <w:rsid w:val="3585286B"/>
    <w:rsid w:val="39E90399"/>
    <w:rsid w:val="3D980160"/>
    <w:rsid w:val="3ECB4DD8"/>
    <w:rsid w:val="437B6ECD"/>
    <w:rsid w:val="4533449E"/>
    <w:rsid w:val="47A8498A"/>
    <w:rsid w:val="49DF4891"/>
    <w:rsid w:val="4A107C9F"/>
    <w:rsid w:val="4FC55C5F"/>
    <w:rsid w:val="51FE4350"/>
    <w:rsid w:val="53935396"/>
    <w:rsid w:val="58895C1E"/>
    <w:rsid w:val="595F2A72"/>
    <w:rsid w:val="5A857117"/>
    <w:rsid w:val="5F1D2AA2"/>
    <w:rsid w:val="5F5578E0"/>
    <w:rsid w:val="61AB3C84"/>
    <w:rsid w:val="6C075F89"/>
    <w:rsid w:val="6D9C4F00"/>
    <w:rsid w:val="71647B10"/>
    <w:rsid w:val="717476D1"/>
    <w:rsid w:val="75AA4EAB"/>
    <w:rsid w:val="770D4AF1"/>
    <w:rsid w:val="7C584DAD"/>
    <w:rsid w:val="7E8731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semiHidden/>
    <w:unhideWhenUsed/>
    <w:qFormat/>
    <w:uiPriority w:val="99"/>
    <w:pPr>
      <w:jc w:val="left"/>
    </w:pPr>
  </w:style>
  <w:style w:type="paragraph" w:styleId="3">
    <w:name w:val="Body Text"/>
    <w:basedOn w:val="1"/>
    <w:link w:val="12"/>
    <w:qFormat/>
    <w:uiPriority w:val="1"/>
    <w:rPr>
      <w:rFonts w:ascii="宋体" w:hAnsi="宋体" w:eastAsia="宋体" w:cs="宋体"/>
      <w:sz w:val="32"/>
      <w:szCs w:val="32"/>
      <w:lang w:val="zh-CN" w:bidi="zh-CN"/>
    </w:rPr>
  </w:style>
  <w:style w:type="paragraph" w:styleId="4">
    <w:name w:val="Balloon Text"/>
    <w:basedOn w:val="1"/>
    <w:link w:val="16"/>
    <w:semiHidden/>
    <w:unhideWhenUsed/>
    <w:qFormat/>
    <w:uiPriority w:val="99"/>
    <w:rPr>
      <w:sz w:val="18"/>
      <w:szCs w:val="18"/>
    </w:rPr>
  </w:style>
  <w:style w:type="paragraph" w:styleId="5">
    <w:name w:val="footer"/>
    <w:basedOn w:val="1"/>
    <w:link w:val="15"/>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2"/>
    <w:next w:val="2"/>
    <w:link w:val="19"/>
    <w:semiHidden/>
    <w:unhideWhenUsed/>
    <w:qFormat/>
    <w:uiPriority w:val="99"/>
    <w:rPr>
      <w:b/>
      <w:bCs/>
    </w:rPr>
  </w:style>
  <w:style w:type="character" w:styleId="10">
    <w:name w:val="Hyperlink"/>
    <w:basedOn w:val="9"/>
    <w:unhideWhenUsed/>
    <w:qFormat/>
    <w:uiPriority w:val="99"/>
    <w:rPr>
      <w:color w:val="0563C1" w:themeColor="hyperlink"/>
      <w:u w:val="single"/>
      <w14:textFill>
        <w14:solidFill>
          <w14:schemeClr w14:val="hlink"/>
        </w14:solidFill>
      </w14:textFill>
    </w:rPr>
  </w:style>
  <w:style w:type="character" w:styleId="11">
    <w:name w:val="annotation reference"/>
    <w:basedOn w:val="9"/>
    <w:semiHidden/>
    <w:unhideWhenUsed/>
    <w:qFormat/>
    <w:uiPriority w:val="99"/>
    <w:rPr>
      <w:sz w:val="21"/>
      <w:szCs w:val="21"/>
    </w:rPr>
  </w:style>
  <w:style w:type="character" w:customStyle="1" w:styleId="12">
    <w:name w:val="正文文本 Char"/>
    <w:basedOn w:val="9"/>
    <w:link w:val="3"/>
    <w:qFormat/>
    <w:uiPriority w:val="1"/>
    <w:rPr>
      <w:rFonts w:ascii="宋体" w:hAnsi="宋体" w:eastAsia="宋体" w:cs="宋体"/>
      <w:sz w:val="32"/>
      <w:szCs w:val="32"/>
      <w:lang w:val="zh-CN" w:bidi="zh-CN"/>
    </w:rPr>
  </w:style>
  <w:style w:type="character" w:customStyle="1" w:styleId="13">
    <w:name w:val="未处理的提及1"/>
    <w:basedOn w:val="9"/>
    <w:semiHidden/>
    <w:unhideWhenUsed/>
    <w:qFormat/>
    <w:uiPriority w:val="99"/>
    <w:rPr>
      <w:color w:val="605E5C"/>
      <w:shd w:val="clear" w:color="auto" w:fill="E1DFDD"/>
    </w:rPr>
  </w:style>
  <w:style w:type="character" w:customStyle="1" w:styleId="14">
    <w:name w:val="页眉 Char"/>
    <w:basedOn w:val="9"/>
    <w:link w:val="6"/>
    <w:qFormat/>
    <w:uiPriority w:val="99"/>
    <w:rPr>
      <w:sz w:val="18"/>
      <w:szCs w:val="18"/>
    </w:rPr>
  </w:style>
  <w:style w:type="character" w:customStyle="1" w:styleId="15">
    <w:name w:val="页脚 Char"/>
    <w:basedOn w:val="9"/>
    <w:link w:val="5"/>
    <w:qFormat/>
    <w:uiPriority w:val="99"/>
    <w:rPr>
      <w:sz w:val="18"/>
      <w:szCs w:val="18"/>
    </w:rPr>
  </w:style>
  <w:style w:type="character" w:customStyle="1" w:styleId="16">
    <w:name w:val="批注框文本 Char"/>
    <w:basedOn w:val="9"/>
    <w:link w:val="4"/>
    <w:semiHidden/>
    <w:qFormat/>
    <w:uiPriority w:val="99"/>
    <w:rPr>
      <w:kern w:val="2"/>
      <w:sz w:val="18"/>
      <w:szCs w:val="18"/>
    </w:rPr>
  </w:style>
  <w:style w:type="character" w:customStyle="1" w:styleId="17">
    <w:name w:val="Unresolved Mention"/>
    <w:basedOn w:val="9"/>
    <w:semiHidden/>
    <w:unhideWhenUsed/>
    <w:qFormat/>
    <w:uiPriority w:val="99"/>
    <w:rPr>
      <w:color w:val="605E5C"/>
      <w:shd w:val="clear" w:color="auto" w:fill="E1DFDD"/>
    </w:rPr>
  </w:style>
  <w:style w:type="character" w:customStyle="1" w:styleId="18">
    <w:name w:val="批注文字 Char"/>
    <w:basedOn w:val="9"/>
    <w:link w:val="2"/>
    <w:semiHidden/>
    <w:qFormat/>
    <w:uiPriority w:val="99"/>
    <w:rPr>
      <w:kern w:val="2"/>
      <w:sz w:val="21"/>
      <w:szCs w:val="22"/>
    </w:rPr>
  </w:style>
  <w:style w:type="character" w:customStyle="1" w:styleId="19">
    <w:name w:val="批注主题 Char"/>
    <w:basedOn w:val="18"/>
    <w:link w:val="7"/>
    <w:semiHidden/>
    <w:qFormat/>
    <w:uiPriority w:val="99"/>
    <w:rPr>
      <w:b/>
      <w:bCs/>
      <w:kern w:val="2"/>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240</Words>
  <Characters>1371</Characters>
  <Lines>11</Lines>
  <Paragraphs>3</Paragraphs>
  <TotalTime>8</TotalTime>
  <ScaleCrop>false</ScaleCrop>
  <LinksUpToDate>false</LinksUpToDate>
  <CharactersWithSpaces>1608</CharactersWithSpaces>
  <Application>WPS Office_11.1.0.9440_F1E327BC-269C-435d-A152-05C5408002CA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2020-10-15T00:39:00Z</dcterms:created>
  <dc:creator>明慧 周</dc:creator>
  <cp:lastModifiedBy>cherry</cp:lastModifiedBy>
  <cp:lastPrinted>2020-10-22T07:37:00Z</cp:lastPrinted>
  <dcterms:modified xsi:type="dcterms:W3CDTF">2020-10-30T08:06:06Z</dcterms:modified>
  <cp:revision>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2052-11.1.0.9440</vt:lpwstr>
  </property>
</Properties>
</file>