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Ansi="宋体"/>
          <w:b/>
          <w:color w:val="auto"/>
          <w:sz w:val="36"/>
          <w:szCs w:val="36"/>
        </w:rPr>
      </w:pPr>
      <w:bookmarkStart w:id="0" w:name="_Toc531661814"/>
      <w:bookmarkStart w:id="1" w:name="_Toc531764886"/>
      <w:bookmarkStart w:id="2" w:name="_Toc532292486"/>
      <w:bookmarkStart w:id="3" w:name="_Toc534008348"/>
      <w:bookmarkStart w:id="4" w:name="_Toc532877817"/>
      <w:bookmarkStart w:id="5" w:name="_Toc531665995"/>
      <w:bookmarkStart w:id="6" w:name="_Toc532292568"/>
      <w:bookmarkStart w:id="7" w:name="_Toc532292766"/>
      <w:bookmarkStart w:id="8" w:name="_Toc101338318"/>
      <w:bookmarkStart w:id="9" w:name="_Toc462929204"/>
      <w:bookmarkStart w:id="10" w:name="_Toc209847033"/>
      <w:bookmarkStart w:id="11" w:name="_Toc430773894"/>
    </w:p>
    <w:p>
      <w:pPr>
        <w:spacing w:line="360" w:lineRule="auto"/>
        <w:jc w:val="right"/>
        <w:rPr>
          <w:rFonts w:hAnsi="宋体"/>
          <w:b/>
          <w:color w:val="auto"/>
          <w:sz w:val="36"/>
          <w:szCs w:val="36"/>
        </w:rPr>
      </w:pPr>
    </w:p>
    <w:p>
      <w:pPr>
        <w:spacing w:line="360" w:lineRule="auto"/>
        <w:jc w:val="center"/>
        <w:rPr>
          <w:rFonts w:hAnsi="宋体"/>
          <w:b/>
          <w:color w:val="auto"/>
          <w:sz w:val="36"/>
          <w:szCs w:val="36"/>
        </w:rPr>
      </w:pPr>
      <w:r>
        <w:rPr>
          <w:color w:val="auto"/>
        </w:rPr>
        <w:drawing>
          <wp:inline distT="0" distB="0" distL="114300" distR="114300">
            <wp:extent cx="2419350" cy="1247775"/>
            <wp:effectExtent l="0" t="0" r="0" b="9525"/>
            <wp:docPr id="10"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7"/>
                    <pic:cNvPicPr>
                      <a:picLocks noChangeAspect="1"/>
                    </pic:cNvPicPr>
                  </pic:nvPicPr>
                  <pic:blipFill>
                    <a:blip r:embed="rId11"/>
                    <a:stretch>
                      <a:fillRect/>
                    </a:stretch>
                  </pic:blipFill>
                  <pic:spPr>
                    <a:xfrm>
                      <a:off x="0" y="0"/>
                      <a:ext cx="2419350" cy="1247775"/>
                    </a:xfrm>
                    <a:prstGeom prst="rect">
                      <a:avLst/>
                    </a:prstGeom>
                    <a:noFill/>
                    <a:ln w="9525">
                      <a:noFill/>
                    </a:ln>
                  </pic:spPr>
                </pic:pic>
              </a:graphicData>
            </a:graphic>
          </wp:inline>
        </w:drawing>
      </w:r>
    </w:p>
    <w:p>
      <w:pPr>
        <w:spacing w:line="360" w:lineRule="auto"/>
        <w:rPr>
          <w:rFonts w:hAnsi="宋体"/>
          <w:b/>
          <w:color w:val="auto"/>
          <w:sz w:val="32"/>
          <w:szCs w:val="32"/>
        </w:rPr>
      </w:pPr>
    </w:p>
    <w:p>
      <w:pPr>
        <w:spacing w:line="360" w:lineRule="auto"/>
        <w:jc w:val="center"/>
        <w:rPr>
          <w:rFonts w:hAnsi="宋体"/>
          <w:b/>
          <w:color w:val="auto"/>
          <w:sz w:val="48"/>
          <w:szCs w:val="48"/>
        </w:rPr>
      </w:pPr>
      <w:r>
        <w:rPr>
          <w:rFonts w:hint="eastAsia" w:ascii="华文中宋" w:hAnsi="华文中宋" w:eastAsia="华文中宋"/>
          <w:b/>
          <w:sz w:val="52"/>
          <w:szCs w:val="52"/>
        </w:rPr>
        <w:t>威远投资控股集团有限责任公司连界镇污水处理厂化验室</w:t>
      </w:r>
      <w:r>
        <w:rPr>
          <w:rFonts w:hint="eastAsia" w:ascii="华文中宋" w:hAnsi="华文中宋" w:eastAsia="华文中宋"/>
          <w:b/>
          <w:sz w:val="52"/>
          <w:szCs w:val="52"/>
          <w:lang w:eastAsia="zh-CN"/>
        </w:rPr>
        <w:t>办公设备及器具和常规药剂采购项目</w:t>
      </w:r>
    </w:p>
    <w:p>
      <w:pPr>
        <w:spacing w:line="360" w:lineRule="auto"/>
        <w:jc w:val="center"/>
        <w:rPr>
          <w:rFonts w:hint="eastAsia" w:hAnsi="宋体"/>
          <w:b/>
          <w:color w:val="auto"/>
          <w:sz w:val="30"/>
          <w:szCs w:val="30"/>
        </w:rPr>
      </w:pPr>
      <w:r>
        <w:rPr>
          <w:rFonts w:hint="eastAsia" w:hAnsi="宋体"/>
          <w:b/>
          <w:color w:val="auto"/>
          <w:sz w:val="30"/>
          <w:szCs w:val="30"/>
        </w:rPr>
        <w:tab/>
      </w:r>
    </w:p>
    <w:p>
      <w:pPr>
        <w:spacing w:line="360" w:lineRule="auto"/>
        <w:jc w:val="center"/>
        <w:rPr>
          <w:rFonts w:hint="eastAsia" w:hAnsi="宋体"/>
          <w:b/>
          <w:bCs/>
          <w:color w:val="auto"/>
          <w:sz w:val="84"/>
          <w:szCs w:val="84"/>
          <w:lang w:val="en-US"/>
        </w:rPr>
      </w:pPr>
      <w:r>
        <w:rPr>
          <w:rFonts w:hint="eastAsia" w:hAnsi="宋体"/>
          <w:b/>
          <w:color w:val="auto"/>
          <w:sz w:val="40"/>
          <w:szCs w:val="40"/>
        </w:rPr>
        <w:t>项目编号：</w:t>
      </w:r>
      <w:r>
        <w:rPr>
          <w:rFonts w:hint="eastAsia" w:hAnsi="宋体"/>
          <w:b/>
          <w:color w:val="auto"/>
          <w:sz w:val="40"/>
          <w:szCs w:val="40"/>
          <w:lang w:val="en-US" w:eastAsia="zh-CN"/>
        </w:rPr>
        <w:t>SCLY2018-TP004</w:t>
      </w:r>
    </w:p>
    <w:p>
      <w:pPr>
        <w:spacing w:line="360" w:lineRule="auto"/>
        <w:jc w:val="both"/>
        <w:rPr>
          <w:rFonts w:hint="eastAsia" w:hAnsi="宋体"/>
          <w:b/>
          <w:bCs/>
          <w:color w:val="auto"/>
          <w:sz w:val="84"/>
          <w:szCs w:val="84"/>
        </w:rPr>
      </w:pPr>
    </w:p>
    <w:p>
      <w:pPr>
        <w:spacing w:line="360" w:lineRule="auto"/>
        <w:jc w:val="center"/>
        <w:rPr>
          <w:rFonts w:hAnsi="宋体"/>
          <w:b/>
          <w:bCs/>
          <w:color w:val="auto"/>
          <w:sz w:val="84"/>
          <w:szCs w:val="84"/>
        </w:rPr>
      </w:pPr>
      <w:r>
        <w:rPr>
          <w:rFonts w:hint="eastAsia" w:hAnsi="宋体"/>
          <w:b/>
          <w:bCs/>
          <w:color w:val="auto"/>
          <w:sz w:val="84"/>
          <w:szCs w:val="84"/>
        </w:rPr>
        <w:t>竞争性谈判文件</w:t>
      </w:r>
    </w:p>
    <w:p>
      <w:pPr>
        <w:spacing w:line="360" w:lineRule="auto"/>
        <w:jc w:val="both"/>
        <w:rPr>
          <w:rFonts w:hint="eastAsia" w:hAnsi="宋体"/>
          <w:b/>
          <w:color w:val="auto"/>
          <w:sz w:val="36"/>
          <w:szCs w:val="36"/>
        </w:rPr>
      </w:pPr>
    </w:p>
    <w:p>
      <w:pPr>
        <w:spacing w:line="360" w:lineRule="auto"/>
        <w:ind w:firstLine="803" w:firstLineChars="200"/>
        <w:jc w:val="both"/>
        <w:rPr>
          <w:rFonts w:hint="eastAsia" w:hAnsi="宋体"/>
          <w:b/>
          <w:color w:val="auto"/>
          <w:sz w:val="40"/>
          <w:szCs w:val="40"/>
          <w:lang w:eastAsia="zh-CN"/>
        </w:rPr>
      </w:pPr>
      <w:r>
        <w:rPr>
          <w:rFonts w:hint="eastAsia" w:hAnsi="宋体"/>
          <w:b/>
          <w:color w:val="auto"/>
          <w:sz w:val="40"/>
          <w:szCs w:val="40"/>
          <w:lang w:eastAsia="zh-CN"/>
        </w:rPr>
        <w:t xml:space="preserve">采 </w:t>
      </w:r>
      <w:r>
        <w:rPr>
          <w:rFonts w:hint="eastAsia" w:hAnsi="宋体"/>
          <w:b/>
          <w:color w:val="auto"/>
          <w:sz w:val="40"/>
          <w:szCs w:val="40"/>
          <w:lang w:val="en-US" w:eastAsia="zh-CN"/>
        </w:rPr>
        <w:t xml:space="preserve"> </w:t>
      </w:r>
      <w:r>
        <w:rPr>
          <w:rFonts w:hint="eastAsia" w:hAnsi="宋体"/>
          <w:b/>
          <w:color w:val="auto"/>
          <w:sz w:val="40"/>
          <w:szCs w:val="40"/>
          <w:lang w:eastAsia="zh-CN"/>
        </w:rPr>
        <w:t xml:space="preserve"> 购  </w:t>
      </w:r>
      <w:r>
        <w:rPr>
          <w:rFonts w:hint="eastAsia" w:hAnsi="宋体"/>
          <w:b/>
          <w:color w:val="auto"/>
          <w:sz w:val="40"/>
          <w:szCs w:val="40"/>
          <w:lang w:val="en-US" w:eastAsia="zh-CN"/>
        </w:rPr>
        <w:t xml:space="preserve"> </w:t>
      </w:r>
      <w:r>
        <w:rPr>
          <w:rFonts w:hint="eastAsia" w:hAnsi="宋体"/>
          <w:b/>
          <w:color w:val="auto"/>
          <w:sz w:val="40"/>
          <w:szCs w:val="40"/>
          <w:lang w:eastAsia="zh-CN"/>
        </w:rPr>
        <w:t>人：威远投资控股集团有限责任公司</w:t>
      </w:r>
    </w:p>
    <w:p>
      <w:pPr>
        <w:spacing w:line="360" w:lineRule="auto"/>
        <w:ind w:firstLine="803" w:firstLineChars="200"/>
        <w:jc w:val="both"/>
        <w:rPr>
          <w:rFonts w:hint="eastAsia" w:hAnsi="宋体"/>
          <w:b/>
          <w:color w:val="auto"/>
          <w:sz w:val="40"/>
          <w:szCs w:val="40"/>
          <w:lang w:eastAsia="zh-CN"/>
        </w:rPr>
      </w:pPr>
      <w:r>
        <w:rPr>
          <w:rFonts w:hint="eastAsia" w:hAnsi="宋体"/>
          <w:b/>
          <w:color w:val="auto"/>
          <w:sz w:val="40"/>
          <w:szCs w:val="40"/>
          <w:lang w:eastAsia="zh-CN"/>
        </w:rPr>
        <w:t>采购代理机构：四川利阳招投标代理有限公司</w:t>
      </w:r>
    </w:p>
    <w:p>
      <w:pPr>
        <w:spacing w:line="360" w:lineRule="auto"/>
        <w:jc w:val="center"/>
        <w:rPr>
          <w:rFonts w:hint="eastAsia" w:hAnsi="宋体"/>
          <w:b/>
          <w:color w:val="auto"/>
          <w:sz w:val="40"/>
          <w:szCs w:val="40"/>
          <w:lang w:eastAsia="zh-CN"/>
        </w:rPr>
      </w:pPr>
      <w:r>
        <w:rPr>
          <w:rFonts w:hint="eastAsia" w:hAnsi="宋体"/>
          <w:b/>
          <w:color w:val="auto"/>
          <w:sz w:val="40"/>
          <w:szCs w:val="40"/>
          <w:lang w:eastAsia="zh-CN"/>
        </w:rPr>
        <w:t>共同编制</w:t>
      </w:r>
    </w:p>
    <w:p>
      <w:pPr>
        <w:spacing w:line="360" w:lineRule="auto"/>
        <w:jc w:val="center"/>
        <w:rPr>
          <w:rFonts w:hint="eastAsia" w:hAnsi="宋体"/>
          <w:b/>
          <w:color w:val="auto"/>
          <w:sz w:val="40"/>
          <w:szCs w:val="40"/>
          <w:lang w:val="zh-CN" w:eastAsia="zh-CN"/>
        </w:rPr>
      </w:pPr>
      <w:r>
        <w:rPr>
          <w:rFonts w:hint="eastAsia" w:hAnsi="宋体"/>
          <w:b/>
          <w:color w:val="auto"/>
          <w:sz w:val="40"/>
          <w:szCs w:val="40"/>
          <w:lang w:eastAsia="zh-CN"/>
        </w:rPr>
        <w:t>2018年</w:t>
      </w:r>
      <w:r>
        <w:rPr>
          <w:rFonts w:hint="eastAsia" w:hAnsi="宋体"/>
          <w:b/>
          <w:color w:val="auto"/>
          <w:sz w:val="40"/>
          <w:szCs w:val="40"/>
          <w:lang w:val="en-US" w:eastAsia="zh-CN"/>
        </w:rPr>
        <w:t>6</w:t>
      </w:r>
      <w:r>
        <w:rPr>
          <w:rFonts w:hint="eastAsia" w:hAnsi="宋体"/>
          <w:b/>
          <w:color w:val="auto"/>
          <w:sz w:val="40"/>
          <w:szCs w:val="40"/>
          <w:lang w:eastAsia="zh-CN"/>
        </w:rPr>
        <w:t>月</w:t>
      </w:r>
    </w:p>
    <w:p>
      <w:pPr>
        <w:spacing w:line="360" w:lineRule="auto"/>
        <w:jc w:val="center"/>
        <w:rPr>
          <w:rFonts w:hint="eastAsia" w:hAnsi="宋体"/>
          <w:b/>
          <w:color w:val="auto"/>
          <w:sz w:val="40"/>
          <w:szCs w:val="40"/>
          <w:lang w:val="zh-CN" w:eastAsia="zh-CN"/>
        </w:rPr>
        <w:sectPr>
          <w:headerReference r:id="rId5" w:type="first"/>
          <w:headerReference r:id="rId3" w:type="default"/>
          <w:headerReference r:id="rId4" w:type="even"/>
          <w:pgSz w:w="11907" w:h="16840"/>
          <w:pgMar w:top="1565" w:right="1134" w:bottom="1134" w:left="1418" w:header="851" w:footer="992" w:gutter="0"/>
          <w:pgNumType w:fmt="decimal" w:start="1"/>
          <w:cols w:space="720" w:num="1"/>
          <w:titlePg/>
          <w:docGrid w:type="lines" w:linePitch="312" w:charSpace="0"/>
        </w:sectPr>
      </w:pPr>
    </w:p>
    <w:p>
      <w:pPr>
        <w:tabs>
          <w:tab w:val="center" w:pos="4217"/>
          <w:tab w:val="left" w:pos="5961"/>
        </w:tabs>
        <w:spacing w:line="360" w:lineRule="auto"/>
        <w:jc w:val="left"/>
        <w:rPr>
          <w:rFonts w:hAnsi="宋体"/>
          <w:b/>
          <w:color w:val="auto"/>
          <w:sz w:val="44"/>
          <w:szCs w:val="44"/>
        </w:rPr>
      </w:pPr>
      <w:bookmarkStart w:id="12" w:name="_Toc123737885"/>
      <w:r>
        <w:rPr>
          <w:rFonts w:hint="eastAsia" w:hAnsi="宋体"/>
          <w:b/>
          <w:color w:val="auto"/>
          <w:sz w:val="44"/>
          <w:szCs w:val="44"/>
          <w:lang w:eastAsia="zh-CN"/>
        </w:rPr>
        <w:tab/>
      </w:r>
      <w:r>
        <w:rPr>
          <w:rFonts w:hint="eastAsia" w:hAnsi="宋体"/>
          <w:b/>
          <w:color w:val="auto"/>
          <w:sz w:val="44"/>
          <w:szCs w:val="44"/>
        </w:rPr>
        <w:t>目  录</w:t>
      </w:r>
      <w:r>
        <w:rPr>
          <w:rFonts w:hint="eastAsia" w:hAnsi="宋体"/>
          <w:b/>
          <w:color w:val="auto"/>
          <w:sz w:val="44"/>
          <w:szCs w:val="44"/>
          <w:lang w:eastAsia="zh-CN"/>
        </w:rPr>
        <w:tab/>
      </w:r>
    </w:p>
    <w:p>
      <w:pPr>
        <w:pStyle w:val="33"/>
        <w:tabs>
          <w:tab w:val="right" w:leader="dot" w:pos="8313"/>
        </w:tabs>
        <w:spacing w:line="600" w:lineRule="auto"/>
        <w:rPr>
          <w:color w:val="auto"/>
        </w:rPr>
      </w:pPr>
      <w:r>
        <w:rPr>
          <w:rFonts w:hAnsi="宋体"/>
          <w:color w:val="auto"/>
          <w:szCs w:val="18"/>
        </w:rPr>
        <w:fldChar w:fldCharType="begin"/>
      </w:r>
      <w:r>
        <w:rPr>
          <w:rFonts w:hAnsi="宋体"/>
          <w:color w:val="auto"/>
          <w:szCs w:val="18"/>
        </w:rPr>
        <w:instrText xml:space="preserve"> TOC \o "1-1" \h \z \u </w:instrText>
      </w:r>
      <w:r>
        <w:rPr>
          <w:rFonts w:hAnsi="宋体"/>
          <w:color w:val="auto"/>
          <w:szCs w:val="18"/>
        </w:rPr>
        <w:fldChar w:fldCharType="separate"/>
      </w:r>
      <w:r>
        <w:rPr>
          <w:rFonts w:hAnsi="宋体"/>
          <w:color w:val="auto"/>
          <w:szCs w:val="18"/>
        </w:rPr>
        <w:fldChar w:fldCharType="begin"/>
      </w:r>
      <w:r>
        <w:rPr>
          <w:rFonts w:hAnsi="宋体"/>
          <w:color w:val="auto"/>
          <w:szCs w:val="18"/>
        </w:rPr>
        <w:instrText xml:space="preserve"> HYPERLINK \l _Toc8797 </w:instrText>
      </w:r>
      <w:r>
        <w:rPr>
          <w:rFonts w:hAnsi="宋体"/>
          <w:color w:val="auto"/>
          <w:szCs w:val="18"/>
        </w:rPr>
        <w:fldChar w:fldCharType="separate"/>
      </w:r>
      <w:r>
        <w:rPr>
          <w:rFonts w:hint="eastAsia"/>
          <w:color w:val="auto"/>
        </w:rPr>
        <w:t xml:space="preserve">第一部分  </w:t>
      </w:r>
      <w:r>
        <w:rPr>
          <w:color w:val="auto"/>
        </w:rPr>
        <w:t>竞争性谈判邀请</w:t>
      </w:r>
      <w:r>
        <w:rPr>
          <w:color w:val="auto"/>
        </w:rPr>
        <w:tab/>
      </w:r>
      <w:r>
        <w:rPr>
          <w:color w:val="auto"/>
        </w:rPr>
        <w:fldChar w:fldCharType="begin"/>
      </w:r>
      <w:r>
        <w:rPr>
          <w:color w:val="auto"/>
        </w:rPr>
        <w:instrText xml:space="preserve"> PAGEREF _Toc8797 </w:instrText>
      </w:r>
      <w:r>
        <w:rPr>
          <w:color w:val="auto"/>
        </w:rPr>
        <w:fldChar w:fldCharType="separate"/>
      </w:r>
      <w:r>
        <w:rPr>
          <w:color w:val="auto"/>
        </w:rPr>
        <w:t>2</w:t>
      </w:r>
      <w:r>
        <w:rPr>
          <w:color w:val="auto"/>
        </w:rPr>
        <w:fldChar w:fldCharType="end"/>
      </w:r>
      <w:r>
        <w:rPr>
          <w:rFonts w:hAnsi="宋体"/>
          <w:color w:val="auto"/>
          <w:szCs w:val="18"/>
        </w:rPr>
        <w:fldChar w:fldCharType="end"/>
      </w:r>
    </w:p>
    <w:p>
      <w:pPr>
        <w:pStyle w:val="33"/>
        <w:tabs>
          <w:tab w:val="right" w:leader="dot" w:pos="8313"/>
        </w:tabs>
        <w:spacing w:line="600" w:lineRule="auto"/>
        <w:rPr>
          <w:color w:val="auto"/>
        </w:rPr>
      </w:pPr>
      <w:r>
        <w:rPr>
          <w:color w:val="auto"/>
          <w:szCs w:val="18"/>
        </w:rPr>
        <w:fldChar w:fldCharType="begin"/>
      </w:r>
      <w:r>
        <w:rPr>
          <w:color w:val="auto"/>
          <w:szCs w:val="18"/>
        </w:rPr>
        <w:instrText xml:space="preserve"> HYPERLINK \l _Toc22074 </w:instrText>
      </w:r>
      <w:r>
        <w:rPr>
          <w:color w:val="auto"/>
          <w:szCs w:val="18"/>
        </w:rPr>
        <w:fldChar w:fldCharType="separate"/>
      </w:r>
      <w:r>
        <w:rPr>
          <w:rFonts w:hint="eastAsia"/>
          <w:color w:val="auto"/>
        </w:rPr>
        <w:t>第二部分  供应商谈判须知</w:t>
      </w:r>
      <w:r>
        <w:rPr>
          <w:color w:val="auto"/>
        </w:rPr>
        <w:tab/>
      </w:r>
      <w:r>
        <w:rPr>
          <w:color w:val="auto"/>
        </w:rPr>
        <w:fldChar w:fldCharType="begin"/>
      </w:r>
      <w:r>
        <w:rPr>
          <w:color w:val="auto"/>
        </w:rPr>
        <w:instrText xml:space="preserve"> PAGEREF _Toc22074 </w:instrText>
      </w:r>
      <w:r>
        <w:rPr>
          <w:color w:val="auto"/>
        </w:rPr>
        <w:fldChar w:fldCharType="separate"/>
      </w:r>
      <w:r>
        <w:rPr>
          <w:color w:val="auto"/>
        </w:rPr>
        <w:t>4</w:t>
      </w:r>
      <w:r>
        <w:rPr>
          <w:color w:val="auto"/>
        </w:rPr>
        <w:fldChar w:fldCharType="end"/>
      </w:r>
      <w:r>
        <w:rPr>
          <w:color w:val="auto"/>
          <w:szCs w:val="18"/>
        </w:rPr>
        <w:fldChar w:fldCharType="end"/>
      </w:r>
    </w:p>
    <w:p>
      <w:pPr>
        <w:pStyle w:val="33"/>
        <w:tabs>
          <w:tab w:val="right" w:leader="dot" w:pos="8313"/>
        </w:tabs>
        <w:spacing w:line="600" w:lineRule="auto"/>
        <w:rPr>
          <w:color w:val="auto"/>
        </w:rPr>
      </w:pPr>
      <w:r>
        <w:rPr>
          <w:color w:val="auto"/>
          <w:szCs w:val="18"/>
        </w:rPr>
        <w:fldChar w:fldCharType="begin"/>
      </w:r>
      <w:r>
        <w:rPr>
          <w:color w:val="auto"/>
          <w:szCs w:val="18"/>
        </w:rPr>
        <w:instrText xml:space="preserve"> HYPERLINK \l _Toc19943 </w:instrText>
      </w:r>
      <w:r>
        <w:rPr>
          <w:color w:val="auto"/>
          <w:szCs w:val="18"/>
        </w:rPr>
        <w:fldChar w:fldCharType="separate"/>
      </w:r>
      <w:r>
        <w:rPr>
          <w:rFonts w:hint="eastAsia"/>
          <w:color w:val="auto"/>
        </w:rPr>
        <w:t>第三部分  采购需求及确定邀请参加采购活动的供应商数量和方式</w:t>
      </w:r>
      <w:r>
        <w:rPr>
          <w:color w:val="auto"/>
        </w:rPr>
        <w:tab/>
      </w:r>
      <w:r>
        <w:rPr>
          <w:color w:val="auto"/>
        </w:rPr>
        <w:fldChar w:fldCharType="begin"/>
      </w:r>
      <w:r>
        <w:rPr>
          <w:color w:val="auto"/>
        </w:rPr>
        <w:instrText xml:space="preserve"> PAGEREF _Toc19943 </w:instrText>
      </w:r>
      <w:r>
        <w:rPr>
          <w:color w:val="auto"/>
        </w:rPr>
        <w:fldChar w:fldCharType="separate"/>
      </w:r>
      <w:r>
        <w:rPr>
          <w:color w:val="auto"/>
        </w:rPr>
        <w:t>15</w:t>
      </w:r>
      <w:r>
        <w:rPr>
          <w:color w:val="auto"/>
        </w:rPr>
        <w:fldChar w:fldCharType="end"/>
      </w:r>
      <w:r>
        <w:rPr>
          <w:color w:val="auto"/>
          <w:szCs w:val="18"/>
        </w:rPr>
        <w:fldChar w:fldCharType="end"/>
      </w:r>
    </w:p>
    <w:p>
      <w:pPr>
        <w:pStyle w:val="33"/>
        <w:tabs>
          <w:tab w:val="right" w:leader="dot" w:pos="8313"/>
        </w:tabs>
        <w:spacing w:line="600" w:lineRule="auto"/>
        <w:rPr>
          <w:color w:val="auto"/>
        </w:rPr>
      </w:pPr>
      <w:r>
        <w:rPr>
          <w:color w:val="auto"/>
          <w:szCs w:val="18"/>
        </w:rPr>
        <w:fldChar w:fldCharType="begin"/>
      </w:r>
      <w:r>
        <w:rPr>
          <w:color w:val="auto"/>
          <w:szCs w:val="18"/>
        </w:rPr>
        <w:instrText xml:space="preserve"> HYPERLINK \l _Toc28996 </w:instrText>
      </w:r>
      <w:r>
        <w:rPr>
          <w:color w:val="auto"/>
          <w:szCs w:val="18"/>
        </w:rPr>
        <w:fldChar w:fldCharType="separate"/>
      </w:r>
      <w:r>
        <w:rPr>
          <w:rFonts w:hint="eastAsia"/>
          <w:color w:val="auto"/>
        </w:rPr>
        <w:t>第四部分  供应商、货物、服务的资格条件要求</w:t>
      </w:r>
      <w:r>
        <w:rPr>
          <w:color w:val="auto"/>
        </w:rPr>
        <w:tab/>
      </w:r>
      <w:r>
        <w:rPr>
          <w:color w:val="auto"/>
        </w:rPr>
        <w:fldChar w:fldCharType="begin"/>
      </w:r>
      <w:r>
        <w:rPr>
          <w:color w:val="auto"/>
        </w:rPr>
        <w:instrText xml:space="preserve"> PAGEREF _Toc28996 </w:instrText>
      </w:r>
      <w:r>
        <w:rPr>
          <w:color w:val="auto"/>
        </w:rPr>
        <w:fldChar w:fldCharType="separate"/>
      </w:r>
      <w:r>
        <w:rPr>
          <w:color w:val="auto"/>
        </w:rPr>
        <w:t>16</w:t>
      </w:r>
      <w:r>
        <w:rPr>
          <w:color w:val="auto"/>
        </w:rPr>
        <w:fldChar w:fldCharType="end"/>
      </w:r>
      <w:r>
        <w:rPr>
          <w:color w:val="auto"/>
          <w:szCs w:val="18"/>
        </w:rPr>
        <w:fldChar w:fldCharType="end"/>
      </w:r>
    </w:p>
    <w:p>
      <w:pPr>
        <w:pStyle w:val="33"/>
        <w:tabs>
          <w:tab w:val="right" w:leader="dot" w:pos="8313"/>
        </w:tabs>
        <w:spacing w:line="600" w:lineRule="auto"/>
        <w:rPr>
          <w:color w:val="auto"/>
        </w:rPr>
      </w:pPr>
      <w:r>
        <w:rPr>
          <w:color w:val="auto"/>
          <w:szCs w:val="18"/>
        </w:rPr>
        <w:fldChar w:fldCharType="begin"/>
      </w:r>
      <w:r>
        <w:rPr>
          <w:color w:val="auto"/>
          <w:szCs w:val="18"/>
        </w:rPr>
        <w:instrText xml:space="preserve"> HYPERLINK \l _Toc23404 </w:instrText>
      </w:r>
      <w:r>
        <w:rPr>
          <w:color w:val="auto"/>
          <w:szCs w:val="18"/>
        </w:rPr>
        <w:fldChar w:fldCharType="separate"/>
      </w:r>
      <w:r>
        <w:rPr>
          <w:rFonts w:hint="eastAsia"/>
          <w:color w:val="auto"/>
        </w:rPr>
        <w:t xml:space="preserve">第五部分 </w:t>
      </w:r>
      <w:r>
        <w:rPr>
          <w:rFonts w:hint="eastAsia"/>
          <w:color w:val="auto"/>
          <w:lang w:val="en-US" w:eastAsia="zh-CN"/>
        </w:rPr>
        <w:t xml:space="preserve"> </w:t>
      </w:r>
      <w:r>
        <w:rPr>
          <w:rFonts w:hint="eastAsia"/>
          <w:color w:val="auto"/>
        </w:rPr>
        <w:t>供应商应当提供的资格证明材料</w:t>
      </w:r>
      <w:r>
        <w:rPr>
          <w:color w:val="auto"/>
        </w:rPr>
        <w:tab/>
      </w:r>
      <w:r>
        <w:rPr>
          <w:color w:val="auto"/>
        </w:rPr>
        <w:fldChar w:fldCharType="begin"/>
      </w:r>
      <w:r>
        <w:rPr>
          <w:color w:val="auto"/>
        </w:rPr>
        <w:instrText xml:space="preserve"> PAGEREF _Toc23404 </w:instrText>
      </w:r>
      <w:r>
        <w:rPr>
          <w:color w:val="auto"/>
        </w:rPr>
        <w:fldChar w:fldCharType="separate"/>
      </w:r>
      <w:r>
        <w:rPr>
          <w:color w:val="auto"/>
        </w:rPr>
        <w:t>18</w:t>
      </w:r>
      <w:r>
        <w:rPr>
          <w:color w:val="auto"/>
        </w:rPr>
        <w:fldChar w:fldCharType="end"/>
      </w:r>
      <w:r>
        <w:rPr>
          <w:color w:val="auto"/>
          <w:szCs w:val="18"/>
        </w:rPr>
        <w:fldChar w:fldCharType="end"/>
      </w:r>
    </w:p>
    <w:p>
      <w:pPr>
        <w:pStyle w:val="33"/>
        <w:tabs>
          <w:tab w:val="right" w:leader="dot" w:pos="8313"/>
        </w:tabs>
        <w:spacing w:line="600" w:lineRule="auto"/>
        <w:rPr>
          <w:color w:val="auto"/>
        </w:rPr>
      </w:pPr>
      <w:r>
        <w:rPr>
          <w:color w:val="auto"/>
          <w:szCs w:val="18"/>
        </w:rPr>
        <w:fldChar w:fldCharType="begin"/>
      </w:r>
      <w:r>
        <w:rPr>
          <w:color w:val="auto"/>
          <w:szCs w:val="18"/>
        </w:rPr>
        <w:instrText xml:space="preserve"> HYPERLINK \l _Toc1516 </w:instrText>
      </w:r>
      <w:r>
        <w:rPr>
          <w:color w:val="auto"/>
          <w:szCs w:val="18"/>
        </w:rPr>
        <w:fldChar w:fldCharType="separate"/>
      </w:r>
      <w:r>
        <w:rPr>
          <w:rFonts w:hint="eastAsia"/>
          <w:color w:val="auto"/>
        </w:rPr>
        <w:t>第六部分</w:t>
      </w:r>
      <w:r>
        <w:rPr>
          <w:rFonts w:hint="eastAsia"/>
          <w:color w:val="auto"/>
          <w:lang w:val="en-US" w:eastAsia="zh-CN"/>
        </w:rPr>
        <w:t xml:space="preserve">  </w:t>
      </w:r>
      <w:r>
        <w:rPr>
          <w:rFonts w:hint="eastAsia"/>
          <w:color w:val="auto"/>
        </w:rPr>
        <w:t>采购项目一般技术、服务和商务要求</w:t>
      </w:r>
      <w:r>
        <w:rPr>
          <w:color w:val="auto"/>
        </w:rPr>
        <w:tab/>
      </w:r>
      <w:r>
        <w:rPr>
          <w:color w:val="auto"/>
        </w:rPr>
        <w:fldChar w:fldCharType="begin"/>
      </w:r>
      <w:r>
        <w:rPr>
          <w:color w:val="auto"/>
        </w:rPr>
        <w:instrText xml:space="preserve"> PAGEREF _Toc1516 </w:instrText>
      </w:r>
      <w:r>
        <w:rPr>
          <w:color w:val="auto"/>
        </w:rPr>
        <w:fldChar w:fldCharType="separate"/>
      </w:r>
      <w:r>
        <w:rPr>
          <w:color w:val="auto"/>
        </w:rPr>
        <w:t>20</w:t>
      </w:r>
      <w:r>
        <w:rPr>
          <w:color w:val="auto"/>
        </w:rPr>
        <w:fldChar w:fldCharType="end"/>
      </w:r>
      <w:r>
        <w:rPr>
          <w:color w:val="auto"/>
          <w:szCs w:val="18"/>
        </w:rPr>
        <w:fldChar w:fldCharType="end"/>
      </w:r>
    </w:p>
    <w:p>
      <w:pPr>
        <w:pStyle w:val="33"/>
        <w:tabs>
          <w:tab w:val="right" w:leader="dot" w:pos="8313"/>
        </w:tabs>
        <w:spacing w:line="600" w:lineRule="auto"/>
        <w:rPr>
          <w:color w:val="auto"/>
        </w:rPr>
      </w:pPr>
      <w:r>
        <w:rPr>
          <w:color w:val="auto"/>
          <w:szCs w:val="18"/>
        </w:rPr>
        <w:fldChar w:fldCharType="begin"/>
      </w:r>
      <w:r>
        <w:rPr>
          <w:color w:val="auto"/>
          <w:szCs w:val="18"/>
        </w:rPr>
        <w:instrText xml:space="preserve"> HYPERLINK \l _Toc26835 </w:instrText>
      </w:r>
      <w:r>
        <w:rPr>
          <w:color w:val="auto"/>
          <w:szCs w:val="18"/>
        </w:rPr>
        <w:fldChar w:fldCharType="separate"/>
      </w:r>
      <w:r>
        <w:rPr>
          <w:rFonts w:hint="eastAsia"/>
          <w:color w:val="auto"/>
        </w:rPr>
        <w:t>第七部分</w:t>
      </w:r>
      <w:r>
        <w:rPr>
          <w:rFonts w:hint="eastAsia"/>
          <w:color w:val="auto"/>
          <w:lang w:val="en-US" w:eastAsia="zh-CN"/>
        </w:rPr>
        <w:t xml:space="preserve">  </w:t>
      </w:r>
      <w:r>
        <w:rPr>
          <w:rFonts w:hint="eastAsia"/>
          <w:color w:val="auto"/>
        </w:rPr>
        <w:t>体现满足采购需求、质量和服务相等的采购项目实质性要求</w:t>
      </w:r>
      <w:r>
        <w:rPr>
          <w:color w:val="auto"/>
        </w:rPr>
        <w:tab/>
      </w:r>
      <w:r>
        <w:rPr>
          <w:color w:val="auto"/>
        </w:rPr>
        <w:fldChar w:fldCharType="begin"/>
      </w:r>
      <w:r>
        <w:rPr>
          <w:color w:val="auto"/>
        </w:rPr>
        <w:instrText xml:space="preserve"> PAGEREF _Toc26835 </w:instrText>
      </w:r>
      <w:r>
        <w:rPr>
          <w:color w:val="auto"/>
        </w:rPr>
        <w:fldChar w:fldCharType="separate"/>
      </w:r>
      <w:r>
        <w:rPr>
          <w:color w:val="auto"/>
        </w:rPr>
        <w:t>30</w:t>
      </w:r>
      <w:r>
        <w:rPr>
          <w:color w:val="auto"/>
        </w:rPr>
        <w:fldChar w:fldCharType="end"/>
      </w:r>
      <w:r>
        <w:rPr>
          <w:color w:val="auto"/>
          <w:szCs w:val="18"/>
        </w:rPr>
        <w:fldChar w:fldCharType="end"/>
      </w:r>
    </w:p>
    <w:p>
      <w:pPr>
        <w:pStyle w:val="33"/>
        <w:tabs>
          <w:tab w:val="right" w:leader="dot" w:pos="8313"/>
        </w:tabs>
        <w:spacing w:line="600" w:lineRule="auto"/>
        <w:rPr>
          <w:color w:val="auto"/>
        </w:rPr>
      </w:pPr>
      <w:r>
        <w:rPr>
          <w:color w:val="auto"/>
          <w:szCs w:val="18"/>
        </w:rPr>
        <w:fldChar w:fldCharType="begin"/>
      </w:r>
      <w:r>
        <w:rPr>
          <w:color w:val="auto"/>
          <w:szCs w:val="18"/>
        </w:rPr>
        <w:instrText xml:space="preserve"> HYPERLINK \l _Toc29432 </w:instrText>
      </w:r>
      <w:r>
        <w:rPr>
          <w:color w:val="auto"/>
          <w:szCs w:val="18"/>
        </w:rPr>
        <w:fldChar w:fldCharType="separate"/>
      </w:r>
      <w:r>
        <w:rPr>
          <w:rFonts w:hint="eastAsia"/>
          <w:color w:val="auto"/>
        </w:rPr>
        <w:t>第八部分</w:t>
      </w:r>
      <w:r>
        <w:rPr>
          <w:rFonts w:hint="eastAsia"/>
          <w:color w:val="auto"/>
          <w:lang w:val="en-US" w:eastAsia="zh-CN"/>
        </w:rPr>
        <w:t xml:space="preserve"> </w:t>
      </w:r>
      <w:r>
        <w:rPr>
          <w:rFonts w:hint="eastAsia"/>
          <w:color w:val="auto"/>
        </w:rPr>
        <w:t xml:space="preserve"> 谈判内容、谈判过程中可能实质性变动的内容</w:t>
      </w:r>
      <w:r>
        <w:rPr>
          <w:color w:val="auto"/>
        </w:rPr>
        <w:tab/>
      </w:r>
      <w:r>
        <w:rPr>
          <w:color w:val="auto"/>
        </w:rPr>
        <w:fldChar w:fldCharType="begin"/>
      </w:r>
      <w:r>
        <w:rPr>
          <w:color w:val="auto"/>
        </w:rPr>
        <w:instrText xml:space="preserve"> PAGEREF _Toc29432 </w:instrText>
      </w:r>
      <w:r>
        <w:rPr>
          <w:color w:val="auto"/>
        </w:rPr>
        <w:fldChar w:fldCharType="separate"/>
      </w:r>
      <w:r>
        <w:rPr>
          <w:color w:val="auto"/>
        </w:rPr>
        <w:t>31</w:t>
      </w:r>
      <w:r>
        <w:rPr>
          <w:color w:val="auto"/>
        </w:rPr>
        <w:fldChar w:fldCharType="end"/>
      </w:r>
      <w:r>
        <w:rPr>
          <w:color w:val="auto"/>
          <w:szCs w:val="18"/>
        </w:rPr>
        <w:fldChar w:fldCharType="end"/>
      </w:r>
    </w:p>
    <w:p>
      <w:pPr>
        <w:pStyle w:val="33"/>
        <w:tabs>
          <w:tab w:val="right" w:leader="dot" w:pos="8313"/>
        </w:tabs>
        <w:spacing w:line="600" w:lineRule="auto"/>
        <w:rPr>
          <w:color w:val="auto"/>
        </w:rPr>
      </w:pPr>
      <w:r>
        <w:rPr>
          <w:color w:val="auto"/>
          <w:szCs w:val="18"/>
        </w:rPr>
        <w:fldChar w:fldCharType="begin"/>
      </w:r>
      <w:r>
        <w:rPr>
          <w:color w:val="auto"/>
          <w:szCs w:val="18"/>
        </w:rPr>
        <w:instrText xml:space="preserve"> HYPERLINK \l _Toc21450 </w:instrText>
      </w:r>
      <w:r>
        <w:rPr>
          <w:color w:val="auto"/>
          <w:szCs w:val="18"/>
        </w:rPr>
        <w:fldChar w:fldCharType="separate"/>
      </w:r>
      <w:r>
        <w:rPr>
          <w:rFonts w:hint="eastAsia"/>
          <w:color w:val="auto"/>
        </w:rPr>
        <w:t>第九部分  报价要求</w:t>
      </w:r>
      <w:r>
        <w:rPr>
          <w:color w:val="auto"/>
        </w:rPr>
        <w:tab/>
      </w:r>
      <w:r>
        <w:rPr>
          <w:color w:val="auto"/>
        </w:rPr>
        <w:fldChar w:fldCharType="begin"/>
      </w:r>
      <w:r>
        <w:rPr>
          <w:color w:val="auto"/>
        </w:rPr>
        <w:instrText xml:space="preserve"> PAGEREF _Toc21450 </w:instrText>
      </w:r>
      <w:r>
        <w:rPr>
          <w:color w:val="auto"/>
        </w:rPr>
        <w:fldChar w:fldCharType="separate"/>
      </w:r>
      <w:r>
        <w:rPr>
          <w:color w:val="auto"/>
        </w:rPr>
        <w:t>32</w:t>
      </w:r>
      <w:r>
        <w:rPr>
          <w:color w:val="auto"/>
        </w:rPr>
        <w:fldChar w:fldCharType="end"/>
      </w:r>
      <w:r>
        <w:rPr>
          <w:color w:val="auto"/>
          <w:szCs w:val="18"/>
        </w:rPr>
        <w:fldChar w:fldCharType="end"/>
      </w:r>
    </w:p>
    <w:p>
      <w:pPr>
        <w:pStyle w:val="33"/>
        <w:tabs>
          <w:tab w:val="right" w:leader="dot" w:pos="8313"/>
        </w:tabs>
        <w:spacing w:line="600" w:lineRule="auto"/>
        <w:rPr>
          <w:color w:val="auto"/>
        </w:rPr>
      </w:pPr>
      <w:r>
        <w:rPr>
          <w:color w:val="auto"/>
          <w:szCs w:val="18"/>
        </w:rPr>
        <w:fldChar w:fldCharType="begin"/>
      </w:r>
      <w:r>
        <w:rPr>
          <w:color w:val="auto"/>
          <w:szCs w:val="18"/>
        </w:rPr>
        <w:instrText xml:space="preserve"> HYPERLINK \l _Toc17863 </w:instrText>
      </w:r>
      <w:r>
        <w:rPr>
          <w:color w:val="auto"/>
          <w:szCs w:val="18"/>
        </w:rPr>
        <w:fldChar w:fldCharType="separate"/>
      </w:r>
      <w:r>
        <w:rPr>
          <w:rFonts w:hint="eastAsia"/>
          <w:color w:val="auto"/>
        </w:rPr>
        <w:t>第十部分</w:t>
      </w:r>
      <w:r>
        <w:rPr>
          <w:color w:val="auto"/>
        </w:rPr>
        <w:t xml:space="preserve">  </w:t>
      </w:r>
      <w:r>
        <w:rPr>
          <w:rFonts w:hint="eastAsia"/>
          <w:color w:val="auto"/>
        </w:rPr>
        <w:t>供应商响应文件编制要求</w:t>
      </w:r>
      <w:r>
        <w:rPr>
          <w:color w:val="auto"/>
        </w:rPr>
        <w:tab/>
      </w:r>
      <w:r>
        <w:rPr>
          <w:color w:val="auto"/>
        </w:rPr>
        <w:fldChar w:fldCharType="begin"/>
      </w:r>
      <w:r>
        <w:rPr>
          <w:color w:val="auto"/>
        </w:rPr>
        <w:instrText xml:space="preserve"> PAGEREF _Toc17863 </w:instrText>
      </w:r>
      <w:r>
        <w:rPr>
          <w:color w:val="auto"/>
        </w:rPr>
        <w:fldChar w:fldCharType="separate"/>
      </w:r>
      <w:r>
        <w:rPr>
          <w:color w:val="auto"/>
        </w:rPr>
        <w:t>33</w:t>
      </w:r>
      <w:r>
        <w:rPr>
          <w:color w:val="auto"/>
        </w:rPr>
        <w:fldChar w:fldCharType="end"/>
      </w:r>
      <w:r>
        <w:rPr>
          <w:color w:val="auto"/>
          <w:szCs w:val="18"/>
        </w:rPr>
        <w:fldChar w:fldCharType="end"/>
      </w:r>
    </w:p>
    <w:p>
      <w:pPr>
        <w:pStyle w:val="33"/>
        <w:tabs>
          <w:tab w:val="right" w:leader="dot" w:pos="8313"/>
        </w:tabs>
        <w:spacing w:line="600" w:lineRule="auto"/>
        <w:rPr>
          <w:color w:val="auto"/>
        </w:rPr>
      </w:pPr>
      <w:r>
        <w:rPr>
          <w:color w:val="auto"/>
          <w:szCs w:val="18"/>
        </w:rPr>
        <w:fldChar w:fldCharType="begin"/>
      </w:r>
      <w:r>
        <w:rPr>
          <w:color w:val="auto"/>
          <w:szCs w:val="18"/>
        </w:rPr>
        <w:instrText xml:space="preserve"> HYPERLINK \l _Toc15331 </w:instrText>
      </w:r>
      <w:r>
        <w:rPr>
          <w:color w:val="auto"/>
          <w:szCs w:val="18"/>
        </w:rPr>
        <w:fldChar w:fldCharType="separate"/>
      </w:r>
      <w:r>
        <w:rPr>
          <w:rFonts w:hint="eastAsia"/>
          <w:color w:val="auto"/>
        </w:rPr>
        <w:t>第十一部分</w:t>
      </w:r>
      <w:r>
        <w:rPr>
          <w:rFonts w:hint="eastAsia"/>
          <w:color w:val="auto"/>
          <w:lang w:val="en-US" w:eastAsia="zh-CN"/>
        </w:rPr>
        <w:t xml:space="preserve"> </w:t>
      </w:r>
      <w:r>
        <w:rPr>
          <w:rFonts w:hint="eastAsia"/>
          <w:color w:val="auto"/>
        </w:rPr>
        <w:t xml:space="preserve"> 供应商响应文件相关文书格式</w:t>
      </w:r>
      <w:r>
        <w:rPr>
          <w:color w:val="auto"/>
        </w:rPr>
        <w:tab/>
      </w:r>
      <w:r>
        <w:rPr>
          <w:color w:val="auto"/>
        </w:rPr>
        <w:fldChar w:fldCharType="begin"/>
      </w:r>
      <w:r>
        <w:rPr>
          <w:color w:val="auto"/>
        </w:rPr>
        <w:instrText xml:space="preserve"> PAGEREF _Toc15331 </w:instrText>
      </w:r>
      <w:r>
        <w:rPr>
          <w:color w:val="auto"/>
        </w:rPr>
        <w:fldChar w:fldCharType="separate"/>
      </w:r>
      <w:r>
        <w:rPr>
          <w:color w:val="auto"/>
        </w:rPr>
        <w:t>37</w:t>
      </w:r>
      <w:r>
        <w:rPr>
          <w:color w:val="auto"/>
        </w:rPr>
        <w:fldChar w:fldCharType="end"/>
      </w:r>
      <w:r>
        <w:rPr>
          <w:color w:val="auto"/>
          <w:szCs w:val="18"/>
        </w:rPr>
        <w:fldChar w:fldCharType="end"/>
      </w:r>
    </w:p>
    <w:p>
      <w:pPr>
        <w:pStyle w:val="33"/>
        <w:tabs>
          <w:tab w:val="right" w:leader="dot" w:pos="8313"/>
        </w:tabs>
        <w:spacing w:line="600" w:lineRule="auto"/>
        <w:rPr>
          <w:color w:val="auto"/>
        </w:rPr>
      </w:pPr>
      <w:r>
        <w:rPr>
          <w:color w:val="auto"/>
          <w:szCs w:val="18"/>
        </w:rPr>
        <w:fldChar w:fldCharType="begin"/>
      </w:r>
      <w:r>
        <w:rPr>
          <w:color w:val="auto"/>
          <w:szCs w:val="18"/>
        </w:rPr>
        <w:instrText xml:space="preserve"> HYPERLINK \l _Toc6400 </w:instrText>
      </w:r>
      <w:r>
        <w:rPr>
          <w:color w:val="auto"/>
          <w:szCs w:val="18"/>
        </w:rPr>
        <w:fldChar w:fldCharType="separate"/>
      </w:r>
      <w:r>
        <w:rPr>
          <w:rFonts w:hint="eastAsia"/>
          <w:color w:val="auto"/>
        </w:rPr>
        <w:t>第十二部分</w:t>
      </w:r>
      <w:r>
        <w:rPr>
          <w:rFonts w:hint="eastAsia"/>
          <w:color w:val="auto"/>
          <w:lang w:val="en-US" w:eastAsia="zh-CN"/>
        </w:rPr>
        <w:t xml:space="preserve"> </w:t>
      </w:r>
      <w:r>
        <w:rPr>
          <w:rFonts w:hint="eastAsia"/>
          <w:color w:val="auto"/>
        </w:rPr>
        <w:t xml:space="preserve"> 评审程序、评审方法、评审标准</w:t>
      </w:r>
      <w:r>
        <w:rPr>
          <w:color w:val="auto"/>
        </w:rPr>
        <w:tab/>
      </w:r>
      <w:r>
        <w:rPr>
          <w:color w:val="auto"/>
        </w:rPr>
        <w:fldChar w:fldCharType="begin"/>
      </w:r>
      <w:r>
        <w:rPr>
          <w:color w:val="auto"/>
        </w:rPr>
        <w:instrText xml:space="preserve"> PAGEREF _Toc6400 </w:instrText>
      </w:r>
      <w:r>
        <w:rPr>
          <w:color w:val="auto"/>
        </w:rPr>
        <w:fldChar w:fldCharType="separate"/>
      </w:r>
      <w:r>
        <w:rPr>
          <w:color w:val="auto"/>
        </w:rPr>
        <w:t>56</w:t>
      </w:r>
      <w:r>
        <w:rPr>
          <w:color w:val="auto"/>
        </w:rPr>
        <w:fldChar w:fldCharType="end"/>
      </w:r>
      <w:r>
        <w:rPr>
          <w:color w:val="auto"/>
          <w:szCs w:val="18"/>
        </w:rPr>
        <w:fldChar w:fldCharType="end"/>
      </w:r>
    </w:p>
    <w:p>
      <w:pPr>
        <w:pStyle w:val="33"/>
        <w:tabs>
          <w:tab w:val="right" w:leader="dot" w:pos="8313"/>
        </w:tabs>
        <w:spacing w:line="600" w:lineRule="auto"/>
        <w:rPr>
          <w:color w:val="auto"/>
        </w:rPr>
      </w:pPr>
      <w:r>
        <w:rPr>
          <w:color w:val="auto"/>
          <w:szCs w:val="18"/>
        </w:rPr>
        <w:fldChar w:fldCharType="begin"/>
      </w:r>
      <w:r>
        <w:rPr>
          <w:color w:val="auto"/>
          <w:szCs w:val="18"/>
        </w:rPr>
        <w:instrText xml:space="preserve"> HYPERLINK \l _Toc6216 </w:instrText>
      </w:r>
      <w:r>
        <w:rPr>
          <w:color w:val="auto"/>
          <w:szCs w:val="18"/>
        </w:rPr>
        <w:fldChar w:fldCharType="separate"/>
      </w:r>
      <w:r>
        <w:rPr>
          <w:rFonts w:hint="eastAsia"/>
          <w:color w:val="auto"/>
        </w:rPr>
        <w:t>第十三部分</w:t>
      </w:r>
      <w:r>
        <w:rPr>
          <w:rFonts w:hint="eastAsia"/>
          <w:color w:val="auto"/>
          <w:lang w:val="en-US" w:eastAsia="zh-CN"/>
        </w:rPr>
        <w:t xml:space="preserve"> </w:t>
      </w:r>
      <w:r>
        <w:rPr>
          <w:rFonts w:hint="eastAsia"/>
          <w:color w:val="auto"/>
        </w:rPr>
        <w:t xml:space="preserve"> 采购合同</w:t>
      </w:r>
      <w:r>
        <w:rPr>
          <w:color w:val="auto"/>
        </w:rPr>
        <w:tab/>
      </w:r>
      <w:r>
        <w:rPr>
          <w:color w:val="auto"/>
        </w:rPr>
        <w:fldChar w:fldCharType="begin"/>
      </w:r>
      <w:r>
        <w:rPr>
          <w:color w:val="auto"/>
        </w:rPr>
        <w:instrText xml:space="preserve"> PAGEREF _Toc6216 </w:instrText>
      </w:r>
      <w:r>
        <w:rPr>
          <w:color w:val="auto"/>
        </w:rPr>
        <w:fldChar w:fldCharType="separate"/>
      </w:r>
      <w:r>
        <w:rPr>
          <w:color w:val="auto"/>
        </w:rPr>
        <w:t>63</w:t>
      </w:r>
      <w:r>
        <w:rPr>
          <w:color w:val="auto"/>
        </w:rPr>
        <w:fldChar w:fldCharType="end"/>
      </w:r>
      <w:r>
        <w:rPr>
          <w:color w:val="auto"/>
          <w:szCs w:val="18"/>
        </w:rPr>
        <w:fldChar w:fldCharType="end"/>
      </w:r>
    </w:p>
    <w:p>
      <w:pPr>
        <w:pStyle w:val="33"/>
        <w:tabs>
          <w:tab w:val="right" w:leader="dot" w:pos="8313"/>
        </w:tabs>
        <w:spacing w:line="600" w:lineRule="auto"/>
        <w:rPr>
          <w:color w:val="auto"/>
        </w:rPr>
      </w:pPr>
      <w:r>
        <w:rPr>
          <w:color w:val="auto"/>
          <w:szCs w:val="18"/>
        </w:rPr>
        <w:fldChar w:fldCharType="begin"/>
      </w:r>
      <w:r>
        <w:rPr>
          <w:color w:val="auto"/>
          <w:szCs w:val="18"/>
        </w:rPr>
        <w:instrText xml:space="preserve"> HYPERLINK \l _Toc7613 </w:instrText>
      </w:r>
      <w:r>
        <w:rPr>
          <w:color w:val="auto"/>
          <w:szCs w:val="18"/>
        </w:rPr>
        <w:fldChar w:fldCharType="separate"/>
      </w:r>
      <w:r>
        <w:rPr>
          <w:rFonts w:hint="eastAsia"/>
          <w:color w:val="auto"/>
        </w:rPr>
        <w:t>第十四部分  采购项目履约验收标准和要求</w:t>
      </w:r>
      <w:r>
        <w:rPr>
          <w:color w:val="auto"/>
        </w:rPr>
        <w:tab/>
      </w:r>
      <w:r>
        <w:rPr>
          <w:color w:val="auto"/>
        </w:rPr>
        <w:fldChar w:fldCharType="begin"/>
      </w:r>
      <w:r>
        <w:rPr>
          <w:color w:val="auto"/>
        </w:rPr>
        <w:instrText xml:space="preserve"> PAGEREF _Toc7613 </w:instrText>
      </w:r>
      <w:r>
        <w:rPr>
          <w:color w:val="auto"/>
        </w:rPr>
        <w:fldChar w:fldCharType="separate"/>
      </w:r>
      <w:r>
        <w:rPr>
          <w:color w:val="auto"/>
        </w:rPr>
        <w:t>67</w:t>
      </w:r>
      <w:r>
        <w:rPr>
          <w:color w:val="auto"/>
        </w:rPr>
        <w:fldChar w:fldCharType="end"/>
      </w:r>
      <w:r>
        <w:rPr>
          <w:color w:val="auto"/>
          <w:szCs w:val="18"/>
        </w:rPr>
        <w:fldChar w:fldCharType="end"/>
      </w:r>
    </w:p>
    <w:p>
      <w:pPr>
        <w:pStyle w:val="33"/>
        <w:tabs>
          <w:tab w:val="right" w:leader="dot" w:pos="8313"/>
        </w:tabs>
        <w:spacing w:line="600" w:lineRule="auto"/>
        <w:rPr>
          <w:color w:val="auto"/>
        </w:rPr>
      </w:pPr>
      <w:r>
        <w:rPr>
          <w:color w:val="auto"/>
          <w:szCs w:val="18"/>
        </w:rPr>
        <w:fldChar w:fldCharType="begin"/>
      </w:r>
      <w:r>
        <w:rPr>
          <w:color w:val="auto"/>
          <w:szCs w:val="18"/>
        </w:rPr>
        <w:instrText xml:space="preserve"> HYPERLINK \l _Toc18736 </w:instrText>
      </w:r>
      <w:r>
        <w:rPr>
          <w:color w:val="auto"/>
          <w:szCs w:val="18"/>
        </w:rPr>
        <w:fldChar w:fldCharType="separate"/>
      </w:r>
      <w:r>
        <w:rPr>
          <w:rFonts w:hint="eastAsia"/>
          <w:bCs/>
          <w:color w:val="auto"/>
          <w:szCs w:val="32"/>
          <w:highlight w:val="none"/>
        </w:rPr>
        <w:t>第十五部分  保证金退还申请表(参考格式)</w:t>
      </w:r>
      <w:r>
        <w:rPr>
          <w:color w:val="auto"/>
        </w:rPr>
        <w:tab/>
      </w:r>
      <w:r>
        <w:rPr>
          <w:color w:val="auto"/>
        </w:rPr>
        <w:fldChar w:fldCharType="begin"/>
      </w:r>
      <w:r>
        <w:rPr>
          <w:color w:val="auto"/>
        </w:rPr>
        <w:instrText xml:space="preserve"> PAGEREF _Toc18736 </w:instrText>
      </w:r>
      <w:r>
        <w:rPr>
          <w:color w:val="auto"/>
        </w:rPr>
        <w:fldChar w:fldCharType="separate"/>
      </w:r>
      <w:r>
        <w:rPr>
          <w:color w:val="auto"/>
        </w:rPr>
        <w:t>68</w:t>
      </w:r>
      <w:r>
        <w:rPr>
          <w:color w:val="auto"/>
        </w:rPr>
        <w:fldChar w:fldCharType="end"/>
      </w:r>
      <w:r>
        <w:rPr>
          <w:color w:val="auto"/>
          <w:szCs w:val="18"/>
        </w:rPr>
        <w:fldChar w:fldCharType="end"/>
      </w:r>
    </w:p>
    <w:p>
      <w:pPr>
        <w:pStyle w:val="3"/>
        <w:spacing w:before="0" w:after="0" w:line="600" w:lineRule="auto"/>
        <w:rPr>
          <w:color w:val="auto"/>
          <w:szCs w:val="18"/>
        </w:rPr>
        <w:sectPr>
          <w:headerReference r:id="rId6" w:type="default"/>
          <w:footerReference r:id="rId7" w:type="default"/>
          <w:pgSz w:w="11907" w:h="16840"/>
          <w:pgMar w:top="1440" w:right="1797" w:bottom="1440" w:left="1797" w:header="851" w:footer="992" w:gutter="0"/>
          <w:pgNumType w:fmt="decimal" w:start="1"/>
          <w:cols w:space="720" w:num="1"/>
          <w:docGrid w:linePitch="312" w:charSpace="0"/>
        </w:sectPr>
      </w:pPr>
    </w:p>
    <w:p>
      <w:pPr>
        <w:pStyle w:val="3"/>
        <w:spacing w:before="0" w:after="0" w:line="600" w:lineRule="auto"/>
        <w:rPr>
          <w:color w:val="auto"/>
          <w:szCs w:val="18"/>
        </w:rPr>
      </w:pPr>
      <w:r>
        <w:rPr>
          <w:color w:val="auto"/>
          <w:szCs w:val="18"/>
        </w:rPr>
        <w:fldChar w:fldCharType="end"/>
      </w:r>
      <w:bookmarkStart w:id="13" w:name="_Toc532292759"/>
      <w:bookmarkStart w:id="14" w:name="_Toc532292561"/>
      <w:bookmarkStart w:id="15" w:name="_Toc534008341"/>
      <w:bookmarkStart w:id="16" w:name="_Toc532877811"/>
      <w:bookmarkStart w:id="17" w:name="_Toc430773892"/>
      <w:bookmarkStart w:id="18" w:name="_Toc101338317"/>
      <w:bookmarkStart w:id="19" w:name="_Toc532292479"/>
      <w:bookmarkStart w:id="20" w:name="_Toc8797"/>
      <w:bookmarkStart w:id="21" w:name="_Toc462929203"/>
      <w:r>
        <w:rPr>
          <w:rFonts w:hint="eastAsia"/>
          <w:color w:val="auto"/>
        </w:rPr>
        <w:t>第一部分</w:t>
      </w:r>
      <w:bookmarkEnd w:id="12"/>
      <w:bookmarkEnd w:id="13"/>
      <w:bookmarkEnd w:id="14"/>
      <w:bookmarkEnd w:id="15"/>
      <w:bookmarkEnd w:id="16"/>
      <w:bookmarkEnd w:id="17"/>
      <w:bookmarkEnd w:id="18"/>
      <w:bookmarkEnd w:id="19"/>
      <w:bookmarkStart w:id="22" w:name="_Hlt101259910"/>
      <w:bookmarkEnd w:id="22"/>
      <w:r>
        <w:rPr>
          <w:rFonts w:hint="eastAsia"/>
          <w:color w:val="auto"/>
        </w:rPr>
        <w:t xml:space="preserve">  </w:t>
      </w:r>
      <w:r>
        <w:rPr>
          <w:color w:val="auto"/>
        </w:rPr>
        <w:t>竞争性谈判邀请</w:t>
      </w:r>
      <w:bookmarkEnd w:id="20"/>
      <w:bookmarkEnd w:id="21"/>
    </w:p>
    <w:p>
      <w:pPr>
        <w:spacing w:line="360" w:lineRule="auto"/>
        <w:ind w:firstLine="480" w:firstLineChars="200"/>
        <w:jc w:val="left"/>
        <w:rPr>
          <w:rFonts w:hAnsi="宋体" w:cs="宋体"/>
          <w:color w:val="auto"/>
          <w:sz w:val="24"/>
          <w:szCs w:val="24"/>
        </w:rPr>
      </w:pPr>
      <w:r>
        <w:rPr>
          <w:rFonts w:hint="eastAsia" w:hAnsi="宋体" w:cs="宋体"/>
          <w:color w:val="auto"/>
          <w:sz w:val="24"/>
          <w:szCs w:val="24"/>
          <w:lang w:eastAsia="zh-CN"/>
        </w:rPr>
        <w:t>四川利阳招投标代理有限公司</w:t>
      </w:r>
      <w:r>
        <w:rPr>
          <w:rFonts w:hint="eastAsia" w:hAnsi="宋体" w:cs="宋体"/>
          <w:color w:val="auto"/>
          <w:sz w:val="24"/>
          <w:szCs w:val="24"/>
        </w:rPr>
        <w:t>（以下简称“采购代理机构”）受威远投资控股集团有限责任公司（以下简称“采购人”）的委托，拟对“</w:t>
      </w:r>
      <w:r>
        <w:rPr>
          <w:rFonts w:hint="eastAsia" w:hAnsi="宋体" w:cs="宋体"/>
          <w:color w:val="auto"/>
          <w:sz w:val="24"/>
          <w:szCs w:val="24"/>
          <w:u w:val="single"/>
          <w:lang w:eastAsia="zh-CN"/>
        </w:rPr>
        <w:t>连界镇污水处理厂化验室办公设备及器具和常规药剂采购项目</w:t>
      </w:r>
      <w:r>
        <w:rPr>
          <w:rFonts w:hint="eastAsia" w:hAnsi="宋体" w:cs="宋体"/>
          <w:color w:val="auto"/>
          <w:sz w:val="24"/>
          <w:szCs w:val="24"/>
        </w:rPr>
        <w:t>”采用竞争性谈判方式进行采购，特通过公告形式邀请供应商参加该项目的竞争性谈判。</w:t>
      </w:r>
    </w:p>
    <w:p>
      <w:pPr>
        <w:numPr>
          <w:ilvl w:val="0"/>
          <w:numId w:val="1"/>
        </w:numPr>
        <w:spacing w:line="360" w:lineRule="auto"/>
        <w:ind w:left="1653" w:leftChars="0" w:hanging="1653" w:hangingChars="686"/>
        <w:rPr>
          <w:rFonts w:hint="eastAsia"/>
        </w:rPr>
      </w:pPr>
      <w:r>
        <w:rPr>
          <w:rFonts w:hint="eastAsia" w:hAnsi="宋体"/>
          <w:b/>
          <w:color w:val="auto"/>
          <w:sz w:val="24"/>
        </w:rPr>
        <w:t>项目编号：</w:t>
      </w:r>
      <w:r>
        <w:rPr>
          <w:rFonts w:hint="eastAsia" w:hAnsi="宋体"/>
          <w:b/>
          <w:color w:val="auto"/>
          <w:sz w:val="24"/>
          <w:lang w:val="en-US" w:eastAsia="zh-CN"/>
        </w:rPr>
        <w:t>SCLY2018-TP004</w:t>
      </w:r>
    </w:p>
    <w:p>
      <w:pPr>
        <w:spacing w:line="360" w:lineRule="auto"/>
        <w:ind w:left="1687" w:hanging="1687" w:hangingChars="700"/>
        <w:rPr>
          <w:rFonts w:hint="eastAsia" w:hAnsi="宋体"/>
          <w:b/>
          <w:color w:val="auto"/>
          <w:sz w:val="24"/>
        </w:rPr>
      </w:pPr>
      <w:r>
        <w:rPr>
          <w:rFonts w:hint="eastAsia" w:hAnsi="宋体"/>
          <w:b/>
          <w:color w:val="auto"/>
          <w:sz w:val="24"/>
          <w:lang w:eastAsia="zh-CN"/>
        </w:rPr>
        <w:t>二、</w:t>
      </w:r>
      <w:r>
        <w:rPr>
          <w:rFonts w:hint="eastAsia" w:hAnsi="宋体"/>
          <w:b/>
          <w:color w:val="auto"/>
          <w:sz w:val="24"/>
        </w:rPr>
        <w:t>项目名称：</w:t>
      </w:r>
      <w:r>
        <w:rPr>
          <w:rFonts w:hint="eastAsia" w:hAnsi="宋体"/>
          <w:b/>
          <w:color w:val="auto"/>
          <w:sz w:val="24"/>
          <w:lang w:eastAsia="zh-CN"/>
        </w:rPr>
        <w:t>连界镇污水处理厂化验室办公设备及器具和常规药剂采购项目</w:t>
      </w:r>
    </w:p>
    <w:p>
      <w:pPr>
        <w:spacing w:line="360" w:lineRule="auto"/>
        <w:rPr>
          <w:rFonts w:hAnsi="宋体"/>
          <w:bCs/>
          <w:color w:val="auto"/>
          <w:sz w:val="24"/>
        </w:rPr>
      </w:pPr>
      <w:r>
        <w:rPr>
          <w:rFonts w:hint="eastAsia" w:hAnsi="宋体"/>
          <w:b/>
          <w:color w:val="auto"/>
          <w:sz w:val="24"/>
        </w:rPr>
        <w:t>三、资金来源：</w:t>
      </w:r>
      <w:r>
        <w:rPr>
          <w:rFonts w:hint="eastAsia" w:hAnsi="宋体"/>
          <w:bCs/>
          <w:color w:val="auto"/>
          <w:sz w:val="24"/>
          <w:lang w:eastAsia="zh-CN"/>
        </w:rPr>
        <w:t>自由</w:t>
      </w:r>
      <w:r>
        <w:rPr>
          <w:rFonts w:hint="eastAsia" w:hAnsi="宋体"/>
          <w:bCs/>
          <w:color w:val="auto"/>
          <w:sz w:val="24"/>
        </w:rPr>
        <w:t>资金，已落实。</w:t>
      </w:r>
    </w:p>
    <w:p>
      <w:pPr>
        <w:spacing w:line="360" w:lineRule="auto"/>
        <w:rPr>
          <w:rFonts w:hAnsi="宋体" w:cs="宋体"/>
          <w:color w:val="auto"/>
          <w:sz w:val="24"/>
          <w:szCs w:val="24"/>
        </w:rPr>
      </w:pPr>
      <w:r>
        <w:rPr>
          <w:rFonts w:hint="eastAsia" w:hAnsi="宋体"/>
          <w:b/>
          <w:color w:val="auto"/>
          <w:sz w:val="24"/>
          <w:szCs w:val="24"/>
        </w:rPr>
        <w:t>四、采购内容：</w:t>
      </w:r>
      <w:r>
        <w:rPr>
          <w:rFonts w:hint="eastAsia" w:hAnsi="宋体" w:cs="宋体"/>
          <w:color w:val="auto"/>
          <w:sz w:val="24"/>
          <w:szCs w:val="24"/>
        </w:rPr>
        <w:t>本项目共</w:t>
      </w:r>
      <w:r>
        <w:rPr>
          <w:rFonts w:hint="eastAsia" w:hAnsi="宋体" w:cs="宋体"/>
          <w:color w:val="auto"/>
          <w:sz w:val="24"/>
          <w:szCs w:val="24"/>
          <w:lang w:val="en-US" w:eastAsia="zh-CN"/>
        </w:rPr>
        <w:t>2</w:t>
      </w:r>
      <w:r>
        <w:rPr>
          <w:rFonts w:hint="eastAsia" w:hAnsi="宋体" w:cs="宋体"/>
          <w:color w:val="auto"/>
          <w:sz w:val="24"/>
          <w:szCs w:val="24"/>
        </w:rPr>
        <w:t>个包</w:t>
      </w:r>
      <w:r>
        <w:rPr>
          <w:rFonts w:hint="eastAsia" w:hAnsi="宋体" w:cs="宋体"/>
          <w:b/>
          <w:bCs/>
          <w:color w:val="auto"/>
          <w:sz w:val="24"/>
          <w:szCs w:val="24"/>
          <w:lang w:eastAsia="zh-CN"/>
        </w:rPr>
        <w:t>（</w:t>
      </w:r>
      <w:r>
        <w:rPr>
          <w:rFonts w:hint="eastAsia" w:hAnsi="宋体" w:cs="宋体"/>
          <w:b/>
          <w:bCs/>
          <w:color w:val="auto"/>
          <w:sz w:val="24"/>
          <w:szCs w:val="24"/>
          <w:lang w:eastAsia="zh-CN"/>
        </w:rPr>
        <w:t>第一包：办公家具采购；第二包：连界镇污水处理厂化验室布局设计、主要设备及器具和常规药剂采购）</w:t>
      </w:r>
      <w:r>
        <w:rPr>
          <w:rFonts w:hint="eastAsia" w:hAnsi="宋体" w:cs="宋体"/>
          <w:color w:val="auto"/>
          <w:sz w:val="24"/>
          <w:szCs w:val="24"/>
        </w:rPr>
        <w:t>；</w:t>
      </w:r>
      <w:r>
        <w:rPr>
          <w:rFonts w:hint="eastAsia" w:hAnsi="宋体" w:cs="宋体"/>
          <w:color w:val="auto"/>
          <w:sz w:val="24"/>
          <w:szCs w:val="24"/>
          <w:lang w:eastAsia="zh-CN"/>
        </w:rPr>
        <w:t>第一包</w:t>
      </w:r>
      <w:r>
        <w:rPr>
          <w:rFonts w:hint="eastAsia" w:hAnsi="宋体" w:cs="宋体"/>
          <w:color w:val="auto"/>
          <w:sz w:val="24"/>
          <w:szCs w:val="24"/>
        </w:rPr>
        <w:t>采购预算：</w:t>
      </w:r>
      <w:r>
        <w:rPr>
          <w:rFonts w:hint="eastAsia" w:hAnsi="宋体" w:cs="宋体"/>
          <w:color w:val="auto"/>
          <w:sz w:val="24"/>
          <w:szCs w:val="24"/>
          <w:lang w:val="en-US" w:eastAsia="zh-CN"/>
        </w:rPr>
        <w:t>78520.00</w:t>
      </w:r>
      <w:r>
        <w:rPr>
          <w:rFonts w:hAnsi="宋体" w:cs="宋体"/>
          <w:color w:val="auto"/>
          <w:sz w:val="24"/>
          <w:szCs w:val="24"/>
        </w:rPr>
        <w:t>元</w:t>
      </w:r>
      <w:r>
        <w:rPr>
          <w:rFonts w:hint="eastAsia" w:hAnsi="宋体" w:cs="宋体"/>
          <w:color w:val="auto"/>
          <w:sz w:val="24"/>
          <w:szCs w:val="24"/>
          <w:lang w:eastAsia="zh-CN"/>
        </w:rPr>
        <w:t>；第二包采购预算：</w:t>
      </w:r>
      <w:r>
        <w:rPr>
          <w:rFonts w:hint="eastAsia" w:hAnsi="宋体" w:cs="宋体"/>
          <w:color w:val="auto"/>
          <w:sz w:val="24"/>
          <w:szCs w:val="24"/>
          <w:lang w:val="en-US" w:eastAsia="zh-CN"/>
        </w:rPr>
        <w:t>149000.00元，</w:t>
      </w:r>
      <w:r>
        <w:rPr>
          <w:rFonts w:hint="eastAsia" w:hAnsi="宋体"/>
          <w:color w:val="auto"/>
          <w:sz w:val="24"/>
          <w:szCs w:val="24"/>
        </w:rPr>
        <w:t>具体要求详见</w:t>
      </w:r>
      <w:r>
        <w:rPr>
          <w:rFonts w:hint="eastAsia" w:hAnsi="宋体"/>
          <w:color w:val="auto"/>
          <w:sz w:val="24"/>
          <w:szCs w:val="18"/>
        </w:rPr>
        <w:t>第六部分 采购项目一般技术和商务要求</w:t>
      </w:r>
      <w:r>
        <w:rPr>
          <w:rFonts w:hint="eastAsia" w:hAnsi="宋体" w:cs="宋体"/>
          <w:color w:val="auto"/>
          <w:sz w:val="24"/>
          <w:szCs w:val="24"/>
        </w:rPr>
        <w:t>。</w:t>
      </w:r>
    </w:p>
    <w:p>
      <w:pPr>
        <w:spacing w:line="360" w:lineRule="auto"/>
        <w:rPr>
          <w:rFonts w:hAnsi="宋体"/>
          <w:b/>
          <w:color w:val="auto"/>
          <w:sz w:val="24"/>
          <w:szCs w:val="24"/>
        </w:rPr>
      </w:pPr>
      <w:r>
        <w:rPr>
          <w:rFonts w:hint="eastAsia" w:hAnsi="宋体"/>
          <w:b/>
          <w:color w:val="auto"/>
          <w:sz w:val="24"/>
          <w:szCs w:val="24"/>
        </w:rPr>
        <w:t>五、供应商资格要求：</w:t>
      </w:r>
    </w:p>
    <w:p>
      <w:pPr>
        <w:pStyle w:val="257"/>
        <w:ind w:firstLine="0" w:firstLineChars="0"/>
        <w:rPr>
          <w:rFonts w:hAnsi="宋体" w:cs="宋体"/>
          <w:b/>
          <w:color w:val="auto"/>
          <w:sz w:val="24"/>
        </w:rPr>
      </w:pPr>
      <w:r>
        <w:rPr>
          <w:rFonts w:hint="eastAsia" w:hAnsi="宋体" w:cs="宋体"/>
          <w:b/>
          <w:color w:val="auto"/>
          <w:sz w:val="24"/>
        </w:rPr>
        <w:t>1.供应商应具备《中华人民共和国政府采购法》第二十二条规定的下列条件：</w:t>
      </w:r>
    </w:p>
    <w:p>
      <w:pPr>
        <w:autoSpaceDN w:val="0"/>
        <w:spacing w:line="360" w:lineRule="auto"/>
        <w:rPr>
          <w:rFonts w:hAnsi="宋体" w:cs="宋体"/>
          <w:color w:val="auto"/>
          <w:sz w:val="24"/>
          <w:szCs w:val="28"/>
        </w:rPr>
      </w:pPr>
      <w:r>
        <w:rPr>
          <w:rFonts w:hint="eastAsia" w:hAnsi="宋体" w:cs="宋体"/>
          <w:color w:val="auto"/>
          <w:sz w:val="24"/>
          <w:szCs w:val="28"/>
        </w:rPr>
        <w:t>1.1</w:t>
      </w:r>
      <w:r>
        <w:rPr>
          <w:rFonts w:hint="eastAsia" w:hAnsi="宋体" w:cs="宋体"/>
          <w:color w:val="auto"/>
          <w:sz w:val="24"/>
          <w:szCs w:val="28"/>
          <w:lang w:val="en-US" w:eastAsia="zh-CN"/>
        </w:rPr>
        <w:t xml:space="preserve"> </w:t>
      </w:r>
      <w:r>
        <w:rPr>
          <w:rFonts w:hint="eastAsia" w:hAnsi="宋体" w:cs="宋体"/>
          <w:color w:val="auto"/>
          <w:sz w:val="24"/>
          <w:szCs w:val="28"/>
        </w:rPr>
        <w:t>具有独立承担民事责任的能力；</w:t>
      </w:r>
    </w:p>
    <w:p>
      <w:pPr>
        <w:autoSpaceDN w:val="0"/>
        <w:spacing w:line="360" w:lineRule="auto"/>
        <w:rPr>
          <w:rFonts w:hAnsi="宋体" w:cs="宋体"/>
          <w:color w:val="auto"/>
          <w:sz w:val="24"/>
          <w:szCs w:val="28"/>
        </w:rPr>
      </w:pPr>
      <w:r>
        <w:rPr>
          <w:rFonts w:hint="eastAsia" w:hAnsi="宋体" w:cs="宋体"/>
          <w:color w:val="auto"/>
          <w:sz w:val="24"/>
          <w:szCs w:val="28"/>
        </w:rPr>
        <w:t>1.2</w:t>
      </w:r>
      <w:r>
        <w:rPr>
          <w:rFonts w:hint="eastAsia" w:hAnsi="宋体" w:cs="宋体"/>
          <w:color w:val="auto"/>
          <w:sz w:val="24"/>
          <w:szCs w:val="28"/>
          <w:lang w:val="en-US" w:eastAsia="zh-CN"/>
        </w:rPr>
        <w:t xml:space="preserve"> </w:t>
      </w:r>
      <w:r>
        <w:rPr>
          <w:rFonts w:hint="eastAsia" w:hAnsi="宋体" w:cs="宋体"/>
          <w:color w:val="auto"/>
          <w:sz w:val="24"/>
          <w:szCs w:val="28"/>
        </w:rPr>
        <w:t>具有良好的商业信誉和健全的财务会计制度；</w:t>
      </w:r>
    </w:p>
    <w:p>
      <w:pPr>
        <w:autoSpaceDN w:val="0"/>
        <w:spacing w:line="360" w:lineRule="auto"/>
        <w:rPr>
          <w:rFonts w:hAnsi="宋体" w:cs="宋体"/>
          <w:color w:val="auto"/>
          <w:sz w:val="24"/>
          <w:szCs w:val="28"/>
        </w:rPr>
      </w:pPr>
      <w:r>
        <w:rPr>
          <w:rFonts w:hint="eastAsia" w:hAnsi="宋体" w:cs="宋体"/>
          <w:color w:val="auto"/>
          <w:sz w:val="24"/>
          <w:szCs w:val="28"/>
        </w:rPr>
        <w:t>1.3</w:t>
      </w:r>
      <w:r>
        <w:rPr>
          <w:rFonts w:hint="eastAsia" w:hAnsi="宋体" w:cs="宋体"/>
          <w:color w:val="auto"/>
          <w:sz w:val="24"/>
          <w:szCs w:val="28"/>
          <w:lang w:val="en-US" w:eastAsia="zh-CN"/>
        </w:rPr>
        <w:t xml:space="preserve"> </w:t>
      </w:r>
      <w:r>
        <w:rPr>
          <w:rFonts w:hint="eastAsia" w:hAnsi="宋体" w:cs="宋体"/>
          <w:color w:val="auto"/>
          <w:sz w:val="24"/>
          <w:szCs w:val="28"/>
        </w:rPr>
        <w:t>具有履行合同所必</w:t>
      </w:r>
      <w:r>
        <w:rPr>
          <w:rFonts w:hint="eastAsia" w:hAnsi="宋体" w:cs="宋体"/>
          <w:color w:val="auto"/>
          <w:sz w:val="24"/>
          <w:szCs w:val="28"/>
          <w:lang w:eastAsia="zh-CN"/>
        </w:rPr>
        <w:t>需</w:t>
      </w:r>
      <w:r>
        <w:rPr>
          <w:rFonts w:hint="eastAsia" w:hAnsi="宋体" w:cs="宋体"/>
          <w:color w:val="auto"/>
          <w:sz w:val="24"/>
          <w:szCs w:val="28"/>
        </w:rPr>
        <w:t>的设备和专业技术能力；</w:t>
      </w:r>
    </w:p>
    <w:p>
      <w:pPr>
        <w:autoSpaceDN w:val="0"/>
        <w:spacing w:line="360" w:lineRule="auto"/>
        <w:rPr>
          <w:rFonts w:hAnsi="宋体" w:cs="宋体"/>
          <w:color w:val="auto"/>
          <w:sz w:val="24"/>
          <w:szCs w:val="28"/>
        </w:rPr>
      </w:pPr>
      <w:r>
        <w:rPr>
          <w:rFonts w:hint="eastAsia" w:hAnsi="宋体" w:cs="宋体"/>
          <w:color w:val="auto"/>
          <w:sz w:val="24"/>
          <w:szCs w:val="28"/>
        </w:rPr>
        <w:t>1.4</w:t>
      </w:r>
      <w:r>
        <w:rPr>
          <w:rFonts w:hint="eastAsia" w:hAnsi="宋体" w:cs="宋体"/>
          <w:color w:val="auto"/>
          <w:sz w:val="24"/>
          <w:szCs w:val="28"/>
          <w:lang w:val="en-US" w:eastAsia="zh-CN"/>
        </w:rPr>
        <w:t xml:space="preserve"> </w:t>
      </w:r>
      <w:r>
        <w:rPr>
          <w:rFonts w:hint="eastAsia" w:hAnsi="宋体" w:cs="宋体"/>
          <w:color w:val="auto"/>
          <w:sz w:val="24"/>
          <w:szCs w:val="28"/>
        </w:rPr>
        <w:t>具有依法缴纳税收和社会保障资金的良好记录；</w:t>
      </w:r>
    </w:p>
    <w:p>
      <w:pPr>
        <w:autoSpaceDN w:val="0"/>
        <w:spacing w:line="360" w:lineRule="auto"/>
        <w:rPr>
          <w:rFonts w:hAnsi="宋体" w:cs="宋体"/>
          <w:color w:val="auto"/>
          <w:sz w:val="24"/>
          <w:szCs w:val="28"/>
        </w:rPr>
      </w:pPr>
      <w:r>
        <w:rPr>
          <w:rFonts w:hint="eastAsia" w:hAnsi="宋体" w:cs="宋体"/>
          <w:color w:val="auto"/>
          <w:sz w:val="24"/>
          <w:szCs w:val="28"/>
        </w:rPr>
        <w:t>1.5</w:t>
      </w:r>
      <w:r>
        <w:rPr>
          <w:rFonts w:hint="eastAsia" w:hAnsi="宋体" w:cs="宋体"/>
          <w:color w:val="auto"/>
          <w:sz w:val="24"/>
          <w:szCs w:val="28"/>
          <w:lang w:val="en-US" w:eastAsia="zh-CN"/>
        </w:rPr>
        <w:t xml:space="preserve"> </w:t>
      </w:r>
      <w:r>
        <w:rPr>
          <w:rFonts w:hint="eastAsia" w:hAnsi="宋体" w:cs="宋体"/>
          <w:color w:val="auto"/>
          <w:sz w:val="24"/>
          <w:szCs w:val="28"/>
        </w:rPr>
        <w:t>参加本次</w:t>
      </w:r>
      <w:r>
        <w:rPr>
          <w:rFonts w:hint="eastAsia" w:hAnsi="宋体" w:cs="宋体"/>
          <w:color w:val="auto"/>
          <w:sz w:val="24"/>
          <w:szCs w:val="28"/>
          <w:lang w:eastAsia="zh-CN"/>
        </w:rPr>
        <w:t>政府</w:t>
      </w:r>
      <w:bookmarkStart w:id="463" w:name="_GoBack"/>
      <w:bookmarkEnd w:id="463"/>
      <w:r>
        <w:rPr>
          <w:rFonts w:hint="eastAsia" w:hAnsi="宋体" w:cs="宋体"/>
          <w:color w:val="auto"/>
          <w:sz w:val="24"/>
          <w:szCs w:val="28"/>
        </w:rPr>
        <w:t>采购活动前三年内，在经营活动中没有重大违法违规记录；</w:t>
      </w:r>
    </w:p>
    <w:p>
      <w:pPr>
        <w:autoSpaceDN w:val="0"/>
        <w:spacing w:line="360" w:lineRule="auto"/>
        <w:rPr>
          <w:rFonts w:hAnsi="宋体" w:cs="宋体"/>
          <w:color w:val="auto"/>
          <w:sz w:val="24"/>
          <w:szCs w:val="28"/>
        </w:rPr>
      </w:pPr>
      <w:r>
        <w:rPr>
          <w:rFonts w:hint="eastAsia" w:hAnsi="宋体" w:cs="宋体"/>
          <w:color w:val="auto"/>
          <w:sz w:val="24"/>
          <w:szCs w:val="28"/>
        </w:rPr>
        <w:t>1.6</w:t>
      </w:r>
      <w:r>
        <w:rPr>
          <w:rFonts w:hint="eastAsia" w:hAnsi="宋体" w:cs="宋体"/>
          <w:color w:val="auto"/>
          <w:sz w:val="24"/>
          <w:szCs w:val="28"/>
          <w:lang w:val="en-US" w:eastAsia="zh-CN"/>
        </w:rPr>
        <w:t xml:space="preserve"> </w:t>
      </w:r>
      <w:r>
        <w:rPr>
          <w:rFonts w:hint="eastAsia" w:hAnsi="宋体" w:cs="宋体"/>
          <w:color w:val="auto"/>
          <w:sz w:val="24"/>
          <w:szCs w:val="28"/>
        </w:rPr>
        <w:t>法律、行政法规规定的其他条件。</w:t>
      </w:r>
    </w:p>
    <w:p>
      <w:pPr>
        <w:pStyle w:val="257"/>
        <w:ind w:firstLine="0" w:firstLineChars="0"/>
        <w:rPr>
          <w:b/>
          <w:color w:val="000000"/>
          <w:sz w:val="24"/>
        </w:rPr>
      </w:pPr>
      <w:r>
        <w:rPr>
          <w:rFonts w:hint="eastAsia" w:hAnsi="宋体" w:cs="宋体"/>
          <w:b/>
          <w:color w:val="000000"/>
          <w:sz w:val="24"/>
        </w:rPr>
        <w:t>2.根据采购项目提出的特</w:t>
      </w:r>
      <w:r>
        <w:rPr>
          <w:rFonts w:hint="eastAsia"/>
          <w:b/>
          <w:color w:val="000000"/>
          <w:sz w:val="24"/>
        </w:rPr>
        <w:t>殊条件：</w:t>
      </w:r>
    </w:p>
    <w:p>
      <w:pPr>
        <w:adjustRightInd w:val="0"/>
        <w:snapToGrid w:val="0"/>
        <w:spacing w:line="360" w:lineRule="auto"/>
        <w:rPr>
          <w:rFonts w:hint="eastAsia" w:hAnsi="宋体"/>
          <w:b/>
          <w:color w:val="auto"/>
          <w:sz w:val="24"/>
          <w:szCs w:val="24"/>
        </w:rPr>
      </w:pPr>
      <w:r>
        <w:rPr>
          <w:rFonts w:hint="eastAsia" w:hAnsi="宋体"/>
          <w:color w:val="000000"/>
          <w:sz w:val="24"/>
          <w:lang w:val="en-US" w:eastAsia="zh-CN"/>
        </w:rPr>
        <w:t>2.</w:t>
      </w:r>
      <w:r>
        <w:rPr>
          <w:rFonts w:hint="eastAsia" w:hAnsi="宋体"/>
          <w:color w:val="000000"/>
          <w:sz w:val="24"/>
        </w:rPr>
        <w:t>1本项目参加采购活动的</w:t>
      </w:r>
      <w:r>
        <w:rPr>
          <w:rFonts w:hint="eastAsia" w:hAnsi="宋体"/>
          <w:color w:val="000000"/>
          <w:sz w:val="24"/>
          <w:lang w:eastAsia="zh-CN"/>
        </w:rPr>
        <w:t>供应商</w:t>
      </w:r>
      <w:r>
        <w:rPr>
          <w:rFonts w:hint="eastAsia" w:hAnsi="宋体"/>
          <w:color w:val="000000"/>
          <w:sz w:val="24"/>
        </w:rPr>
        <w:t>在前三年内不得具有行贿犯罪记录。</w:t>
      </w:r>
    </w:p>
    <w:p>
      <w:pPr>
        <w:spacing w:line="360" w:lineRule="auto"/>
        <w:rPr>
          <w:rFonts w:hAnsi="宋体"/>
          <w:b/>
          <w:color w:val="auto"/>
          <w:sz w:val="24"/>
          <w:szCs w:val="24"/>
        </w:rPr>
      </w:pPr>
      <w:r>
        <w:rPr>
          <w:rFonts w:hint="eastAsia" w:hAnsi="宋体"/>
          <w:b/>
          <w:color w:val="auto"/>
          <w:sz w:val="24"/>
          <w:szCs w:val="24"/>
        </w:rPr>
        <w:t>六、谈判文件发售时间、地点及售价：</w:t>
      </w:r>
    </w:p>
    <w:p>
      <w:pPr>
        <w:spacing w:line="360"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谈判文件</w:t>
      </w:r>
      <w:r>
        <w:rPr>
          <w:rFonts w:hint="eastAsia" w:hAnsi="宋体"/>
          <w:color w:val="auto"/>
          <w:sz w:val="24"/>
        </w:rPr>
        <w:t>自</w:t>
      </w:r>
      <w:r>
        <w:rPr>
          <w:rFonts w:hint="eastAsia" w:hAnsi="宋体"/>
          <w:color w:val="auto"/>
          <w:sz w:val="24"/>
          <w:highlight w:val="none"/>
        </w:rPr>
        <w:t>201</w:t>
      </w:r>
      <w:r>
        <w:rPr>
          <w:rFonts w:hint="eastAsia" w:hAnsi="宋体"/>
          <w:color w:val="auto"/>
          <w:sz w:val="24"/>
          <w:highlight w:val="none"/>
          <w:lang w:val="en-US" w:eastAsia="zh-CN"/>
        </w:rPr>
        <w:t>8</w:t>
      </w:r>
      <w:r>
        <w:rPr>
          <w:rFonts w:hint="eastAsia" w:hAnsi="宋体"/>
          <w:color w:val="auto"/>
          <w:sz w:val="24"/>
          <w:highlight w:val="none"/>
        </w:rPr>
        <w:t>年</w:t>
      </w:r>
      <w:r>
        <w:rPr>
          <w:rFonts w:hint="eastAsia" w:hAnsi="宋体"/>
          <w:color w:val="auto"/>
          <w:sz w:val="24"/>
          <w:highlight w:val="none"/>
          <w:lang w:val="en-US" w:eastAsia="zh-CN"/>
        </w:rPr>
        <w:t>6</w:t>
      </w:r>
      <w:r>
        <w:rPr>
          <w:rFonts w:hAnsi="宋体"/>
          <w:color w:val="auto"/>
          <w:sz w:val="24"/>
          <w:highlight w:val="none"/>
        </w:rPr>
        <w:t>月</w:t>
      </w:r>
      <w:r>
        <w:rPr>
          <w:rFonts w:hint="eastAsia" w:hAnsi="宋体"/>
          <w:color w:val="auto"/>
          <w:sz w:val="24"/>
          <w:highlight w:val="none"/>
          <w:lang w:val="en-US" w:eastAsia="zh-CN"/>
        </w:rPr>
        <w:t>26</w:t>
      </w:r>
      <w:r>
        <w:rPr>
          <w:rFonts w:hint="eastAsia" w:hAnsi="宋体"/>
          <w:color w:val="auto"/>
          <w:sz w:val="24"/>
          <w:highlight w:val="none"/>
        </w:rPr>
        <w:t>日至201</w:t>
      </w:r>
      <w:r>
        <w:rPr>
          <w:rFonts w:hint="eastAsia" w:hAnsi="宋体"/>
          <w:color w:val="auto"/>
          <w:sz w:val="24"/>
          <w:highlight w:val="none"/>
          <w:lang w:val="en-US" w:eastAsia="zh-CN"/>
        </w:rPr>
        <w:t>8</w:t>
      </w:r>
      <w:r>
        <w:rPr>
          <w:rFonts w:hint="eastAsia" w:hAnsi="宋体"/>
          <w:color w:val="auto"/>
          <w:sz w:val="24"/>
          <w:highlight w:val="none"/>
        </w:rPr>
        <w:t>年</w:t>
      </w:r>
      <w:r>
        <w:rPr>
          <w:rFonts w:hint="eastAsia" w:hAnsi="宋体"/>
          <w:color w:val="auto"/>
          <w:sz w:val="24"/>
          <w:highlight w:val="none"/>
          <w:lang w:val="en-US" w:eastAsia="zh-CN"/>
        </w:rPr>
        <w:t>6</w:t>
      </w:r>
      <w:r>
        <w:rPr>
          <w:rFonts w:hAnsi="宋体"/>
          <w:color w:val="auto"/>
          <w:sz w:val="24"/>
          <w:highlight w:val="none"/>
        </w:rPr>
        <w:t>月</w:t>
      </w:r>
      <w:r>
        <w:rPr>
          <w:rFonts w:hint="eastAsia" w:hAnsi="宋体"/>
          <w:color w:val="auto"/>
          <w:sz w:val="24"/>
          <w:highlight w:val="none"/>
          <w:lang w:val="en-US" w:eastAsia="zh-CN"/>
        </w:rPr>
        <w:t>28</w:t>
      </w:r>
      <w:r>
        <w:rPr>
          <w:rFonts w:hint="eastAsia" w:hAnsi="宋体"/>
          <w:color w:val="auto"/>
          <w:sz w:val="24"/>
          <w:highlight w:val="none"/>
        </w:rPr>
        <w:t>日</w:t>
      </w:r>
      <w:r>
        <w:rPr>
          <w:rFonts w:hint="eastAsia" w:hAnsi="宋体"/>
          <w:color w:val="000000" w:themeColor="text1"/>
          <w:sz w:val="24"/>
          <w:highlight w:val="none"/>
          <w14:textFill>
            <w14:solidFill>
              <w14:schemeClr w14:val="tx1"/>
            </w14:solidFill>
          </w14:textFill>
        </w:rPr>
        <w:t>上午9</w:t>
      </w:r>
      <w:r>
        <w:rPr>
          <w:rFonts w:hAnsi="宋体"/>
          <w:color w:val="000000" w:themeColor="text1"/>
          <w:sz w:val="24"/>
          <w:highlight w:val="none"/>
          <w14:textFill>
            <w14:solidFill>
              <w14:schemeClr w14:val="tx1"/>
            </w14:solidFill>
          </w14:textFill>
        </w:rPr>
        <w:t>:</w:t>
      </w:r>
      <w:r>
        <w:rPr>
          <w:rFonts w:hint="eastAsia" w:hAnsi="宋体"/>
          <w:color w:val="000000" w:themeColor="text1"/>
          <w:sz w:val="24"/>
          <w:highlight w:val="none"/>
          <w14:textFill>
            <w14:solidFill>
              <w14:schemeClr w14:val="tx1"/>
            </w14:solidFill>
          </w14:textFill>
        </w:rPr>
        <w:t>00-12</w:t>
      </w:r>
      <w:r>
        <w:rPr>
          <w:rFonts w:hAnsi="宋体"/>
          <w:color w:val="000000" w:themeColor="text1"/>
          <w:sz w:val="24"/>
          <w:highlight w:val="none"/>
          <w14:textFill>
            <w14:solidFill>
              <w14:schemeClr w14:val="tx1"/>
            </w14:solidFill>
          </w14:textFill>
        </w:rPr>
        <w:t>:</w:t>
      </w:r>
      <w:r>
        <w:rPr>
          <w:rFonts w:hint="eastAsia" w:hAnsi="宋体"/>
          <w:color w:val="000000" w:themeColor="text1"/>
          <w:sz w:val="24"/>
          <w:highlight w:val="none"/>
          <w14:textFill>
            <w14:solidFill>
              <w14:schemeClr w14:val="tx1"/>
            </w14:solidFill>
          </w14:textFill>
        </w:rPr>
        <w:t>00；下午1</w:t>
      </w:r>
      <w:r>
        <w:rPr>
          <w:rFonts w:hint="eastAsia" w:hAnsi="宋体"/>
          <w:color w:val="000000" w:themeColor="text1"/>
          <w:sz w:val="24"/>
          <w:highlight w:val="none"/>
          <w:lang w:val="en-US" w:eastAsia="zh-CN"/>
          <w14:textFill>
            <w14:solidFill>
              <w14:schemeClr w14:val="tx1"/>
            </w14:solidFill>
          </w14:textFill>
        </w:rPr>
        <w:t>4</w:t>
      </w:r>
      <w:r>
        <w:rPr>
          <w:rFonts w:hint="eastAsia" w:hAnsi="宋体"/>
          <w:color w:val="000000" w:themeColor="text1"/>
          <w:sz w:val="24"/>
          <w:highlight w:val="none"/>
          <w14:textFill>
            <w14:solidFill>
              <w14:schemeClr w14:val="tx1"/>
            </w14:solidFill>
          </w14:textFill>
        </w:rPr>
        <w:t>：</w:t>
      </w:r>
      <w:r>
        <w:rPr>
          <w:rFonts w:hint="eastAsia" w:hAnsi="宋体"/>
          <w:color w:val="000000" w:themeColor="text1"/>
          <w:sz w:val="24"/>
          <w:highlight w:val="none"/>
          <w:lang w:val="en-US" w:eastAsia="zh-CN"/>
          <w14:textFill>
            <w14:solidFill>
              <w14:schemeClr w14:val="tx1"/>
            </w14:solidFill>
          </w14:textFill>
        </w:rPr>
        <w:t>3</w:t>
      </w:r>
      <w:r>
        <w:rPr>
          <w:rFonts w:hint="eastAsia" w:hAnsi="宋体"/>
          <w:color w:val="000000" w:themeColor="text1"/>
          <w:sz w:val="24"/>
          <w:highlight w:val="none"/>
          <w14:textFill>
            <w14:solidFill>
              <w14:schemeClr w14:val="tx1"/>
            </w14:solidFill>
          </w14:textFill>
        </w:rPr>
        <w:t>0—17：00（节</w:t>
      </w:r>
      <w:r>
        <w:rPr>
          <w:rFonts w:hint="eastAsia" w:hAnsi="宋体"/>
          <w:color w:val="000000" w:themeColor="text1"/>
          <w:sz w:val="24"/>
          <w14:textFill>
            <w14:solidFill>
              <w14:schemeClr w14:val="tx1"/>
            </w14:solidFill>
          </w14:textFill>
        </w:rPr>
        <w:t>假日除外）在</w:t>
      </w:r>
      <w:r>
        <w:rPr>
          <w:rFonts w:hint="eastAsia" w:hAnsi="宋体"/>
          <w:color w:val="000000" w:themeColor="text1"/>
          <w:sz w:val="24"/>
          <w:lang w:eastAsia="zh-CN"/>
          <w14:textFill>
            <w14:solidFill>
              <w14:schemeClr w14:val="tx1"/>
            </w14:solidFill>
          </w14:textFill>
        </w:rPr>
        <w:t>四川利阳招投标代理有限公司</w:t>
      </w:r>
      <w:r>
        <w:rPr>
          <w:rFonts w:hint="eastAsia" w:hAnsi="宋体"/>
          <w:color w:val="000000" w:themeColor="text1"/>
          <w:sz w:val="24"/>
          <w14:textFill>
            <w14:solidFill>
              <w14:schemeClr w14:val="tx1"/>
            </w14:solidFill>
          </w14:textFill>
        </w:rPr>
        <w:t>购买。</w:t>
      </w:r>
    </w:p>
    <w:p>
      <w:pPr>
        <w:spacing w:line="360"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谈判文件售价：</w:t>
      </w:r>
      <w:r>
        <w:rPr>
          <w:rFonts w:hAnsi="宋体"/>
          <w:color w:val="000000" w:themeColor="text1"/>
          <w:sz w:val="24"/>
          <w14:textFill>
            <w14:solidFill>
              <w14:schemeClr w14:val="tx1"/>
            </w14:solidFill>
          </w14:textFill>
        </w:rPr>
        <w:t>人民币300</w:t>
      </w:r>
      <w:r>
        <w:rPr>
          <w:rFonts w:hint="eastAsia" w:hAnsi="宋体"/>
          <w:color w:val="000000" w:themeColor="text1"/>
          <w:sz w:val="24"/>
          <w14:textFill>
            <w14:solidFill>
              <w14:schemeClr w14:val="tx1"/>
            </w14:solidFill>
          </w14:textFill>
        </w:rPr>
        <w:t>元/份（谈判文件售后不退</w:t>
      </w:r>
      <w:r>
        <w:rPr>
          <w:rFonts w:hAnsi="宋体"/>
          <w:color w:val="000000" w:themeColor="text1"/>
          <w:sz w:val="24"/>
          <w14:textFill>
            <w14:solidFill>
              <w14:schemeClr w14:val="tx1"/>
            </w14:solidFill>
          </w14:textFill>
        </w:rPr>
        <w:t>,</w:t>
      </w:r>
      <w:r>
        <w:rPr>
          <w:rFonts w:hint="eastAsia" w:hAnsi="宋体"/>
          <w:color w:val="000000" w:themeColor="text1"/>
          <w:sz w:val="24"/>
          <w14:textFill>
            <w14:solidFill>
              <w14:schemeClr w14:val="tx1"/>
            </w14:solidFill>
          </w14:textFill>
        </w:rPr>
        <w:t>谈判资格不能转让）</w:t>
      </w:r>
    </w:p>
    <w:p>
      <w:pPr>
        <w:spacing w:line="360"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注：</w:t>
      </w:r>
      <w:r>
        <w:rPr>
          <w:rFonts w:hint="eastAsia" w:hAnsi="宋体" w:cs="宋体"/>
          <w:color w:val="000000" w:themeColor="text1"/>
          <w:sz w:val="24"/>
          <w:szCs w:val="24"/>
          <w14:textFill>
            <w14:solidFill>
              <w14:schemeClr w14:val="tx1"/>
            </w14:solidFill>
          </w14:textFill>
        </w:rPr>
        <w:t>供应商购买谈判文件时必须携带：1.公司介绍信原件和身份证复印件加盖鲜章。2.供应商为自然人的，只需提供本人身份证明。注：报名时留单位介绍信或法人授权书原件，身份证留加盖公司公章的复印件。</w:t>
      </w:r>
    </w:p>
    <w:p>
      <w:pPr>
        <w:tabs>
          <w:tab w:val="left" w:pos="7480"/>
        </w:tabs>
        <w:spacing w:line="360" w:lineRule="auto"/>
        <w:ind w:right="680" w:rightChars="200"/>
        <w:rPr>
          <w:rFonts w:hAnsi="宋体"/>
          <w:b/>
          <w:color w:val="000000" w:themeColor="text1"/>
          <w:sz w:val="24"/>
          <w:szCs w:val="28"/>
          <w14:textFill>
            <w14:solidFill>
              <w14:schemeClr w14:val="tx1"/>
            </w14:solidFill>
          </w14:textFill>
        </w:rPr>
      </w:pPr>
      <w:r>
        <w:rPr>
          <w:rFonts w:hint="eastAsia" w:hAnsi="宋体"/>
          <w:b/>
          <w:color w:val="auto"/>
          <w:sz w:val="24"/>
          <w:szCs w:val="28"/>
        </w:rPr>
        <w:t>七、</w:t>
      </w:r>
      <w:r>
        <w:rPr>
          <w:rFonts w:hAnsi="宋体"/>
          <w:b/>
          <w:color w:val="auto"/>
          <w:sz w:val="24"/>
          <w:szCs w:val="28"/>
        </w:rPr>
        <w:t>供应商递交响应文件</w:t>
      </w:r>
      <w:r>
        <w:rPr>
          <w:rFonts w:hint="eastAsia" w:hAnsi="宋体"/>
          <w:b/>
          <w:color w:val="auto"/>
          <w:sz w:val="24"/>
          <w:szCs w:val="28"/>
        </w:rPr>
        <w:t>截止时间和参加谈判时间：</w:t>
      </w:r>
      <w:r>
        <w:rPr>
          <w:rFonts w:hint="eastAsia" w:hAnsi="宋体"/>
          <w:b/>
          <w:color w:val="auto"/>
          <w:sz w:val="24"/>
          <w:szCs w:val="28"/>
          <w:highlight w:val="none"/>
        </w:rPr>
        <w:t>201</w:t>
      </w:r>
      <w:r>
        <w:rPr>
          <w:rFonts w:hint="eastAsia" w:hAnsi="宋体"/>
          <w:b/>
          <w:color w:val="auto"/>
          <w:sz w:val="24"/>
          <w:szCs w:val="28"/>
          <w:highlight w:val="none"/>
          <w:lang w:val="en-US" w:eastAsia="zh-CN"/>
        </w:rPr>
        <w:t>8</w:t>
      </w:r>
      <w:r>
        <w:rPr>
          <w:rFonts w:hint="eastAsia" w:hAnsi="宋体"/>
          <w:b/>
          <w:color w:val="auto"/>
          <w:sz w:val="24"/>
          <w:szCs w:val="28"/>
          <w:highlight w:val="none"/>
        </w:rPr>
        <w:t>年</w:t>
      </w:r>
      <w:r>
        <w:rPr>
          <w:rFonts w:hint="eastAsia" w:hAnsi="宋体"/>
          <w:b/>
          <w:color w:val="auto"/>
          <w:sz w:val="24"/>
          <w:szCs w:val="28"/>
          <w:highlight w:val="none"/>
          <w:lang w:val="en-US" w:eastAsia="zh-CN"/>
        </w:rPr>
        <w:t>6</w:t>
      </w:r>
      <w:r>
        <w:rPr>
          <w:rFonts w:hAnsi="宋体"/>
          <w:b/>
          <w:color w:val="auto"/>
          <w:sz w:val="24"/>
          <w:szCs w:val="28"/>
          <w:highlight w:val="none"/>
        </w:rPr>
        <w:t>月</w:t>
      </w:r>
      <w:r>
        <w:rPr>
          <w:rFonts w:hint="eastAsia" w:hAnsi="宋体"/>
          <w:b/>
          <w:color w:val="auto"/>
          <w:sz w:val="24"/>
          <w:szCs w:val="28"/>
          <w:highlight w:val="none"/>
          <w:lang w:val="en-US" w:eastAsia="zh-CN"/>
        </w:rPr>
        <w:t>29日9</w:t>
      </w:r>
      <w:r>
        <w:rPr>
          <w:rFonts w:hint="eastAsia" w:hAnsi="宋体"/>
          <w:b/>
          <w:color w:val="auto"/>
          <w:sz w:val="24"/>
          <w:szCs w:val="28"/>
          <w:highlight w:val="none"/>
          <w:lang w:val="en-US" w:eastAsia="zh-CN"/>
        </w:rPr>
        <w:t>:30</w:t>
      </w:r>
      <w:r>
        <w:rPr>
          <w:rFonts w:hAnsi="宋体"/>
          <w:b/>
          <w:color w:val="000000" w:themeColor="text1"/>
          <w:sz w:val="24"/>
          <w:szCs w:val="28"/>
          <w:highlight w:val="none"/>
          <w14:textFill>
            <w14:solidFill>
              <w14:schemeClr w14:val="tx1"/>
            </w14:solidFill>
          </w14:textFill>
        </w:rPr>
        <w:t>（北京时间）</w:t>
      </w:r>
      <w:r>
        <w:rPr>
          <w:rFonts w:hint="eastAsia" w:hAnsi="宋体"/>
          <w:b/>
          <w:color w:val="000000" w:themeColor="text1"/>
          <w:sz w:val="24"/>
          <w:szCs w:val="28"/>
          <w:highlight w:val="none"/>
          <w14:textFill>
            <w14:solidFill>
              <w14:schemeClr w14:val="tx1"/>
            </w14:solidFill>
          </w14:textFill>
        </w:rPr>
        <w:t>。</w:t>
      </w:r>
    </w:p>
    <w:p>
      <w:pPr>
        <w:spacing w:line="360" w:lineRule="auto"/>
        <w:ind w:right="-1" w:firstLine="480" w:firstLineChars="200"/>
        <w:rPr>
          <w:rFonts w:hAnsi="宋体"/>
          <w:b/>
          <w:color w:val="auto"/>
          <w:sz w:val="24"/>
          <w:szCs w:val="28"/>
        </w:rPr>
      </w:pPr>
      <w:r>
        <w:rPr>
          <w:rFonts w:hint="eastAsia" w:hAnsi="宋体"/>
          <w:color w:val="auto"/>
          <w:sz w:val="24"/>
        </w:rPr>
        <w:t>响应文件</w:t>
      </w:r>
      <w:r>
        <w:rPr>
          <w:rFonts w:hint="eastAsia" w:hAnsi="宋体"/>
          <w:color w:val="auto"/>
          <w:sz w:val="24"/>
          <w:szCs w:val="28"/>
        </w:rPr>
        <w:t>必须在</w:t>
      </w:r>
      <w:r>
        <w:rPr>
          <w:rFonts w:hint="eastAsia" w:hAnsi="宋体"/>
          <w:color w:val="auto"/>
          <w:sz w:val="24"/>
        </w:rPr>
        <w:t>谈判</w:t>
      </w:r>
      <w:r>
        <w:rPr>
          <w:rFonts w:hint="eastAsia" w:hAnsi="宋体"/>
          <w:color w:val="auto"/>
          <w:sz w:val="24"/>
          <w:szCs w:val="28"/>
        </w:rPr>
        <w:t>截止时间前送达谈判地点。逾期送达或密封和标注不符合</w:t>
      </w:r>
      <w:r>
        <w:rPr>
          <w:rFonts w:hint="eastAsia" w:hAnsi="宋体"/>
          <w:color w:val="auto"/>
          <w:sz w:val="24"/>
        </w:rPr>
        <w:t>谈判文件</w:t>
      </w:r>
      <w:r>
        <w:rPr>
          <w:rFonts w:hint="eastAsia" w:hAnsi="宋体"/>
          <w:color w:val="auto"/>
          <w:sz w:val="24"/>
          <w:szCs w:val="28"/>
        </w:rPr>
        <w:t>规定的</w:t>
      </w:r>
      <w:r>
        <w:rPr>
          <w:rFonts w:hint="eastAsia" w:hAnsi="宋体"/>
          <w:color w:val="auto"/>
          <w:sz w:val="24"/>
        </w:rPr>
        <w:t>响应文件</w:t>
      </w:r>
      <w:r>
        <w:rPr>
          <w:rFonts w:hint="eastAsia" w:hAnsi="宋体"/>
          <w:color w:val="auto"/>
          <w:sz w:val="24"/>
          <w:szCs w:val="28"/>
        </w:rPr>
        <w:t>恕不接受。本次</w:t>
      </w:r>
      <w:r>
        <w:rPr>
          <w:rFonts w:hint="eastAsia" w:hAnsi="宋体"/>
          <w:color w:val="auto"/>
          <w:sz w:val="24"/>
        </w:rPr>
        <w:t>采购</w:t>
      </w:r>
      <w:r>
        <w:rPr>
          <w:rFonts w:hint="eastAsia" w:hAnsi="宋体"/>
          <w:color w:val="auto"/>
          <w:sz w:val="24"/>
          <w:szCs w:val="28"/>
        </w:rPr>
        <w:t>不接受邮寄的</w:t>
      </w:r>
      <w:r>
        <w:rPr>
          <w:rFonts w:hint="eastAsia" w:hAnsi="宋体"/>
          <w:color w:val="auto"/>
          <w:sz w:val="24"/>
        </w:rPr>
        <w:t>响应文件</w:t>
      </w:r>
      <w:r>
        <w:rPr>
          <w:rFonts w:hint="eastAsia" w:hAnsi="宋体"/>
          <w:b/>
          <w:color w:val="auto"/>
          <w:sz w:val="24"/>
          <w:szCs w:val="28"/>
        </w:rPr>
        <w:t>。</w:t>
      </w:r>
    </w:p>
    <w:p>
      <w:pPr>
        <w:spacing w:line="360" w:lineRule="auto"/>
        <w:ind w:right="680" w:rightChars="200"/>
        <w:rPr>
          <w:rFonts w:hAnsi="宋体"/>
          <w:b/>
          <w:color w:val="auto"/>
          <w:sz w:val="24"/>
          <w:szCs w:val="28"/>
        </w:rPr>
      </w:pPr>
      <w:r>
        <w:rPr>
          <w:rFonts w:hint="eastAsia" w:hAnsi="宋体"/>
          <w:b/>
          <w:color w:val="auto"/>
          <w:sz w:val="24"/>
          <w:szCs w:val="28"/>
        </w:rPr>
        <w:t>八、谈判</w:t>
      </w:r>
      <w:r>
        <w:rPr>
          <w:rFonts w:hAnsi="宋体"/>
          <w:b/>
          <w:color w:val="auto"/>
          <w:sz w:val="24"/>
          <w:szCs w:val="28"/>
        </w:rPr>
        <w:t>地</w:t>
      </w:r>
      <w:r>
        <w:rPr>
          <w:rFonts w:hint="eastAsia" w:hAnsi="宋体"/>
          <w:b/>
          <w:color w:val="auto"/>
          <w:sz w:val="24"/>
          <w:szCs w:val="28"/>
        </w:rPr>
        <w:t>点</w:t>
      </w:r>
      <w:r>
        <w:rPr>
          <w:rFonts w:hint="eastAsia" w:hAnsi="宋体"/>
          <w:b/>
          <w:bCs w:val="0"/>
          <w:color w:val="auto"/>
          <w:sz w:val="24"/>
          <w:szCs w:val="28"/>
        </w:rPr>
        <w:t>：</w:t>
      </w:r>
      <w:r>
        <w:rPr>
          <w:rFonts w:hint="eastAsia" w:hAnsi="宋体" w:cs="宋体"/>
          <w:b/>
          <w:bCs w:val="0"/>
          <w:color w:val="auto"/>
          <w:sz w:val="24"/>
          <w:szCs w:val="24"/>
          <w:lang w:eastAsia="zh-CN"/>
        </w:rPr>
        <w:t>四川利阳招投标代理有限公司</w:t>
      </w:r>
      <w:r>
        <w:rPr>
          <w:rFonts w:hint="eastAsia" w:hAnsi="宋体" w:cs="宋体"/>
          <w:b/>
          <w:bCs w:val="0"/>
          <w:color w:val="auto"/>
          <w:sz w:val="24"/>
          <w:szCs w:val="24"/>
        </w:rPr>
        <w:t>开标厅。</w:t>
      </w:r>
    </w:p>
    <w:p>
      <w:pPr>
        <w:spacing w:line="360" w:lineRule="auto"/>
        <w:ind w:right="680" w:rightChars="200"/>
        <w:rPr>
          <w:rFonts w:hAnsi="宋体"/>
          <w:b/>
          <w:color w:val="auto"/>
          <w:sz w:val="24"/>
          <w:szCs w:val="28"/>
        </w:rPr>
      </w:pPr>
      <w:r>
        <w:rPr>
          <w:rFonts w:hint="eastAsia" w:hAnsi="宋体"/>
          <w:b/>
          <w:color w:val="auto"/>
          <w:sz w:val="24"/>
          <w:szCs w:val="28"/>
        </w:rPr>
        <w:t>九、</w:t>
      </w:r>
      <w:r>
        <w:rPr>
          <w:rFonts w:hint="eastAsia" w:hAnsi="宋体"/>
          <w:b/>
          <w:color w:val="auto"/>
          <w:sz w:val="24"/>
        </w:rPr>
        <w:t>本谈判邀请在</w:t>
      </w:r>
      <w:r>
        <w:rPr>
          <w:rFonts w:hint="eastAsia" w:hAnsi="宋体"/>
          <w:b/>
          <w:color w:val="auto"/>
          <w:sz w:val="24"/>
          <w:lang w:eastAsia="zh-CN"/>
        </w:rPr>
        <w:t>威远投资控股集团有限责任公司官网</w:t>
      </w:r>
      <w:r>
        <w:rPr>
          <w:rFonts w:hint="eastAsia" w:hAnsi="宋体"/>
          <w:b/>
          <w:color w:val="auto"/>
          <w:sz w:val="24"/>
        </w:rPr>
        <w:t>（</w:t>
      </w:r>
      <w:r>
        <w:rPr>
          <w:rFonts w:hint="eastAsia" w:hAnsi="宋体"/>
          <w:b/>
          <w:color w:val="auto"/>
          <w:sz w:val="24"/>
          <w:lang w:eastAsia="zh-CN"/>
        </w:rPr>
        <w:t>http://www.wytkjt.com</w:t>
      </w:r>
      <w:r>
        <w:rPr>
          <w:rFonts w:hint="eastAsia" w:hAnsi="宋体"/>
          <w:b/>
          <w:color w:val="auto"/>
          <w:sz w:val="24"/>
        </w:rPr>
        <w:t>）上以公告形式发布。</w:t>
      </w:r>
    </w:p>
    <w:p>
      <w:pPr>
        <w:spacing w:line="360" w:lineRule="auto"/>
        <w:ind w:right="680" w:rightChars="200"/>
        <w:rPr>
          <w:rFonts w:hAnsi="宋体"/>
          <w:b/>
          <w:color w:val="auto"/>
          <w:sz w:val="24"/>
          <w:szCs w:val="28"/>
        </w:rPr>
      </w:pPr>
      <w:r>
        <w:rPr>
          <w:rFonts w:hint="eastAsia" w:hAnsi="宋体"/>
          <w:b/>
          <w:color w:val="auto"/>
          <w:sz w:val="24"/>
          <w:szCs w:val="28"/>
        </w:rPr>
        <w:t>十、联系方式：</w:t>
      </w:r>
    </w:p>
    <w:p>
      <w:pPr>
        <w:spacing w:line="360" w:lineRule="auto"/>
        <w:ind w:right="680" w:rightChars="200" w:firstLine="482" w:firstLineChars="200"/>
        <w:rPr>
          <w:rFonts w:hint="eastAsia" w:hAnsi="宋体" w:cs="宋体"/>
          <w:color w:val="auto"/>
          <w:sz w:val="24"/>
          <w:szCs w:val="24"/>
          <w:lang w:eastAsia="zh-CN"/>
        </w:rPr>
      </w:pPr>
      <w:r>
        <w:rPr>
          <w:rFonts w:hint="eastAsia" w:hAnsi="宋体" w:cs="宋体"/>
          <w:b/>
          <w:color w:val="auto"/>
          <w:sz w:val="24"/>
        </w:rPr>
        <w:t>采</w:t>
      </w:r>
      <w:r>
        <w:rPr>
          <w:rFonts w:hint="eastAsia" w:hAnsi="宋体" w:cs="宋体"/>
          <w:b/>
          <w:color w:val="auto"/>
          <w:sz w:val="24"/>
          <w:lang w:val="en-US" w:eastAsia="zh-CN"/>
        </w:rPr>
        <w:t xml:space="preserve"> </w:t>
      </w:r>
      <w:r>
        <w:rPr>
          <w:rFonts w:hint="eastAsia" w:hAnsi="宋体" w:cs="宋体"/>
          <w:b/>
          <w:color w:val="auto"/>
          <w:sz w:val="24"/>
        </w:rPr>
        <w:t>购</w:t>
      </w:r>
      <w:r>
        <w:rPr>
          <w:rFonts w:hint="eastAsia" w:hAnsi="宋体" w:cs="宋体"/>
          <w:b/>
          <w:color w:val="auto"/>
          <w:sz w:val="24"/>
          <w:lang w:val="en-US" w:eastAsia="zh-CN"/>
        </w:rPr>
        <w:t xml:space="preserve"> </w:t>
      </w:r>
      <w:r>
        <w:rPr>
          <w:rFonts w:hint="eastAsia" w:hAnsi="宋体" w:cs="宋体"/>
          <w:b/>
          <w:color w:val="auto"/>
          <w:sz w:val="24"/>
        </w:rPr>
        <w:t>人：</w:t>
      </w:r>
      <w:r>
        <w:rPr>
          <w:rFonts w:hint="eastAsia" w:hAnsi="宋体" w:cs="宋体"/>
          <w:color w:val="auto"/>
          <w:sz w:val="24"/>
          <w:szCs w:val="24"/>
        </w:rPr>
        <w:t>威远投资控股集团有限责任公司</w:t>
      </w:r>
    </w:p>
    <w:p>
      <w:pPr>
        <w:spacing w:line="360" w:lineRule="auto"/>
        <w:ind w:right="680" w:rightChars="200" w:firstLine="482" w:firstLineChars="200"/>
        <w:rPr>
          <w:rFonts w:hAnsi="宋体"/>
          <w:color w:val="auto"/>
          <w:sz w:val="24"/>
          <w:szCs w:val="28"/>
          <w:lang w:val="en-US"/>
        </w:rPr>
      </w:pPr>
      <w:r>
        <w:rPr>
          <w:rFonts w:hint="eastAsia" w:hAnsi="宋体"/>
          <w:b/>
          <w:bCs/>
          <w:color w:val="auto"/>
          <w:sz w:val="24"/>
          <w:szCs w:val="28"/>
        </w:rPr>
        <w:t xml:space="preserve">地 </w:t>
      </w:r>
      <w:r>
        <w:rPr>
          <w:rFonts w:hint="eastAsia" w:hAnsi="宋体"/>
          <w:b/>
          <w:bCs/>
          <w:color w:val="auto"/>
          <w:sz w:val="24"/>
          <w:szCs w:val="28"/>
          <w:lang w:val="en-US" w:eastAsia="zh-CN"/>
        </w:rPr>
        <w:t xml:space="preserve">  </w:t>
      </w:r>
      <w:r>
        <w:rPr>
          <w:rFonts w:hint="eastAsia" w:hAnsi="宋体"/>
          <w:b/>
          <w:bCs/>
          <w:color w:val="auto"/>
          <w:sz w:val="24"/>
          <w:szCs w:val="28"/>
        </w:rPr>
        <w:t xml:space="preserve"> 址：</w:t>
      </w:r>
      <w:r>
        <w:rPr>
          <w:rFonts w:hint="eastAsia" w:hAnsi="宋体"/>
          <w:color w:val="auto"/>
          <w:sz w:val="24"/>
          <w:szCs w:val="28"/>
          <w:lang w:eastAsia="zh-CN"/>
        </w:rPr>
        <w:t>四川省内江市威远县西街</w:t>
      </w:r>
      <w:r>
        <w:rPr>
          <w:rFonts w:hint="eastAsia" w:hAnsi="宋体"/>
          <w:color w:val="auto"/>
          <w:sz w:val="24"/>
          <w:szCs w:val="28"/>
          <w:lang w:val="en-US" w:eastAsia="zh-CN"/>
        </w:rPr>
        <w:t>2号</w:t>
      </w:r>
    </w:p>
    <w:p>
      <w:pPr>
        <w:spacing w:line="360" w:lineRule="auto"/>
        <w:ind w:right="680" w:rightChars="200" w:firstLine="482" w:firstLineChars="200"/>
        <w:rPr>
          <w:rFonts w:hint="eastAsia" w:hAnsi="宋体"/>
          <w:color w:val="auto"/>
          <w:sz w:val="24"/>
          <w:szCs w:val="28"/>
          <w:highlight w:val="none"/>
          <w:lang w:val="en-US"/>
        </w:rPr>
      </w:pPr>
      <w:r>
        <w:rPr>
          <w:rFonts w:hint="eastAsia" w:hAnsi="宋体"/>
          <w:b/>
          <w:bCs/>
          <w:color w:val="auto"/>
          <w:sz w:val="24"/>
          <w:szCs w:val="28"/>
        </w:rPr>
        <w:t>联</w:t>
      </w:r>
      <w:r>
        <w:rPr>
          <w:rFonts w:hint="eastAsia" w:hAnsi="宋体"/>
          <w:b/>
          <w:bCs/>
          <w:color w:val="auto"/>
          <w:sz w:val="24"/>
          <w:szCs w:val="28"/>
          <w:lang w:val="en-US" w:eastAsia="zh-CN"/>
        </w:rPr>
        <w:t xml:space="preserve"> </w:t>
      </w:r>
      <w:r>
        <w:rPr>
          <w:rFonts w:hint="eastAsia" w:hAnsi="宋体"/>
          <w:b/>
          <w:bCs/>
          <w:color w:val="auto"/>
          <w:sz w:val="24"/>
          <w:szCs w:val="28"/>
        </w:rPr>
        <w:t>系</w:t>
      </w:r>
      <w:r>
        <w:rPr>
          <w:rFonts w:hint="eastAsia" w:hAnsi="宋体"/>
          <w:b/>
          <w:bCs/>
          <w:color w:val="auto"/>
          <w:sz w:val="24"/>
          <w:szCs w:val="28"/>
          <w:lang w:val="en-US" w:eastAsia="zh-CN"/>
        </w:rPr>
        <w:t xml:space="preserve"> </w:t>
      </w:r>
      <w:r>
        <w:rPr>
          <w:rFonts w:hint="eastAsia" w:hAnsi="宋体"/>
          <w:b/>
          <w:bCs/>
          <w:color w:val="auto"/>
          <w:sz w:val="24"/>
          <w:szCs w:val="28"/>
        </w:rPr>
        <w:t>人：</w:t>
      </w:r>
      <w:r>
        <w:rPr>
          <w:rFonts w:hint="eastAsia" w:hAnsi="宋体"/>
          <w:color w:val="auto"/>
          <w:sz w:val="24"/>
          <w:szCs w:val="28"/>
          <w:highlight w:val="none"/>
          <w:lang w:eastAsia="zh-CN"/>
        </w:rPr>
        <w:t>唐宇</w:t>
      </w:r>
    </w:p>
    <w:p>
      <w:pPr>
        <w:spacing w:line="360" w:lineRule="auto"/>
        <w:ind w:right="680" w:rightChars="200" w:firstLine="482" w:firstLineChars="200"/>
        <w:rPr>
          <w:rFonts w:hAnsi="宋体"/>
          <w:color w:val="auto"/>
          <w:sz w:val="24"/>
          <w:szCs w:val="28"/>
          <w:lang w:val="en-US"/>
        </w:rPr>
      </w:pPr>
      <w:r>
        <w:rPr>
          <w:rFonts w:hint="eastAsia" w:hAnsi="宋体"/>
          <w:b/>
          <w:bCs/>
          <w:color w:val="auto"/>
          <w:sz w:val="24"/>
          <w:szCs w:val="28"/>
          <w:highlight w:val="none"/>
        </w:rPr>
        <w:t xml:space="preserve">电 </w:t>
      </w:r>
      <w:r>
        <w:rPr>
          <w:rFonts w:hint="eastAsia" w:hAnsi="宋体"/>
          <w:b/>
          <w:bCs/>
          <w:color w:val="auto"/>
          <w:sz w:val="24"/>
          <w:szCs w:val="28"/>
          <w:highlight w:val="none"/>
          <w:lang w:val="en-US" w:eastAsia="zh-CN"/>
        </w:rPr>
        <w:t xml:space="preserve">  </w:t>
      </w:r>
      <w:r>
        <w:rPr>
          <w:rFonts w:hint="eastAsia" w:hAnsi="宋体"/>
          <w:b/>
          <w:bCs/>
          <w:color w:val="auto"/>
          <w:sz w:val="24"/>
          <w:szCs w:val="28"/>
          <w:highlight w:val="none"/>
        </w:rPr>
        <w:t xml:space="preserve"> 话：</w:t>
      </w:r>
      <w:r>
        <w:rPr>
          <w:rFonts w:hint="eastAsia" w:hAnsi="宋体"/>
          <w:color w:val="auto"/>
          <w:sz w:val="24"/>
          <w:szCs w:val="28"/>
          <w:highlight w:val="none"/>
          <w:lang w:val="en-US" w:eastAsia="zh-CN"/>
        </w:rPr>
        <w:t>0832-8237829</w:t>
      </w:r>
    </w:p>
    <w:p>
      <w:pPr>
        <w:spacing w:line="360" w:lineRule="auto"/>
        <w:ind w:right="680" w:rightChars="200"/>
        <w:rPr>
          <w:rFonts w:hint="eastAsia" w:hAnsi="宋体"/>
          <w:b/>
          <w:color w:val="auto"/>
          <w:sz w:val="24"/>
          <w:szCs w:val="28"/>
        </w:rPr>
      </w:pPr>
      <w:r>
        <w:rPr>
          <w:rFonts w:hint="eastAsia" w:hAnsi="宋体"/>
          <w:b/>
          <w:color w:val="auto"/>
          <w:sz w:val="24"/>
          <w:szCs w:val="28"/>
        </w:rPr>
        <w:t>十一、采购代理机构及项目联系人：</w:t>
      </w:r>
    </w:p>
    <w:p>
      <w:pPr>
        <w:spacing w:line="360" w:lineRule="auto"/>
        <w:ind w:right="680" w:rightChars="200" w:firstLine="482" w:firstLineChars="200"/>
        <w:rPr>
          <w:rFonts w:hAnsi="宋体" w:cs="宋体"/>
          <w:color w:val="auto"/>
          <w:sz w:val="24"/>
        </w:rPr>
      </w:pPr>
      <w:r>
        <w:rPr>
          <w:rFonts w:hint="eastAsia" w:hAnsi="宋体"/>
          <w:b/>
          <w:color w:val="auto"/>
          <w:sz w:val="24"/>
          <w:szCs w:val="28"/>
          <w:lang w:eastAsia="zh-CN"/>
        </w:rPr>
        <w:t>代理机构：</w:t>
      </w:r>
      <w:r>
        <w:rPr>
          <w:rFonts w:hint="eastAsia" w:hAnsi="宋体"/>
          <w:color w:val="auto"/>
          <w:sz w:val="24"/>
          <w:lang w:eastAsia="zh-CN"/>
        </w:rPr>
        <w:t>四川利阳招投标代理有限公司</w:t>
      </w:r>
    </w:p>
    <w:p>
      <w:pPr>
        <w:spacing w:line="360" w:lineRule="auto"/>
        <w:ind w:right="680" w:rightChars="200" w:firstLine="482" w:firstLineChars="200"/>
        <w:rPr>
          <w:rFonts w:hAnsi="宋体" w:cs="宋体"/>
          <w:color w:val="auto"/>
          <w:sz w:val="24"/>
        </w:rPr>
      </w:pPr>
      <w:r>
        <w:rPr>
          <w:rFonts w:hint="eastAsia" w:hAnsi="宋体"/>
          <w:b/>
          <w:bCs/>
          <w:color w:val="auto"/>
          <w:sz w:val="24"/>
          <w:szCs w:val="28"/>
        </w:rPr>
        <w:t>地</w:t>
      </w:r>
      <w:r>
        <w:rPr>
          <w:rFonts w:hAnsi="宋体"/>
          <w:b/>
          <w:bCs/>
          <w:color w:val="auto"/>
          <w:sz w:val="24"/>
          <w:szCs w:val="28"/>
        </w:rPr>
        <w:t xml:space="preserve"> </w:t>
      </w:r>
      <w:r>
        <w:rPr>
          <w:rFonts w:hint="eastAsia" w:hAnsi="宋体"/>
          <w:b/>
          <w:bCs/>
          <w:color w:val="auto"/>
          <w:sz w:val="24"/>
          <w:szCs w:val="28"/>
          <w:lang w:val="en-US" w:eastAsia="zh-CN"/>
        </w:rPr>
        <w:t xml:space="preserve">  </w:t>
      </w:r>
      <w:r>
        <w:rPr>
          <w:rFonts w:hAnsi="宋体"/>
          <w:b/>
          <w:bCs/>
          <w:color w:val="auto"/>
          <w:sz w:val="24"/>
          <w:szCs w:val="28"/>
        </w:rPr>
        <w:t xml:space="preserve"> </w:t>
      </w:r>
      <w:r>
        <w:rPr>
          <w:rFonts w:hint="eastAsia" w:hAnsi="宋体"/>
          <w:b/>
          <w:bCs/>
          <w:color w:val="auto"/>
          <w:sz w:val="24"/>
          <w:szCs w:val="28"/>
        </w:rPr>
        <w:t>址：</w:t>
      </w:r>
      <w:r>
        <w:rPr>
          <w:rFonts w:hint="eastAsia" w:hAnsi="宋体"/>
          <w:color w:val="auto"/>
          <w:sz w:val="24"/>
          <w:szCs w:val="28"/>
          <w:lang w:eastAsia="zh-CN"/>
        </w:rPr>
        <w:t>四川省威远县二环路西南段</w:t>
      </w:r>
      <w:r>
        <w:rPr>
          <w:rFonts w:hint="eastAsia" w:hAnsi="宋体"/>
          <w:color w:val="auto"/>
          <w:sz w:val="24"/>
          <w:szCs w:val="28"/>
          <w:lang w:val="en-US" w:eastAsia="zh-CN"/>
        </w:rPr>
        <w:t>265号</w:t>
      </w:r>
    </w:p>
    <w:p>
      <w:pPr>
        <w:spacing w:line="360" w:lineRule="auto"/>
        <w:ind w:right="680" w:rightChars="200" w:firstLine="482" w:firstLineChars="200"/>
        <w:rPr>
          <w:rFonts w:hAnsi="宋体" w:cs="宋体"/>
          <w:color w:val="auto"/>
          <w:sz w:val="24"/>
        </w:rPr>
      </w:pPr>
      <w:r>
        <w:rPr>
          <w:rFonts w:hint="eastAsia" w:hAnsi="宋体"/>
          <w:b/>
          <w:bCs/>
          <w:color w:val="auto"/>
          <w:sz w:val="24"/>
          <w:szCs w:val="28"/>
        </w:rPr>
        <w:t>联</w:t>
      </w:r>
      <w:r>
        <w:rPr>
          <w:rFonts w:hint="eastAsia" w:hAnsi="宋体"/>
          <w:b/>
          <w:bCs/>
          <w:color w:val="auto"/>
          <w:sz w:val="24"/>
          <w:szCs w:val="28"/>
          <w:lang w:val="en-US" w:eastAsia="zh-CN"/>
        </w:rPr>
        <w:t xml:space="preserve"> </w:t>
      </w:r>
      <w:r>
        <w:rPr>
          <w:rFonts w:hint="eastAsia" w:hAnsi="宋体"/>
          <w:b/>
          <w:bCs/>
          <w:color w:val="auto"/>
          <w:sz w:val="24"/>
          <w:szCs w:val="28"/>
        </w:rPr>
        <w:t>系</w:t>
      </w:r>
      <w:r>
        <w:rPr>
          <w:rFonts w:hint="eastAsia" w:hAnsi="宋体"/>
          <w:b/>
          <w:bCs/>
          <w:color w:val="auto"/>
          <w:sz w:val="24"/>
          <w:szCs w:val="28"/>
          <w:lang w:val="en-US" w:eastAsia="zh-CN"/>
        </w:rPr>
        <w:t xml:space="preserve"> </w:t>
      </w:r>
      <w:r>
        <w:rPr>
          <w:rFonts w:hint="eastAsia" w:hAnsi="宋体"/>
          <w:b/>
          <w:bCs/>
          <w:color w:val="auto"/>
          <w:sz w:val="24"/>
          <w:szCs w:val="28"/>
        </w:rPr>
        <w:t>人：</w:t>
      </w:r>
      <w:r>
        <w:rPr>
          <w:rFonts w:hint="eastAsia" w:hAnsi="宋体"/>
          <w:color w:val="auto"/>
          <w:sz w:val="24"/>
          <w:szCs w:val="28"/>
          <w:lang w:eastAsia="zh-CN"/>
        </w:rPr>
        <w:t>龙女士</w:t>
      </w:r>
    </w:p>
    <w:p>
      <w:pPr>
        <w:spacing w:line="360" w:lineRule="auto"/>
        <w:ind w:right="680" w:rightChars="200" w:firstLine="482" w:firstLineChars="200"/>
        <w:rPr>
          <w:rFonts w:hAnsi="宋体" w:cs="宋体"/>
          <w:color w:val="auto"/>
          <w:sz w:val="24"/>
        </w:rPr>
      </w:pPr>
      <w:r>
        <w:rPr>
          <w:rFonts w:hint="eastAsia" w:hAnsi="宋体"/>
          <w:b/>
          <w:bCs/>
          <w:color w:val="auto"/>
          <w:sz w:val="24"/>
          <w:szCs w:val="28"/>
        </w:rPr>
        <w:t>联系电话：</w:t>
      </w:r>
      <w:r>
        <w:rPr>
          <w:rFonts w:hint="eastAsia" w:hAnsi="宋体"/>
          <w:color w:val="auto"/>
          <w:sz w:val="24"/>
          <w:szCs w:val="28"/>
          <w:lang w:val="en-US" w:eastAsia="zh-CN"/>
        </w:rPr>
        <w:t>0832-5816789</w:t>
      </w:r>
    </w:p>
    <w:p>
      <w:pPr>
        <w:widowControl/>
        <w:spacing w:line="360" w:lineRule="auto"/>
        <w:jc w:val="left"/>
        <w:rPr>
          <w:rFonts w:hAnsi="宋体"/>
          <w:b/>
          <w:color w:val="auto"/>
          <w:kern w:val="44"/>
          <w:sz w:val="32"/>
        </w:rPr>
      </w:pPr>
      <w:r>
        <w:rPr>
          <w:color w:val="auto"/>
        </w:rPr>
        <w:br w:type="page"/>
      </w:r>
    </w:p>
    <w:p>
      <w:pPr>
        <w:pStyle w:val="3"/>
        <w:spacing w:before="0" w:after="0" w:line="360" w:lineRule="auto"/>
        <w:rPr>
          <w:color w:val="auto"/>
        </w:rPr>
      </w:pPr>
      <w:bookmarkStart w:id="23" w:name="_Toc22074"/>
      <w:r>
        <w:rPr>
          <w:rFonts w:hint="eastAsia"/>
          <w:color w:val="auto"/>
        </w:rPr>
        <w:t>第二部分</w:t>
      </w:r>
      <w:bookmarkEnd w:id="0"/>
      <w:bookmarkEnd w:id="1"/>
      <w:bookmarkEnd w:id="2"/>
      <w:bookmarkEnd w:id="3"/>
      <w:bookmarkEnd w:id="4"/>
      <w:bookmarkEnd w:id="5"/>
      <w:bookmarkEnd w:id="6"/>
      <w:bookmarkEnd w:id="7"/>
      <w:bookmarkEnd w:id="8"/>
      <w:r>
        <w:rPr>
          <w:rFonts w:hint="eastAsia"/>
          <w:color w:val="auto"/>
        </w:rPr>
        <w:t xml:space="preserve">  供应商谈判须知</w:t>
      </w:r>
      <w:bookmarkEnd w:id="9"/>
      <w:bookmarkEnd w:id="10"/>
      <w:bookmarkEnd w:id="11"/>
      <w:bookmarkEnd w:id="23"/>
      <w:bookmarkStart w:id="24" w:name="_Hlt101233739"/>
      <w:bookmarkEnd w:id="24"/>
    </w:p>
    <w:p>
      <w:pPr>
        <w:pStyle w:val="4"/>
        <w:spacing w:before="0" w:after="0"/>
        <w:rPr>
          <w:color w:val="auto"/>
        </w:rPr>
      </w:pPr>
      <w:bookmarkStart w:id="25" w:name="_Toc430773895"/>
      <w:bookmarkStart w:id="26" w:name="_Toc209847034"/>
      <w:r>
        <w:rPr>
          <w:rFonts w:hint="eastAsia"/>
          <w:color w:val="auto"/>
        </w:rPr>
        <w:t>一、供应商谈判须知附表</w:t>
      </w:r>
      <w:bookmarkEnd w:id="25"/>
      <w:bookmarkEnd w:id="26"/>
    </w:p>
    <w:tbl>
      <w:tblPr>
        <w:tblStyle w:val="55"/>
        <w:tblW w:w="9758" w:type="dxa"/>
        <w:jc w:val="center"/>
        <w:tblInd w:w="0" w:type="dxa"/>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465"/>
        <w:gridCol w:w="2064"/>
        <w:gridCol w:w="7229"/>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00" w:hRule="exact"/>
          <w:tblHeader/>
          <w:jc w:val="center"/>
        </w:trPr>
        <w:tc>
          <w:tcPr>
            <w:tcW w:w="465" w:type="dxa"/>
            <w:vAlign w:val="center"/>
          </w:tcPr>
          <w:p>
            <w:pPr>
              <w:spacing w:line="360" w:lineRule="auto"/>
              <w:jc w:val="center"/>
              <w:outlineLvl w:val="5"/>
              <w:rPr>
                <w:rFonts w:hAnsi="宋体"/>
                <w:bCs/>
                <w:color w:val="auto"/>
                <w:kern w:val="2"/>
                <w:sz w:val="21"/>
                <w:szCs w:val="21"/>
              </w:rPr>
            </w:pPr>
            <w:r>
              <w:rPr>
                <w:rFonts w:hint="eastAsia" w:hAnsi="宋体"/>
                <w:bCs/>
                <w:color w:val="auto"/>
                <w:kern w:val="2"/>
                <w:sz w:val="21"/>
                <w:szCs w:val="21"/>
              </w:rPr>
              <w:t xml:space="preserve">序号 </w:t>
            </w:r>
          </w:p>
        </w:tc>
        <w:tc>
          <w:tcPr>
            <w:tcW w:w="2064" w:type="dxa"/>
            <w:vAlign w:val="center"/>
          </w:tcPr>
          <w:p>
            <w:pPr>
              <w:spacing w:line="360" w:lineRule="auto"/>
              <w:jc w:val="center"/>
              <w:outlineLvl w:val="5"/>
              <w:rPr>
                <w:rFonts w:hAnsi="宋体"/>
                <w:bCs/>
                <w:color w:val="auto"/>
                <w:kern w:val="2"/>
                <w:sz w:val="21"/>
                <w:szCs w:val="21"/>
              </w:rPr>
            </w:pPr>
            <w:r>
              <w:rPr>
                <w:rFonts w:hint="eastAsia" w:hAnsi="宋体"/>
                <w:bCs/>
                <w:color w:val="auto"/>
                <w:kern w:val="2"/>
                <w:sz w:val="21"/>
                <w:szCs w:val="21"/>
              </w:rPr>
              <w:t>条款名称</w:t>
            </w:r>
          </w:p>
        </w:tc>
        <w:tc>
          <w:tcPr>
            <w:tcW w:w="7229" w:type="dxa"/>
            <w:vAlign w:val="center"/>
          </w:tcPr>
          <w:p>
            <w:pPr>
              <w:spacing w:line="360" w:lineRule="auto"/>
              <w:jc w:val="center"/>
              <w:outlineLvl w:val="5"/>
              <w:rPr>
                <w:rFonts w:hAnsi="宋体"/>
                <w:bCs/>
                <w:color w:val="auto"/>
                <w:kern w:val="2"/>
                <w:sz w:val="21"/>
                <w:szCs w:val="21"/>
              </w:rPr>
            </w:pPr>
            <w:r>
              <w:rPr>
                <w:rFonts w:hint="eastAsia" w:hAnsi="宋体"/>
                <w:bCs/>
                <w:color w:val="auto"/>
                <w:kern w:val="2"/>
                <w:sz w:val="21"/>
                <w:szCs w:val="21"/>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401" w:hRule="atLeast"/>
          <w:jc w:val="center"/>
        </w:trPr>
        <w:tc>
          <w:tcPr>
            <w:tcW w:w="465" w:type="dxa"/>
            <w:vAlign w:val="center"/>
          </w:tcPr>
          <w:p>
            <w:pPr>
              <w:spacing w:line="360" w:lineRule="auto"/>
              <w:jc w:val="center"/>
              <w:outlineLvl w:val="5"/>
              <w:rPr>
                <w:rFonts w:hAnsi="宋体"/>
                <w:bCs/>
                <w:color w:val="auto"/>
                <w:kern w:val="2"/>
                <w:sz w:val="21"/>
                <w:szCs w:val="21"/>
              </w:rPr>
            </w:pPr>
            <w:r>
              <w:rPr>
                <w:rFonts w:hint="eastAsia" w:hAnsi="宋体"/>
                <w:bCs/>
                <w:color w:val="auto"/>
                <w:kern w:val="2"/>
                <w:sz w:val="21"/>
                <w:szCs w:val="21"/>
              </w:rPr>
              <w:t>1</w:t>
            </w:r>
          </w:p>
        </w:tc>
        <w:tc>
          <w:tcPr>
            <w:tcW w:w="2064" w:type="dxa"/>
            <w:vAlign w:val="center"/>
          </w:tcPr>
          <w:p>
            <w:pPr>
              <w:spacing w:line="360" w:lineRule="auto"/>
              <w:jc w:val="center"/>
              <w:outlineLvl w:val="5"/>
              <w:rPr>
                <w:rFonts w:hAnsi="宋体"/>
                <w:bCs/>
                <w:color w:val="auto"/>
                <w:kern w:val="2"/>
                <w:sz w:val="21"/>
                <w:szCs w:val="21"/>
              </w:rPr>
            </w:pPr>
            <w:r>
              <w:rPr>
                <w:rFonts w:hint="eastAsia" w:hAnsi="宋体"/>
                <w:bCs/>
                <w:color w:val="auto"/>
                <w:kern w:val="2"/>
                <w:sz w:val="21"/>
                <w:szCs w:val="21"/>
              </w:rPr>
              <w:t>采购人</w:t>
            </w:r>
          </w:p>
        </w:tc>
        <w:tc>
          <w:tcPr>
            <w:tcW w:w="7229" w:type="dxa"/>
            <w:vAlign w:val="center"/>
          </w:tcPr>
          <w:p>
            <w:pPr>
              <w:spacing w:line="360" w:lineRule="auto"/>
              <w:ind w:firstLine="210" w:firstLineChars="100"/>
              <w:jc w:val="both"/>
              <w:outlineLvl w:val="5"/>
              <w:rPr>
                <w:rFonts w:hint="eastAsia" w:hAnsi="宋体"/>
                <w:bCs/>
                <w:color w:val="auto"/>
                <w:kern w:val="2"/>
                <w:sz w:val="21"/>
                <w:szCs w:val="21"/>
                <w:lang w:eastAsia="zh-CN"/>
              </w:rPr>
            </w:pPr>
            <w:r>
              <w:rPr>
                <w:rFonts w:hint="eastAsia" w:hAnsi="宋体"/>
                <w:bCs/>
                <w:color w:val="auto"/>
                <w:kern w:val="2"/>
                <w:sz w:val="21"/>
                <w:szCs w:val="21"/>
              </w:rPr>
              <w:t>威远投资控股集团有限责任公司</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413" w:hRule="atLeast"/>
          <w:jc w:val="center"/>
        </w:trPr>
        <w:tc>
          <w:tcPr>
            <w:tcW w:w="465" w:type="dxa"/>
            <w:vAlign w:val="center"/>
          </w:tcPr>
          <w:p>
            <w:pPr>
              <w:spacing w:line="360" w:lineRule="auto"/>
              <w:jc w:val="center"/>
              <w:outlineLvl w:val="5"/>
              <w:rPr>
                <w:rFonts w:hAnsi="宋体"/>
                <w:bCs/>
                <w:color w:val="auto"/>
                <w:kern w:val="2"/>
                <w:sz w:val="21"/>
                <w:szCs w:val="21"/>
              </w:rPr>
            </w:pPr>
            <w:r>
              <w:rPr>
                <w:rFonts w:hint="eastAsia" w:hAnsi="宋体"/>
                <w:bCs/>
                <w:color w:val="auto"/>
                <w:kern w:val="2"/>
                <w:sz w:val="21"/>
                <w:szCs w:val="21"/>
              </w:rPr>
              <w:t>2</w:t>
            </w:r>
          </w:p>
        </w:tc>
        <w:tc>
          <w:tcPr>
            <w:tcW w:w="2064" w:type="dxa"/>
            <w:vAlign w:val="center"/>
          </w:tcPr>
          <w:p>
            <w:pPr>
              <w:spacing w:line="360" w:lineRule="auto"/>
              <w:ind w:right="289" w:rightChars="85"/>
              <w:jc w:val="center"/>
              <w:outlineLvl w:val="5"/>
              <w:rPr>
                <w:rFonts w:hAnsi="宋体"/>
                <w:bCs/>
                <w:color w:val="auto"/>
                <w:kern w:val="2"/>
                <w:sz w:val="21"/>
                <w:szCs w:val="21"/>
              </w:rPr>
            </w:pPr>
            <w:r>
              <w:rPr>
                <w:rFonts w:hint="eastAsia" w:hAnsi="宋体"/>
                <w:bCs/>
                <w:color w:val="auto"/>
                <w:kern w:val="2"/>
                <w:sz w:val="21"/>
                <w:szCs w:val="21"/>
                <w:lang w:val="en-US" w:eastAsia="zh-CN"/>
              </w:rPr>
              <w:t xml:space="preserve">   </w:t>
            </w:r>
            <w:r>
              <w:rPr>
                <w:rFonts w:hint="eastAsia" w:hAnsi="宋体"/>
                <w:bCs/>
                <w:color w:val="auto"/>
                <w:kern w:val="2"/>
                <w:sz w:val="21"/>
                <w:szCs w:val="21"/>
              </w:rPr>
              <w:t>采购代理机构</w:t>
            </w:r>
          </w:p>
        </w:tc>
        <w:tc>
          <w:tcPr>
            <w:tcW w:w="7229" w:type="dxa"/>
            <w:vAlign w:val="center"/>
          </w:tcPr>
          <w:p>
            <w:pPr>
              <w:spacing w:line="360" w:lineRule="auto"/>
              <w:ind w:firstLine="210" w:firstLineChars="100"/>
              <w:jc w:val="left"/>
              <w:outlineLvl w:val="5"/>
              <w:rPr>
                <w:rFonts w:hint="eastAsia" w:hAnsi="宋体"/>
                <w:bCs/>
                <w:color w:val="auto"/>
                <w:kern w:val="2"/>
                <w:sz w:val="21"/>
                <w:szCs w:val="21"/>
              </w:rPr>
            </w:pPr>
            <w:r>
              <w:rPr>
                <w:rFonts w:hint="eastAsia" w:hAnsi="宋体"/>
                <w:bCs/>
                <w:color w:val="auto"/>
                <w:kern w:val="2"/>
                <w:sz w:val="21"/>
                <w:szCs w:val="21"/>
                <w:lang w:eastAsia="zh-CN"/>
              </w:rPr>
              <w:t>四川利阳招投标代理有限公司</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450" w:hRule="atLeast"/>
          <w:jc w:val="center"/>
        </w:trPr>
        <w:tc>
          <w:tcPr>
            <w:tcW w:w="465" w:type="dxa"/>
            <w:vAlign w:val="center"/>
          </w:tcPr>
          <w:p>
            <w:pPr>
              <w:spacing w:line="360" w:lineRule="auto"/>
              <w:jc w:val="center"/>
              <w:outlineLvl w:val="5"/>
              <w:rPr>
                <w:rFonts w:hAnsi="宋体"/>
                <w:bCs/>
                <w:color w:val="auto"/>
                <w:kern w:val="2"/>
                <w:sz w:val="21"/>
                <w:szCs w:val="21"/>
              </w:rPr>
            </w:pPr>
            <w:r>
              <w:rPr>
                <w:rFonts w:hint="eastAsia" w:hAnsi="宋体"/>
                <w:bCs/>
                <w:color w:val="auto"/>
                <w:kern w:val="2"/>
                <w:sz w:val="21"/>
                <w:szCs w:val="21"/>
              </w:rPr>
              <w:t>3</w:t>
            </w:r>
          </w:p>
        </w:tc>
        <w:tc>
          <w:tcPr>
            <w:tcW w:w="2064" w:type="dxa"/>
            <w:vAlign w:val="center"/>
          </w:tcPr>
          <w:p>
            <w:pPr>
              <w:spacing w:line="360" w:lineRule="auto"/>
              <w:jc w:val="center"/>
              <w:outlineLvl w:val="5"/>
              <w:rPr>
                <w:rFonts w:hAnsi="宋体"/>
                <w:bCs/>
                <w:color w:val="auto"/>
                <w:kern w:val="2"/>
                <w:sz w:val="21"/>
                <w:szCs w:val="21"/>
              </w:rPr>
            </w:pPr>
            <w:r>
              <w:rPr>
                <w:rFonts w:hint="eastAsia" w:hAnsi="宋体"/>
                <w:bCs/>
                <w:color w:val="auto"/>
                <w:kern w:val="2"/>
                <w:sz w:val="21"/>
                <w:szCs w:val="21"/>
              </w:rPr>
              <w:t>采购项目名称</w:t>
            </w:r>
          </w:p>
        </w:tc>
        <w:tc>
          <w:tcPr>
            <w:tcW w:w="7229" w:type="dxa"/>
            <w:vAlign w:val="center"/>
          </w:tcPr>
          <w:p>
            <w:pPr>
              <w:snapToGrid w:val="0"/>
              <w:spacing w:line="360" w:lineRule="auto"/>
              <w:ind w:firstLine="210" w:firstLineChars="100"/>
              <w:jc w:val="left"/>
              <w:outlineLvl w:val="5"/>
              <w:rPr>
                <w:rFonts w:hint="eastAsia" w:hAnsi="宋体" w:eastAsia="宋体"/>
                <w:bCs/>
                <w:color w:val="auto"/>
                <w:kern w:val="2"/>
                <w:sz w:val="21"/>
                <w:szCs w:val="21"/>
                <w:lang w:eastAsia="zh-CN"/>
              </w:rPr>
            </w:pPr>
            <w:r>
              <w:rPr>
                <w:rFonts w:hint="eastAsia" w:hAnsi="宋体"/>
                <w:bCs/>
                <w:color w:val="auto"/>
                <w:kern w:val="2"/>
                <w:sz w:val="21"/>
                <w:szCs w:val="21"/>
                <w:lang w:eastAsia="zh-CN"/>
              </w:rPr>
              <w:t>连界镇污水处理厂化验室办公设备及器具和常规药剂采购项目</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0" w:hRule="atLeast"/>
          <w:jc w:val="center"/>
        </w:trPr>
        <w:tc>
          <w:tcPr>
            <w:tcW w:w="465" w:type="dxa"/>
            <w:vAlign w:val="center"/>
          </w:tcPr>
          <w:p>
            <w:pPr>
              <w:spacing w:line="360" w:lineRule="auto"/>
              <w:jc w:val="center"/>
              <w:outlineLvl w:val="5"/>
              <w:rPr>
                <w:rFonts w:hAnsi="宋体"/>
                <w:bCs/>
                <w:color w:val="auto"/>
                <w:kern w:val="2"/>
                <w:sz w:val="21"/>
                <w:szCs w:val="21"/>
              </w:rPr>
            </w:pPr>
            <w:r>
              <w:rPr>
                <w:rFonts w:hint="eastAsia" w:hAnsi="宋体"/>
                <w:bCs/>
                <w:color w:val="auto"/>
                <w:kern w:val="2"/>
                <w:sz w:val="21"/>
                <w:szCs w:val="21"/>
              </w:rPr>
              <w:t>4</w:t>
            </w:r>
          </w:p>
        </w:tc>
        <w:tc>
          <w:tcPr>
            <w:tcW w:w="2064" w:type="dxa"/>
            <w:vAlign w:val="center"/>
          </w:tcPr>
          <w:p>
            <w:pPr>
              <w:spacing w:line="360" w:lineRule="auto"/>
              <w:jc w:val="center"/>
              <w:outlineLvl w:val="5"/>
              <w:rPr>
                <w:rFonts w:hAnsi="宋体"/>
                <w:bCs/>
                <w:color w:val="auto"/>
                <w:kern w:val="2"/>
                <w:sz w:val="21"/>
                <w:szCs w:val="21"/>
              </w:rPr>
            </w:pPr>
            <w:r>
              <w:rPr>
                <w:rFonts w:hint="eastAsia" w:hAnsi="宋体"/>
                <w:bCs/>
                <w:color w:val="auto"/>
                <w:kern w:val="2"/>
                <w:sz w:val="21"/>
                <w:szCs w:val="21"/>
              </w:rPr>
              <w:t>谈判文件编号</w:t>
            </w:r>
          </w:p>
        </w:tc>
        <w:tc>
          <w:tcPr>
            <w:tcW w:w="7229" w:type="dxa"/>
            <w:vAlign w:val="center"/>
          </w:tcPr>
          <w:p>
            <w:pPr>
              <w:snapToGrid w:val="0"/>
              <w:spacing w:line="360" w:lineRule="auto"/>
              <w:ind w:firstLine="210" w:firstLineChars="100"/>
              <w:outlineLvl w:val="5"/>
              <w:rPr>
                <w:rFonts w:hint="eastAsia" w:hAnsi="宋体" w:eastAsia="宋体"/>
                <w:bCs/>
                <w:color w:val="auto"/>
                <w:kern w:val="2"/>
                <w:sz w:val="21"/>
                <w:szCs w:val="21"/>
                <w:lang w:val="en-US" w:eastAsia="zh-CN"/>
              </w:rPr>
            </w:pPr>
            <w:r>
              <w:rPr>
                <w:rFonts w:hint="eastAsia" w:hAnsi="宋体"/>
                <w:bCs/>
                <w:color w:val="auto"/>
                <w:kern w:val="2"/>
                <w:sz w:val="21"/>
                <w:szCs w:val="21"/>
                <w:lang w:val="en-US" w:eastAsia="zh-CN"/>
              </w:rPr>
              <w:t>SCLY2018-TP004</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450" w:hRule="atLeast"/>
          <w:jc w:val="center"/>
        </w:trPr>
        <w:tc>
          <w:tcPr>
            <w:tcW w:w="465" w:type="dxa"/>
            <w:vAlign w:val="center"/>
          </w:tcPr>
          <w:p>
            <w:pPr>
              <w:spacing w:line="360" w:lineRule="auto"/>
              <w:jc w:val="center"/>
              <w:outlineLvl w:val="5"/>
              <w:rPr>
                <w:rFonts w:hAnsi="宋体"/>
                <w:bCs/>
                <w:color w:val="auto"/>
                <w:kern w:val="2"/>
                <w:sz w:val="21"/>
                <w:szCs w:val="21"/>
              </w:rPr>
            </w:pPr>
            <w:r>
              <w:rPr>
                <w:rFonts w:hint="eastAsia" w:hAnsi="宋体"/>
                <w:bCs/>
                <w:color w:val="auto"/>
                <w:kern w:val="2"/>
                <w:sz w:val="21"/>
                <w:szCs w:val="21"/>
              </w:rPr>
              <w:t>5</w:t>
            </w:r>
          </w:p>
        </w:tc>
        <w:tc>
          <w:tcPr>
            <w:tcW w:w="2064" w:type="dxa"/>
            <w:vAlign w:val="center"/>
          </w:tcPr>
          <w:p>
            <w:pPr>
              <w:spacing w:line="360" w:lineRule="auto"/>
              <w:jc w:val="center"/>
              <w:outlineLvl w:val="5"/>
              <w:rPr>
                <w:rFonts w:hAnsi="宋体"/>
                <w:bCs/>
                <w:color w:val="auto"/>
                <w:kern w:val="2"/>
                <w:sz w:val="21"/>
                <w:szCs w:val="21"/>
              </w:rPr>
            </w:pPr>
            <w:r>
              <w:rPr>
                <w:rFonts w:hint="eastAsia" w:hAnsi="宋体"/>
                <w:bCs/>
                <w:color w:val="auto"/>
                <w:kern w:val="2"/>
                <w:sz w:val="21"/>
                <w:szCs w:val="21"/>
              </w:rPr>
              <w:t>资金来源</w:t>
            </w:r>
          </w:p>
        </w:tc>
        <w:tc>
          <w:tcPr>
            <w:tcW w:w="7229" w:type="dxa"/>
            <w:vAlign w:val="center"/>
          </w:tcPr>
          <w:p>
            <w:pPr>
              <w:snapToGrid w:val="0"/>
              <w:spacing w:line="360" w:lineRule="auto"/>
              <w:ind w:firstLine="210" w:firstLineChars="100"/>
              <w:outlineLvl w:val="5"/>
              <w:rPr>
                <w:rFonts w:hAnsi="宋体"/>
                <w:bCs/>
                <w:color w:val="auto"/>
                <w:kern w:val="2"/>
                <w:sz w:val="21"/>
                <w:szCs w:val="21"/>
              </w:rPr>
            </w:pPr>
            <w:r>
              <w:rPr>
                <w:rFonts w:hint="eastAsia" w:hAnsi="宋体"/>
                <w:bCs/>
                <w:color w:val="auto"/>
                <w:kern w:val="2"/>
                <w:sz w:val="21"/>
                <w:szCs w:val="21"/>
                <w:lang w:eastAsia="zh-CN"/>
              </w:rPr>
              <w:t>自由</w:t>
            </w:r>
            <w:r>
              <w:rPr>
                <w:rFonts w:hint="eastAsia" w:hAnsi="宋体"/>
                <w:bCs/>
                <w:color w:val="auto"/>
                <w:kern w:val="2"/>
                <w:sz w:val="21"/>
                <w:szCs w:val="21"/>
              </w:rPr>
              <w:t>资金，已落实。</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41" w:hRule="atLeast"/>
          <w:jc w:val="center"/>
        </w:trPr>
        <w:tc>
          <w:tcPr>
            <w:tcW w:w="465" w:type="dxa"/>
            <w:vMerge w:val="restart"/>
            <w:vAlign w:val="center"/>
          </w:tcPr>
          <w:p>
            <w:pPr>
              <w:spacing w:line="360" w:lineRule="auto"/>
              <w:jc w:val="center"/>
              <w:outlineLvl w:val="5"/>
              <w:rPr>
                <w:rFonts w:hAnsi="宋体"/>
                <w:bCs/>
                <w:color w:val="auto"/>
                <w:kern w:val="2"/>
                <w:sz w:val="21"/>
                <w:szCs w:val="21"/>
              </w:rPr>
            </w:pPr>
            <w:r>
              <w:rPr>
                <w:rFonts w:hint="eastAsia" w:hAnsi="宋体"/>
                <w:bCs/>
                <w:color w:val="auto"/>
                <w:kern w:val="2"/>
                <w:sz w:val="21"/>
                <w:szCs w:val="21"/>
              </w:rPr>
              <w:t>6</w:t>
            </w:r>
          </w:p>
        </w:tc>
        <w:tc>
          <w:tcPr>
            <w:tcW w:w="2064" w:type="dxa"/>
            <w:tcBorders>
              <w:bottom w:val="single" w:color="auto" w:sz="4" w:space="0"/>
            </w:tcBorders>
            <w:vAlign w:val="center"/>
          </w:tcPr>
          <w:p>
            <w:pPr>
              <w:spacing w:line="360" w:lineRule="auto"/>
              <w:jc w:val="center"/>
              <w:outlineLvl w:val="5"/>
              <w:rPr>
                <w:rFonts w:hAnsi="宋体"/>
                <w:bCs/>
                <w:color w:val="auto"/>
                <w:kern w:val="2"/>
                <w:sz w:val="21"/>
                <w:szCs w:val="21"/>
              </w:rPr>
            </w:pPr>
            <w:r>
              <w:rPr>
                <w:rFonts w:hint="eastAsia" w:hAnsi="宋体"/>
                <w:bCs/>
                <w:color w:val="auto"/>
                <w:kern w:val="2"/>
                <w:sz w:val="21"/>
                <w:szCs w:val="21"/>
              </w:rPr>
              <w:t>采购预算</w:t>
            </w:r>
          </w:p>
          <w:p>
            <w:pPr>
              <w:spacing w:line="360" w:lineRule="auto"/>
              <w:jc w:val="center"/>
              <w:outlineLvl w:val="5"/>
              <w:rPr>
                <w:rFonts w:hAnsi="宋体"/>
                <w:bCs/>
                <w:color w:val="auto"/>
                <w:kern w:val="2"/>
                <w:sz w:val="21"/>
                <w:szCs w:val="21"/>
              </w:rPr>
            </w:pPr>
            <w:r>
              <w:rPr>
                <w:rFonts w:hint="eastAsia" w:hAnsi="宋体"/>
                <w:bCs/>
                <w:color w:val="auto"/>
                <w:kern w:val="2"/>
                <w:sz w:val="21"/>
                <w:szCs w:val="21"/>
              </w:rPr>
              <w:t>（实质性要求）</w:t>
            </w:r>
          </w:p>
        </w:tc>
        <w:tc>
          <w:tcPr>
            <w:tcW w:w="7229" w:type="dxa"/>
            <w:tcBorders>
              <w:bottom w:val="single" w:color="auto" w:sz="4" w:space="0"/>
            </w:tcBorders>
            <w:vAlign w:val="center"/>
          </w:tcPr>
          <w:p>
            <w:pPr>
              <w:snapToGrid w:val="0"/>
              <w:spacing w:line="360" w:lineRule="auto"/>
              <w:ind w:firstLine="210" w:firstLineChars="100"/>
              <w:jc w:val="left"/>
              <w:outlineLvl w:val="5"/>
              <w:rPr>
                <w:rFonts w:hAnsi="宋体"/>
                <w:bCs/>
                <w:color w:val="auto"/>
                <w:kern w:val="2"/>
                <w:sz w:val="21"/>
                <w:szCs w:val="21"/>
              </w:rPr>
            </w:pPr>
            <w:r>
              <w:rPr>
                <w:rFonts w:hint="eastAsia" w:hAnsi="宋体"/>
                <w:bCs/>
                <w:color w:val="auto"/>
                <w:kern w:val="2"/>
                <w:sz w:val="21"/>
                <w:szCs w:val="21"/>
                <w:lang w:eastAsia="zh-CN"/>
              </w:rPr>
              <w:t>第一包</w:t>
            </w:r>
            <w:r>
              <w:rPr>
                <w:rFonts w:hint="eastAsia" w:hAnsi="宋体"/>
                <w:bCs/>
                <w:color w:val="auto"/>
                <w:kern w:val="2"/>
                <w:sz w:val="21"/>
                <w:szCs w:val="21"/>
              </w:rPr>
              <w:t>采购预算：</w:t>
            </w:r>
            <w:r>
              <w:rPr>
                <w:rFonts w:hint="eastAsia" w:hAnsi="宋体"/>
                <w:bCs/>
                <w:color w:val="auto"/>
                <w:kern w:val="2"/>
                <w:sz w:val="21"/>
                <w:szCs w:val="21"/>
                <w:lang w:val="en-US" w:eastAsia="zh-CN"/>
              </w:rPr>
              <w:t>78520.00</w:t>
            </w:r>
            <w:r>
              <w:rPr>
                <w:rFonts w:hint="eastAsia" w:hAnsi="宋体"/>
                <w:bCs/>
                <w:color w:val="auto"/>
                <w:kern w:val="2"/>
                <w:sz w:val="21"/>
                <w:szCs w:val="21"/>
              </w:rPr>
              <w:t>元</w:t>
            </w:r>
            <w:r>
              <w:rPr>
                <w:rFonts w:hint="eastAsia" w:hAnsi="宋体"/>
                <w:bCs/>
                <w:color w:val="auto"/>
                <w:kern w:val="2"/>
                <w:sz w:val="21"/>
                <w:szCs w:val="21"/>
                <w:lang w:eastAsia="zh-CN"/>
              </w:rPr>
              <w:t>；第二包采购预算：</w:t>
            </w:r>
            <w:r>
              <w:rPr>
                <w:rFonts w:hint="eastAsia" w:hAnsi="宋体"/>
                <w:bCs/>
                <w:color w:val="auto"/>
                <w:kern w:val="2"/>
                <w:sz w:val="21"/>
                <w:szCs w:val="21"/>
                <w:lang w:val="en-US" w:eastAsia="zh-CN"/>
              </w:rPr>
              <w:t>149000.00元；</w:t>
            </w:r>
            <w:r>
              <w:rPr>
                <w:rFonts w:hint="eastAsia" w:hAnsi="宋体"/>
                <w:bCs/>
                <w:color w:val="auto"/>
                <w:kern w:val="2"/>
                <w:sz w:val="21"/>
                <w:szCs w:val="21"/>
              </w:rPr>
              <w:t>超过采购预算的报价为无效报价。</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260" w:hRule="atLeast"/>
          <w:jc w:val="center"/>
        </w:trPr>
        <w:tc>
          <w:tcPr>
            <w:tcW w:w="465" w:type="dxa"/>
            <w:vMerge w:val="continue"/>
            <w:vAlign w:val="center"/>
          </w:tcPr>
          <w:p>
            <w:pPr>
              <w:spacing w:line="360" w:lineRule="auto"/>
              <w:jc w:val="center"/>
              <w:outlineLvl w:val="5"/>
              <w:rPr>
                <w:rFonts w:hAnsi="宋体"/>
                <w:bCs/>
                <w:color w:val="auto"/>
                <w:kern w:val="2"/>
                <w:sz w:val="21"/>
                <w:szCs w:val="21"/>
              </w:rPr>
            </w:pPr>
          </w:p>
        </w:tc>
        <w:tc>
          <w:tcPr>
            <w:tcW w:w="2064" w:type="dxa"/>
            <w:tcBorders>
              <w:top w:val="single" w:color="auto" w:sz="4" w:space="0"/>
            </w:tcBorders>
            <w:vAlign w:val="center"/>
          </w:tcPr>
          <w:p>
            <w:pPr>
              <w:spacing w:line="360" w:lineRule="auto"/>
              <w:jc w:val="center"/>
              <w:outlineLvl w:val="5"/>
              <w:rPr>
                <w:rFonts w:hAnsi="宋体"/>
                <w:bCs/>
                <w:color w:val="auto"/>
                <w:kern w:val="2"/>
                <w:sz w:val="21"/>
                <w:szCs w:val="21"/>
              </w:rPr>
            </w:pPr>
            <w:r>
              <w:rPr>
                <w:rFonts w:hint="eastAsia" w:hAnsi="宋体"/>
                <w:bCs/>
                <w:color w:val="auto"/>
                <w:kern w:val="2"/>
                <w:sz w:val="21"/>
                <w:szCs w:val="21"/>
              </w:rPr>
              <w:t>最高限价</w:t>
            </w:r>
          </w:p>
          <w:p>
            <w:pPr>
              <w:spacing w:line="360" w:lineRule="auto"/>
              <w:jc w:val="center"/>
              <w:outlineLvl w:val="5"/>
              <w:rPr>
                <w:rFonts w:hAnsi="宋体"/>
                <w:bCs/>
                <w:color w:val="auto"/>
                <w:kern w:val="2"/>
                <w:sz w:val="21"/>
                <w:szCs w:val="21"/>
              </w:rPr>
            </w:pPr>
            <w:r>
              <w:rPr>
                <w:rFonts w:hint="eastAsia" w:hAnsi="宋体"/>
                <w:bCs/>
                <w:color w:val="auto"/>
                <w:kern w:val="2"/>
                <w:sz w:val="21"/>
                <w:szCs w:val="21"/>
              </w:rPr>
              <w:t>（实质性要求）</w:t>
            </w:r>
          </w:p>
        </w:tc>
        <w:tc>
          <w:tcPr>
            <w:tcW w:w="7229" w:type="dxa"/>
            <w:tcBorders>
              <w:top w:val="single" w:color="auto" w:sz="4" w:space="0"/>
            </w:tcBorders>
          </w:tcPr>
          <w:p>
            <w:pPr>
              <w:snapToGrid w:val="0"/>
              <w:spacing w:line="360" w:lineRule="auto"/>
              <w:ind w:firstLine="210" w:firstLineChars="100"/>
              <w:jc w:val="left"/>
              <w:outlineLvl w:val="5"/>
              <w:rPr>
                <w:rFonts w:hAnsi="宋体"/>
                <w:bCs/>
                <w:color w:val="auto"/>
                <w:kern w:val="2"/>
                <w:sz w:val="21"/>
                <w:szCs w:val="21"/>
              </w:rPr>
            </w:pPr>
            <w:r>
              <w:rPr>
                <w:rFonts w:hint="eastAsia" w:hAnsi="宋体"/>
                <w:bCs/>
                <w:color w:val="auto"/>
                <w:kern w:val="2"/>
                <w:sz w:val="21"/>
                <w:szCs w:val="21"/>
                <w:lang w:eastAsia="zh-CN"/>
              </w:rPr>
              <w:t>第一包</w:t>
            </w:r>
            <w:r>
              <w:rPr>
                <w:rFonts w:hint="eastAsia" w:hAnsi="宋体"/>
                <w:bCs/>
                <w:color w:val="auto"/>
                <w:kern w:val="2"/>
                <w:sz w:val="21"/>
                <w:szCs w:val="21"/>
              </w:rPr>
              <w:t>采购预算：</w:t>
            </w:r>
            <w:r>
              <w:rPr>
                <w:rFonts w:hint="eastAsia" w:hAnsi="宋体"/>
                <w:bCs/>
                <w:color w:val="auto"/>
                <w:kern w:val="2"/>
                <w:sz w:val="21"/>
                <w:szCs w:val="21"/>
                <w:lang w:val="en-US" w:eastAsia="zh-CN"/>
              </w:rPr>
              <w:t>78520.00</w:t>
            </w:r>
            <w:r>
              <w:rPr>
                <w:rFonts w:hint="eastAsia" w:hAnsi="宋体"/>
                <w:bCs/>
                <w:color w:val="auto"/>
                <w:kern w:val="2"/>
                <w:sz w:val="21"/>
                <w:szCs w:val="21"/>
              </w:rPr>
              <w:t>元</w:t>
            </w:r>
            <w:r>
              <w:rPr>
                <w:rFonts w:hint="eastAsia" w:hAnsi="宋体"/>
                <w:bCs/>
                <w:color w:val="auto"/>
                <w:kern w:val="2"/>
                <w:sz w:val="21"/>
                <w:szCs w:val="21"/>
                <w:lang w:eastAsia="zh-CN"/>
              </w:rPr>
              <w:t>；第二包采购预算：</w:t>
            </w:r>
            <w:r>
              <w:rPr>
                <w:rFonts w:hint="eastAsia" w:hAnsi="宋体"/>
                <w:bCs/>
                <w:color w:val="auto"/>
                <w:kern w:val="2"/>
                <w:sz w:val="21"/>
                <w:szCs w:val="21"/>
                <w:lang w:val="en-US" w:eastAsia="zh-CN"/>
              </w:rPr>
              <w:t>149000.00元；</w:t>
            </w:r>
            <w:r>
              <w:rPr>
                <w:rFonts w:hint="eastAsia" w:hAnsi="宋体"/>
                <w:bCs/>
                <w:color w:val="auto"/>
                <w:kern w:val="2"/>
                <w:sz w:val="21"/>
                <w:szCs w:val="21"/>
              </w:rPr>
              <w:t>超过最高限价的报价为无效报价。</w:t>
            </w:r>
          </w:p>
          <w:p>
            <w:pPr>
              <w:snapToGrid w:val="0"/>
              <w:spacing w:line="360" w:lineRule="auto"/>
              <w:ind w:firstLine="210" w:firstLineChars="100"/>
              <w:jc w:val="left"/>
              <w:outlineLvl w:val="5"/>
              <w:rPr>
                <w:rFonts w:hAnsi="宋体"/>
                <w:bCs/>
                <w:color w:val="auto"/>
                <w:kern w:val="2"/>
                <w:sz w:val="21"/>
                <w:szCs w:val="21"/>
              </w:rPr>
            </w:pPr>
            <w:r>
              <w:rPr>
                <w:rFonts w:hint="eastAsia" w:hAnsi="宋体"/>
                <w:bCs/>
                <w:color w:val="auto"/>
                <w:kern w:val="2"/>
                <w:sz w:val="21"/>
                <w:szCs w:val="21"/>
              </w:rPr>
              <w:t>采购项目分包采购的，在采购金额未超过采购项目总预算金额前提下，采购人可以在评审过程中临时调剂各包采购限价（预算金额不得调整；财政预算明确到各包的不得调整），临时调剂的内容，在评审报告中记录。</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30" w:hRule="atLeast"/>
          <w:jc w:val="center"/>
        </w:trPr>
        <w:tc>
          <w:tcPr>
            <w:tcW w:w="465" w:type="dxa"/>
            <w:vAlign w:val="center"/>
          </w:tcPr>
          <w:p>
            <w:pPr>
              <w:spacing w:line="360" w:lineRule="auto"/>
              <w:jc w:val="center"/>
              <w:outlineLvl w:val="5"/>
              <w:rPr>
                <w:rFonts w:hAnsi="宋体"/>
                <w:bCs/>
                <w:color w:val="auto"/>
                <w:kern w:val="2"/>
                <w:sz w:val="21"/>
                <w:szCs w:val="21"/>
              </w:rPr>
            </w:pPr>
            <w:r>
              <w:rPr>
                <w:rFonts w:hint="eastAsia" w:hAnsi="宋体"/>
                <w:bCs/>
                <w:color w:val="auto"/>
                <w:kern w:val="2"/>
                <w:sz w:val="21"/>
                <w:szCs w:val="21"/>
              </w:rPr>
              <w:t>7</w:t>
            </w:r>
          </w:p>
        </w:tc>
        <w:tc>
          <w:tcPr>
            <w:tcW w:w="2064" w:type="dxa"/>
            <w:vAlign w:val="center"/>
          </w:tcPr>
          <w:p>
            <w:pPr>
              <w:spacing w:line="360" w:lineRule="auto"/>
              <w:jc w:val="center"/>
              <w:outlineLvl w:val="5"/>
              <w:rPr>
                <w:rFonts w:hAnsi="宋体"/>
                <w:bCs/>
                <w:color w:val="auto"/>
                <w:kern w:val="2"/>
                <w:sz w:val="21"/>
                <w:szCs w:val="21"/>
              </w:rPr>
            </w:pPr>
            <w:r>
              <w:rPr>
                <w:rFonts w:hint="eastAsia" w:hAnsi="宋体"/>
                <w:bCs/>
                <w:color w:val="auto"/>
                <w:kern w:val="2"/>
                <w:sz w:val="21"/>
                <w:szCs w:val="21"/>
              </w:rPr>
              <w:t>低于成本价不正当</w:t>
            </w:r>
          </w:p>
          <w:p>
            <w:pPr>
              <w:spacing w:line="360" w:lineRule="auto"/>
              <w:jc w:val="center"/>
              <w:outlineLvl w:val="5"/>
              <w:rPr>
                <w:rFonts w:hAnsi="宋体"/>
                <w:bCs/>
                <w:color w:val="auto"/>
                <w:kern w:val="2"/>
                <w:sz w:val="21"/>
                <w:szCs w:val="21"/>
              </w:rPr>
            </w:pPr>
            <w:r>
              <w:rPr>
                <w:rFonts w:hint="eastAsia" w:hAnsi="宋体"/>
                <w:bCs/>
                <w:color w:val="auto"/>
                <w:kern w:val="2"/>
                <w:sz w:val="21"/>
                <w:szCs w:val="21"/>
              </w:rPr>
              <w:t>竞争预防措施</w:t>
            </w:r>
          </w:p>
          <w:p>
            <w:pPr>
              <w:spacing w:line="360" w:lineRule="auto"/>
              <w:jc w:val="center"/>
              <w:outlineLvl w:val="5"/>
              <w:rPr>
                <w:rFonts w:hAnsi="宋体"/>
                <w:bCs/>
                <w:color w:val="auto"/>
                <w:kern w:val="2"/>
                <w:sz w:val="21"/>
                <w:szCs w:val="21"/>
              </w:rPr>
            </w:pPr>
            <w:r>
              <w:rPr>
                <w:rFonts w:hint="eastAsia" w:hAnsi="宋体"/>
                <w:bCs/>
                <w:color w:val="auto"/>
                <w:kern w:val="2"/>
                <w:sz w:val="21"/>
                <w:szCs w:val="21"/>
              </w:rPr>
              <w:t>（实质性要求）</w:t>
            </w:r>
          </w:p>
        </w:tc>
        <w:tc>
          <w:tcPr>
            <w:tcW w:w="7229" w:type="dxa"/>
            <w:vAlign w:val="center"/>
          </w:tcPr>
          <w:p>
            <w:pPr>
              <w:snapToGrid w:val="0"/>
              <w:spacing w:line="360" w:lineRule="auto"/>
              <w:ind w:firstLine="210" w:firstLineChars="100"/>
              <w:jc w:val="left"/>
              <w:outlineLvl w:val="5"/>
              <w:rPr>
                <w:rFonts w:hAnsi="宋体"/>
                <w:bCs/>
                <w:color w:val="auto"/>
                <w:kern w:val="2"/>
                <w:sz w:val="21"/>
                <w:szCs w:val="21"/>
              </w:rPr>
            </w:pPr>
            <w:r>
              <w:rPr>
                <w:rFonts w:hint="eastAsia" w:hAnsi="宋体"/>
                <w:bCs/>
                <w:color w:val="auto"/>
                <w:kern w:val="2"/>
                <w:sz w:val="21"/>
                <w:szCs w:val="21"/>
              </w:rPr>
              <w:t>在评审过程中，供应商报价低于采购预算50%或者低于其他有效供应商报价算术平均价40%，有可能影响产品质量或者不能诚信履约的，</w:t>
            </w:r>
            <w:r>
              <w:rPr>
                <w:rFonts w:hint="eastAsia" w:hAnsi="宋体"/>
                <w:bCs/>
                <w:color w:val="auto"/>
                <w:kern w:val="2"/>
                <w:sz w:val="21"/>
                <w:szCs w:val="21"/>
                <w:lang w:eastAsia="zh-CN"/>
              </w:rPr>
              <w:t>谈判小组</w:t>
            </w:r>
            <w:r>
              <w:rPr>
                <w:rFonts w:hint="eastAsia" w:hAnsi="宋体"/>
                <w:bCs/>
                <w:color w:val="auto"/>
                <w:kern w:val="2"/>
                <w:sz w:val="21"/>
                <w:szCs w:val="21"/>
              </w:rPr>
              <w:t>应当要求其在评审现场合理的时间内提供成本构成书面说明，并提交相关证明材料。供应商书面说明应当按照国家财务会计制度的规定要求，逐项就供应商提供的货物、工程和服务的主营业务成本（应根据供应商企业类型予以区别）、税金及附加、销售费用、管理费用、财务费用等成本构成事项详细陈述。</w:t>
            </w:r>
          </w:p>
          <w:p>
            <w:pPr>
              <w:snapToGrid w:val="0"/>
              <w:spacing w:line="360" w:lineRule="auto"/>
              <w:ind w:firstLine="315" w:firstLineChars="150"/>
              <w:jc w:val="left"/>
              <w:outlineLvl w:val="5"/>
              <w:rPr>
                <w:rFonts w:hAnsi="宋体"/>
                <w:bCs/>
                <w:color w:val="auto"/>
                <w:kern w:val="2"/>
                <w:sz w:val="21"/>
                <w:szCs w:val="21"/>
              </w:rPr>
            </w:pPr>
            <w:r>
              <w:rPr>
                <w:rFonts w:hint="eastAsia" w:hAnsi="宋体"/>
                <w:bCs/>
                <w:color w:val="auto"/>
                <w:kern w:val="2"/>
                <w:sz w:val="21"/>
                <w:szCs w:val="21"/>
              </w:rPr>
              <w:t>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pPr>
              <w:snapToGrid w:val="0"/>
              <w:spacing w:line="360" w:lineRule="auto"/>
              <w:ind w:firstLine="210" w:firstLineChars="100"/>
              <w:jc w:val="left"/>
              <w:outlineLvl w:val="5"/>
              <w:rPr>
                <w:rFonts w:hAnsi="宋体"/>
                <w:bCs/>
                <w:color w:val="auto"/>
                <w:kern w:val="2"/>
                <w:sz w:val="21"/>
                <w:szCs w:val="21"/>
              </w:rPr>
            </w:pPr>
            <w:r>
              <w:rPr>
                <w:rFonts w:hint="eastAsia" w:hAnsi="宋体"/>
                <w:bCs/>
                <w:color w:val="auto"/>
                <w:kern w:val="2"/>
                <w:sz w:val="21"/>
                <w:szCs w:val="21"/>
              </w:rPr>
              <w:t>供应商提供书面说明后，</w:t>
            </w:r>
            <w:r>
              <w:rPr>
                <w:rFonts w:hint="eastAsia" w:hAnsi="宋体"/>
                <w:bCs/>
                <w:color w:val="auto"/>
                <w:kern w:val="2"/>
                <w:sz w:val="21"/>
                <w:szCs w:val="21"/>
                <w:lang w:eastAsia="zh-CN"/>
              </w:rPr>
              <w:t>谈判小组</w:t>
            </w:r>
            <w:r>
              <w:rPr>
                <w:rFonts w:hint="eastAsia" w:hAnsi="宋体"/>
                <w:bCs/>
                <w:color w:val="auto"/>
                <w:kern w:val="2"/>
                <w:sz w:val="21"/>
                <w:szCs w:val="21"/>
              </w:rPr>
              <w:t>应当结合采购项目采购需求、专业实际情况、供应商财务状况报告、与其他供应商比较情况等就供应商书面说明进行审查评价。供应商拒绝或者变相拒绝提供有效书面说明或者书面说明不能证明其报价合理性的，</w:t>
            </w:r>
            <w:r>
              <w:rPr>
                <w:rFonts w:hint="eastAsia" w:hAnsi="宋体"/>
                <w:bCs/>
                <w:color w:val="auto"/>
                <w:kern w:val="2"/>
                <w:sz w:val="21"/>
                <w:szCs w:val="21"/>
                <w:lang w:eastAsia="zh-CN"/>
              </w:rPr>
              <w:t>谈判小组</w:t>
            </w:r>
            <w:r>
              <w:rPr>
                <w:rFonts w:hint="eastAsia" w:hAnsi="宋体"/>
                <w:bCs/>
                <w:color w:val="auto"/>
                <w:kern w:val="2"/>
                <w:sz w:val="21"/>
                <w:szCs w:val="21"/>
              </w:rPr>
              <w:t>应当将其响应文件作为无效处理。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8" w:hRule="atLeast"/>
          <w:jc w:val="center"/>
        </w:trPr>
        <w:tc>
          <w:tcPr>
            <w:tcW w:w="465" w:type="dxa"/>
            <w:vAlign w:val="center"/>
          </w:tcPr>
          <w:p>
            <w:pPr>
              <w:spacing w:line="360" w:lineRule="auto"/>
              <w:jc w:val="center"/>
              <w:outlineLvl w:val="5"/>
              <w:rPr>
                <w:rFonts w:hAnsi="宋体"/>
                <w:bCs/>
                <w:color w:val="auto"/>
                <w:kern w:val="2"/>
                <w:sz w:val="21"/>
                <w:szCs w:val="21"/>
              </w:rPr>
            </w:pPr>
            <w:r>
              <w:rPr>
                <w:rFonts w:hint="eastAsia" w:hAnsi="宋体"/>
                <w:bCs/>
                <w:color w:val="auto"/>
                <w:kern w:val="2"/>
                <w:sz w:val="21"/>
                <w:szCs w:val="21"/>
              </w:rPr>
              <w:t>8</w:t>
            </w:r>
          </w:p>
        </w:tc>
        <w:tc>
          <w:tcPr>
            <w:tcW w:w="2064" w:type="dxa"/>
            <w:vAlign w:val="center"/>
          </w:tcPr>
          <w:p>
            <w:pPr>
              <w:spacing w:line="360" w:lineRule="auto"/>
              <w:jc w:val="center"/>
              <w:outlineLvl w:val="5"/>
              <w:rPr>
                <w:rFonts w:hAnsi="宋体"/>
                <w:bCs/>
                <w:color w:val="auto"/>
                <w:kern w:val="2"/>
                <w:sz w:val="21"/>
                <w:szCs w:val="21"/>
              </w:rPr>
            </w:pPr>
            <w:r>
              <w:rPr>
                <w:rFonts w:hint="eastAsia" w:hAnsi="宋体"/>
                <w:bCs/>
                <w:color w:val="auto"/>
                <w:kern w:val="2"/>
                <w:sz w:val="21"/>
                <w:szCs w:val="21"/>
              </w:rPr>
              <w:t>采购方式</w:t>
            </w:r>
          </w:p>
        </w:tc>
        <w:tc>
          <w:tcPr>
            <w:tcW w:w="7229" w:type="dxa"/>
            <w:vAlign w:val="center"/>
          </w:tcPr>
          <w:p>
            <w:pPr>
              <w:snapToGrid w:val="0"/>
              <w:spacing w:line="360" w:lineRule="auto"/>
              <w:outlineLvl w:val="5"/>
              <w:rPr>
                <w:rFonts w:hAnsi="宋体"/>
                <w:bCs/>
                <w:color w:val="auto"/>
                <w:kern w:val="2"/>
                <w:sz w:val="21"/>
                <w:szCs w:val="21"/>
              </w:rPr>
            </w:pPr>
            <w:r>
              <w:rPr>
                <w:rFonts w:hint="eastAsia" w:hAnsi="宋体"/>
                <w:bCs/>
                <w:color w:val="auto"/>
                <w:kern w:val="2"/>
                <w:sz w:val="21"/>
                <w:szCs w:val="21"/>
              </w:rPr>
              <w:t>竞争性谈判</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22" w:hRule="atLeast"/>
          <w:jc w:val="center"/>
        </w:trPr>
        <w:tc>
          <w:tcPr>
            <w:tcW w:w="465" w:type="dxa"/>
            <w:tcBorders>
              <w:bottom w:val="single" w:color="auto" w:sz="4" w:space="0"/>
            </w:tcBorders>
            <w:vAlign w:val="center"/>
          </w:tcPr>
          <w:p>
            <w:pPr>
              <w:spacing w:line="360" w:lineRule="auto"/>
              <w:jc w:val="center"/>
              <w:outlineLvl w:val="5"/>
              <w:rPr>
                <w:rFonts w:hAnsi="宋体"/>
                <w:bCs/>
                <w:color w:val="auto"/>
                <w:kern w:val="2"/>
                <w:sz w:val="21"/>
                <w:szCs w:val="21"/>
              </w:rPr>
            </w:pPr>
            <w:r>
              <w:rPr>
                <w:rFonts w:hint="eastAsia" w:hAnsi="宋体"/>
                <w:bCs/>
                <w:color w:val="auto"/>
                <w:kern w:val="2"/>
                <w:sz w:val="21"/>
                <w:szCs w:val="21"/>
              </w:rPr>
              <w:t>9</w:t>
            </w:r>
          </w:p>
        </w:tc>
        <w:tc>
          <w:tcPr>
            <w:tcW w:w="2064" w:type="dxa"/>
            <w:tcBorders>
              <w:bottom w:val="single" w:color="auto" w:sz="4" w:space="0"/>
            </w:tcBorders>
            <w:vAlign w:val="center"/>
          </w:tcPr>
          <w:p>
            <w:pPr>
              <w:spacing w:line="360" w:lineRule="auto"/>
              <w:jc w:val="center"/>
              <w:outlineLvl w:val="5"/>
              <w:rPr>
                <w:rFonts w:hAnsi="宋体"/>
                <w:bCs/>
                <w:color w:val="auto"/>
                <w:kern w:val="2"/>
                <w:sz w:val="21"/>
                <w:szCs w:val="21"/>
              </w:rPr>
            </w:pPr>
            <w:r>
              <w:rPr>
                <w:rFonts w:hint="eastAsia" w:hAnsi="宋体"/>
                <w:bCs/>
                <w:color w:val="auto"/>
                <w:kern w:val="2"/>
                <w:sz w:val="21"/>
                <w:szCs w:val="21"/>
              </w:rPr>
              <w:t>评标方法</w:t>
            </w:r>
          </w:p>
        </w:tc>
        <w:tc>
          <w:tcPr>
            <w:tcW w:w="7229" w:type="dxa"/>
            <w:tcBorders>
              <w:bottom w:val="single" w:color="auto" w:sz="4" w:space="0"/>
            </w:tcBorders>
            <w:vAlign w:val="center"/>
          </w:tcPr>
          <w:p>
            <w:pPr>
              <w:snapToGrid w:val="0"/>
              <w:spacing w:line="360" w:lineRule="auto"/>
              <w:outlineLvl w:val="5"/>
              <w:rPr>
                <w:rFonts w:hAnsi="宋体"/>
                <w:bCs/>
                <w:color w:val="auto"/>
                <w:kern w:val="2"/>
                <w:sz w:val="21"/>
                <w:szCs w:val="21"/>
              </w:rPr>
            </w:pPr>
            <w:r>
              <w:rPr>
                <w:rFonts w:hint="eastAsia" w:hAnsi="宋体"/>
                <w:bCs/>
                <w:color w:val="auto"/>
                <w:kern w:val="2"/>
                <w:sz w:val="21"/>
                <w:szCs w:val="21"/>
              </w:rPr>
              <w:t>最低评标价法</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735" w:hRule="atLeast"/>
          <w:jc w:val="center"/>
        </w:trPr>
        <w:tc>
          <w:tcPr>
            <w:tcW w:w="465" w:type="dxa"/>
            <w:tcBorders>
              <w:top w:val="single" w:color="auto" w:sz="4" w:space="0"/>
            </w:tcBorders>
            <w:vAlign w:val="center"/>
          </w:tcPr>
          <w:p>
            <w:pPr>
              <w:spacing w:line="360" w:lineRule="auto"/>
              <w:jc w:val="center"/>
              <w:outlineLvl w:val="5"/>
              <w:rPr>
                <w:rFonts w:hAnsi="宋体"/>
                <w:bCs/>
                <w:color w:val="auto"/>
                <w:kern w:val="2"/>
                <w:sz w:val="21"/>
                <w:szCs w:val="21"/>
              </w:rPr>
            </w:pPr>
            <w:r>
              <w:rPr>
                <w:rFonts w:hint="eastAsia" w:hAnsi="宋体"/>
                <w:bCs/>
                <w:color w:val="auto"/>
                <w:kern w:val="2"/>
                <w:sz w:val="21"/>
                <w:szCs w:val="21"/>
              </w:rPr>
              <w:t>11</w:t>
            </w:r>
          </w:p>
        </w:tc>
        <w:tc>
          <w:tcPr>
            <w:tcW w:w="2064" w:type="dxa"/>
            <w:tcBorders>
              <w:top w:val="single" w:color="auto" w:sz="4" w:space="0"/>
            </w:tcBorders>
            <w:vAlign w:val="center"/>
          </w:tcPr>
          <w:p>
            <w:pPr>
              <w:spacing w:line="360" w:lineRule="auto"/>
              <w:ind w:left="170" w:leftChars="50" w:right="170" w:rightChars="50"/>
              <w:jc w:val="center"/>
              <w:rPr>
                <w:rFonts w:hAnsi="宋体"/>
                <w:bCs/>
                <w:color w:val="auto"/>
                <w:kern w:val="2"/>
                <w:sz w:val="21"/>
                <w:szCs w:val="21"/>
              </w:rPr>
            </w:pPr>
            <w:r>
              <w:rPr>
                <w:rFonts w:hint="eastAsia" w:hAnsi="宋体"/>
                <w:bCs/>
                <w:color w:val="auto"/>
                <w:kern w:val="2"/>
                <w:sz w:val="21"/>
                <w:szCs w:val="21"/>
              </w:rPr>
              <w:t>评审情况公告</w:t>
            </w:r>
          </w:p>
        </w:tc>
        <w:tc>
          <w:tcPr>
            <w:tcW w:w="7229" w:type="dxa"/>
            <w:tcBorders>
              <w:top w:val="single" w:color="auto" w:sz="4" w:space="0"/>
            </w:tcBorders>
            <w:vAlign w:val="center"/>
          </w:tcPr>
          <w:p>
            <w:pPr>
              <w:widowControl/>
              <w:snapToGrid w:val="0"/>
              <w:spacing w:line="360" w:lineRule="auto"/>
              <w:rPr>
                <w:rFonts w:hAnsi="宋体"/>
                <w:bCs/>
                <w:color w:val="auto"/>
                <w:kern w:val="2"/>
                <w:sz w:val="21"/>
                <w:szCs w:val="21"/>
              </w:rPr>
            </w:pPr>
            <w:r>
              <w:rPr>
                <w:rFonts w:hint="eastAsia" w:hAnsi="宋体"/>
                <w:bCs/>
                <w:color w:val="auto"/>
                <w:kern w:val="2"/>
                <w:sz w:val="21"/>
                <w:szCs w:val="21"/>
              </w:rPr>
              <w:t>所有供应商响应文件资格性、实质性响应审查、采用最低评标价法时报价及评审情况、评审结果等将在</w:t>
            </w:r>
            <w:r>
              <w:rPr>
                <w:rFonts w:hint="eastAsia" w:hAnsi="宋体"/>
                <w:bCs/>
                <w:color w:val="auto"/>
                <w:kern w:val="2"/>
                <w:sz w:val="21"/>
                <w:szCs w:val="21"/>
                <w:lang w:eastAsia="zh-CN"/>
              </w:rPr>
              <w:t>威远投资控股集团有限责任公司官网</w:t>
            </w:r>
            <w:r>
              <w:rPr>
                <w:rFonts w:hint="eastAsia" w:hAnsi="宋体"/>
                <w:bCs/>
                <w:color w:val="auto"/>
                <w:kern w:val="2"/>
                <w:sz w:val="21"/>
                <w:szCs w:val="21"/>
              </w:rPr>
              <w:t>上采购结果公告栏中予以公告。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305" w:hRule="atLeast"/>
          <w:jc w:val="center"/>
        </w:trPr>
        <w:tc>
          <w:tcPr>
            <w:tcW w:w="465" w:type="dxa"/>
            <w:vAlign w:val="center"/>
          </w:tcPr>
          <w:p>
            <w:pPr>
              <w:spacing w:line="360" w:lineRule="auto"/>
              <w:jc w:val="center"/>
              <w:outlineLvl w:val="5"/>
              <w:rPr>
                <w:rFonts w:hAnsi="宋体"/>
                <w:bCs/>
                <w:color w:val="auto"/>
                <w:kern w:val="2"/>
                <w:sz w:val="21"/>
                <w:szCs w:val="21"/>
              </w:rPr>
            </w:pPr>
            <w:r>
              <w:rPr>
                <w:rFonts w:hint="eastAsia" w:hAnsi="宋体"/>
                <w:bCs/>
                <w:color w:val="auto"/>
                <w:kern w:val="2"/>
                <w:sz w:val="21"/>
                <w:szCs w:val="21"/>
              </w:rPr>
              <w:t>12</w:t>
            </w:r>
          </w:p>
        </w:tc>
        <w:tc>
          <w:tcPr>
            <w:tcW w:w="2064" w:type="dxa"/>
            <w:vAlign w:val="center"/>
          </w:tcPr>
          <w:p>
            <w:pPr>
              <w:spacing w:line="360" w:lineRule="auto"/>
              <w:jc w:val="center"/>
              <w:outlineLvl w:val="5"/>
              <w:rPr>
                <w:rFonts w:hAnsi="宋体"/>
                <w:bCs/>
                <w:color w:val="auto"/>
                <w:kern w:val="2"/>
                <w:sz w:val="21"/>
                <w:szCs w:val="21"/>
              </w:rPr>
            </w:pPr>
            <w:r>
              <w:rPr>
                <w:rFonts w:hint="eastAsia" w:hAnsi="宋体"/>
                <w:bCs/>
                <w:color w:val="auto"/>
                <w:kern w:val="2"/>
                <w:sz w:val="21"/>
                <w:szCs w:val="21"/>
              </w:rPr>
              <w:t>联合体谈判</w:t>
            </w:r>
          </w:p>
        </w:tc>
        <w:tc>
          <w:tcPr>
            <w:tcW w:w="7229" w:type="dxa"/>
            <w:vAlign w:val="center"/>
          </w:tcPr>
          <w:p>
            <w:pPr>
              <w:snapToGrid w:val="0"/>
              <w:spacing w:line="360" w:lineRule="auto"/>
              <w:outlineLvl w:val="5"/>
              <w:rPr>
                <w:rFonts w:hAnsi="宋体"/>
                <w:bCs/>
                <w:color w:val="auto"/>
                <w:kern w:val="2"/>
                <w:sz w:val="21"/>
                <w:szCs w:val="21"/>
              </w:rPr>
            </w:pPr>
            <w:r>
              <w:rPr>
                <w:rFonts w:hint="eastAsia" w:hAnsi="宋体"/>
                <w:bCs/>
                <w:color w:val="auto"/>
                <w:kern w:val="2"/>
                <w:sz w:val="21"/>
                <w:szCs w:val="21"/>
              </w:rPr>
              <w:t>本项目不接受联合体谈判。</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311" w:hRule="atLeast"/>
          <w:jc w:val="center"/>
        </w:trPr>
        <w:tc>
          <w:tcPr>
            <w:tcW w:w="465" w:type="dxa"/>
            <w:vAlign w:val="center"/>
          </w:tcPr>
          <w:p>
            <w:pPr>
              <w:spacing w:line="360" w:lineRule="auto"/>
              <w:jc w:val="center"/>
              <w:outlineLvl w:val="5"/>
              <w:rPr>
                <w:rFonts w:hAnsi="宋体"/>
                <w:bCs/>
                <w:color w:val="auto"/>
                <w:kern w:val="2"/>
                <w:sz w:val="21"/>
                <w:szCs w:val="21"/>
              </w:rPr>
            </w:pPr>
            <w:r>
              <w:rPr>
                <w:rFonts w:hint="eastAsia" w:hAnsi="宋体"/>
                <w:bCs/>
                <w:color w:val="auto"/>
                <w:kern w:val="2"/>
                <w:sz w:val="21"/>
                <w:szCs w:val="21"/>
              </w:rPr>
              <w:t>13</w:t>
            </w:r>
          </w:p>
        </w:tc>
        <w:tc>
          <w:tcPr>
            <w:tcW w:w="2064" w:type="dxa"/>
            <w:vAlign w:val="center"/>
          </w:tcPr>
          <w:p>
            <w:pPr>
              <w:spacing w:line="360" w:lineRule="auto"/>
              <w:jc w:val="center"/>
              <w:outlineLvl w:val="5"/>
              <w:rPr>
                <w:rFonts w:hAnsi="宋体"/>
                <w:bCs/>
                <w:color w:val="auto"/>
                <w:kern w:val="2"/>
                <w:sz w:val="21"/>
                <w:szCs w:val="21"/>
              </w:rPr>
            </w:pPr>
            <w:r>
              <w:rPr>
                <w:rFonts w:hint="eastAsia" w:hAnsi="宋体"/>
                <w:bCs/>
                <w:color w:val="auto"/>
                <w:kern w:val="2"/>
                <w:sz w:val="21"/>
                <w:szCs w:val="21"/>
              </w:rPr>
              <w:t>考察现场、标前答疑会</w:t>
            </w:r>
          </w:p>
        </w:tc>
        <w:tc>
          <w:tcPr>
            <w:tcW w:w="7229" w:type="dxa"/>
            <w:vAlign w:val="center"/>
          </w:tcPr>
          <w:p>
            <w:pPr>
              <w:snapToGrid w:val="0"/>
              <w:spacing w:line="360" w:lineRule="auto"/>
              <w:outlineLvl w:val="5"/>
              <w:rPr>
                <w:rFonts w:hAnsi="宋体"/>
                <w:bCs/>
                <w:color w:val="auto"/>
                <w:kern w:val="2"/>
                <w:sz w:val="21"/>
                <w:szCs w:val="21"/>
              </w:rPr>
            </w:pPr>
            <w:r>
              <w:rPr>
                <w:rFonts w:hint="eastAsia" w:hAnsi="宋体"/>
                <w:bCs/>
                <w:color w:val="auto"/>
                <w:kern w:val="2"/>
                <w:sz w:val="21"/>
                <w:szCs w:val="21"/>
              </w:rPr>
              <w:t>采购单位认为有必要，另行书面通知。</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02" w:hRule="atLeast"/>
          <w:jc w:val="center"/>
        </w:trPr>
        <w:tc>
          <w:tcPr>
            <w:tcW w:w="465" w:type="dxa"/>
            <w:vAlign w:val="center"/>
          </w:tcPr>
          <w:p>
            <w:pPr>
              <w:spacing w:line="360" w:lineRule="auto"/>
              <w:jc w:val="center"/>
              <w:outlineLvl w:val="5"/>
              <w:rPr>
                <w:rFonts w:hAnsi="宋体"/>
                <w:bCs/>
                <w:color w:val="auto"/>
                <w:kern w:val="2"/>
                <w:sz w:val="21"/>
                <w:szCs w:val="21"/>
              </w:rPr>
            </w:pPr>
            <w:r>
              <w:rPr>
                <w:rFonts w:hint="eastAsia" w:hAnsi="宋体"/>
                <w:bCs/>
                <w:color w:val="auto"/>
                <w:kern w:val="2"/>
                <w:sz w:val="21"/>
                <w:szCs w:val="21"/>
              </w:rPr>
              <w:t>14</w:t>
            </w:r>
          </w:p>
        </w:tc>
        <w:tc>
          <w:tcPr>
            <w:tcW w:w="2064" w:type="dxa"/>
            <w:vAlign w:val="center"/>
          </w:tcPr>
          <w:p>
            <w:pPr>
              <w:spacing w:line="360" w:lineRule="auto"/>
              <w:ind w:left="34" w:leftChars="10"/>
              <w:jc w:val="center"/>
              <w:outlineLvl w:val="5"/>
              <w:rPr>
                <w:rFonts w:hAnsi="宋体"/>
                <w:bCs/>
                <w:color w:val="auto"/>
                <w:kern w:val="2"/>
                <w:sz w:val="21"/>
                <w:szCs w:val="21"/>
              </w:rPr>
            </w:pPr>
            <w:r>
              <w:rPr>
                <w:rFonts w:hint="eastAsia" w:hAnsi="宋体"/>
                <w:bCs/>
                <w:color w:val="auto"/>
                <w:kern w:val="2"/>
                <w:sz w:val="21"/>
                <w:szCs w:val="21"/>
              </w:rPr>
              <w:t>供应商对谈判文件提出质疑的时间</w:t>
            </w:r>
          </w:p>
        </w:tc>
        <w:tc>
          <w:tcPr>
            <w:tcW w:w="7229" w:type="dxa"/>
            <w:vAlign w:val="center"/>
          </w:tcPr>
          <w:p>
            <w:pPr>
              <w:spacing w:line="360" w:lineRule="auto"/>
              <w:outlineLvl w:val="5"/>
              <w:rPr>
                <w:rFonts w:hAnsi="宋体"/>
                <w:bCs/>
                <w:color w:val="auto"/>
                <w:kern w:val="2"/>
                <w:sz w:val="21"/>
                <w:szCs w:val="21"/>
              </w:rPr>
            </w:pPr>
            <w:r>
              <w:rPr>
                <w:rFonts w:hint="eastAsia" w:hAnsi="宋体"/>
                <w:bCs/>
                <w:color w:val="auto"/>
                <w:kern w:val="2"/>
                <w:sz w:val="21"/>
                <w:szCs w:val="21"/>
              </w:rPr>
              <w:t>严格按国家和财政部相关规定执行。</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02" w:hRule="exact"/>
          <w:jc w:val="center"/>
        </w:trPr>
        <w:tc>
          <w:tcPr>
            <w:tcW w:w="465" w:type="dxa"/>
            <w:vAlign w:val="center"/>
          </w:tcPr>
          <w:p>
            <w:pPr>
              <w:spacing w:line="360" w:lineRule="auto"/>
              <w:jc w:val="center"/>
              <w:outlineLvl w:val="5"/>
              <w:rPr>
                <w:rFonts w:hAnsi="宋体"/>
                <w:bCs/>
                <w:color w:val="auto"/>
                <w:kern w:val="2"/>
                <w:sz w:val="21"/>
                <w:szCs w:val="21"/>
              </w:rPr>
            </w:pPr>
            <w:r>
              <w:rPr>
                <w:rFonts w:hint="eastAsia" w:hAnsi="宋体"/>
                <w:bCs/>
                <w:color w:val="auto"/>
                <w:kern w:val="2"/>
                <w:sz w:val="21"/>
                <w:szCs w:val="21"/>
              </w:rPr>
              <w:t>15</w:t>
            </w:r>
          </w:p>
        </w:tc>
        <w:tc>
          <w:tcPr>
            <w:tcW w:w="2064" w:type="dxa"/>
            <w:vAlign w:val="center"/>
          </w:tcPr>
          <w:p>
            <w:pPr>
              <w:spacing w:line="360" w:lineRule="auto"/>
              <w:jc w:val="center"/>
              <w:outlineLvl w:val="5"/>
              <w:rPr>
                <w:rFonts w:hAnsi="宋体"/>
                <w:bCs/>
                <w:color w:val="auto"/>
                <w:kern w:val="2"/>
                <w:sz w:val="21"/>
                <w:szCs w:val="21"/>
              </w:rPr>
            </w:pPr>
            <w:r>
              <w:rPr>
                <w:rFonts w:hint="eastAsia" w:hAnsi="宋体"/>
                <w:bCs/>
                <w:color w:val="auto"/>
                <w:kern w:val="2"/>
                <w:sz w:val="21"/>
                <w:szCs w:val="21"/>
              </w:rPr>
              <w:t>构成谈判文件的其他文件</w:t>
            </w:r>
          </w:p>
        </w:tc>
        <w:tc>
          <w:tcPr>
            <w:tcW w:w="7229" w:type="dxa"/>
            <w:vAlign w:val="center"/>
          </w:tcPr>
          <w:p>
            <w:pPr>
              <w:snapToGrid w:val="0"/>
              <w:spacing w:line="360" w:lineRule="auto"/>
              <w:ind w:left="210" w:hanging="210" w:hangingChars="100"/>
              <w:outlineLvl w:val="5"/>
              <w:rPr>
                <w:rFonts w:hAnsi="宋体"/>
                <w:bCs/>
                <w:color w:val="auto"/>
                <w:kern w:val="2"/>
                <w:sz w:val="21"/>
                <w:szCs w:val="21"/>
              </w:rPr>
            </w:pPr>
            <w:r>
              <w:rPr>
                <w:rFonts w:hint="eastAsia" w:hAnsi="宋体"/>
                <w:bCs/>
                <w:color w:val="auto"/>
                <w:kern w:val="2"/>
                <w:sz w:val="21"/>
                <w:szCs w:val="21"/>
              </w:rPr>
              <w:t>谈判文件的澄清、修改书及有关补充通知为谈判文件的有效组成部分。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534" w:hRule="exact"/>
          <w:jc w:val="center"/>
        </w:trPr>
        <w:tc>
          <w:tcPr>
            <w:tcW w:w="465" w:type="dxa"/>
            <w:vAlign w:val="center"/>
          </w:tcPr>
          <w:p>
            <w:pPr>
              <w:spacing w:line="360" w:lineRule="auto"/>
              <w:jc w:val="center"/>
              <w:outlineLvl w:val="5"/>
              <w:rPr>
                <w:rFonts w:hAnsi="宋体"/>
                <w:bCs/>
                <w:color w:val="auto"/>
                <w:kern w:val="2"/>
                <w:sz w:val="21"/>
                <w:szCs w:val="21"/>
              </w:rPr>
            </w:pPr>
            <w:r>
              <w:rPr>
                <w:rFonts w:hint="eastAsia" w:hAnsi="宋体"/>
                <w:bCs/>
                <w:color w:val="auto"/>
                <w:kern w:val="2"/>
                <w:sz w:val="21"/>
                <w:szCs w:val="21"/>
              </w:rPr>
              <w:t>16</w:t>
            </w:r>
          </w:p>
        </w:tc>
        <w:tc>
          <w:tcPr>
            <w:tcW w:w="2064" w:type="dxa"/>
            <w:vAlign w:val="center"/>
          </w:tcPr>
          <w:p>
            <w:pPr>
              <w:spacing w:line="360" w:lineRule="auto"/>
              <w:jc w:val="center"/>
              <w:outlineLvl w:val="5"/>
              <w:rPr>
                <w:rFonts w:hAnsi="宋体"/>
                <w:bCs/>
                <w:color w:val="auto"/>
                <w:kern w:val="2"/>
                <w:sz w:val="21"/>
                <w:szCs w:val="21"/>
              </w:rPr>
            </w:pPr>
            <w:r>
              <w:rPr>
                <w:rFonts w:hint="eastAsia" w:hAnsi="宋体"/>
                <w:bCs/>
                <w:color w:val="auto"/>
                <w:kern w:val="2"/>
                <w:sz w:val="21"/>
                <w:szCs w:val="21"/>
              </w:rPr>
              <w:t>谈判有效期</w:t>
            </w:r>
          </w:p>
        </w:tc>
        <w:tc>
          <w:tcPr>
            <w:tcW w:w="7229" w:type="dxa"/>
            <w:vAlign w:val="center"/>
          </w:tcPr>
          <w:p>
            <w:pPr>
              <w:snapToGrid w:val="0"/>
              <w:spacing w:line="360" w:lineRule="auto"/>
              <w:jc w:val="left"/>
              <w:outlineLvl w:val="5"/>
              <w:rPr>
                <w:rFonts w:hAnsi="宋体"/>
                <w:bCs/>
                <w:color w:val="auto"/>
                <w:kern w:val="2"/>
                <w:sz w:val="21"/>
                <w:szCs w:val="21"/>
              </w:rPr>
            </w:pPr>
            <w:r>
              <w:rPr>
                <w:rFonts w:hint="eastAsia" w:hAnsi="宋体"/>
                <w:bCs/>
                <w:color w:val="auto"/>
                <w:kern w:val="2"/>
                <w:sz w:val="21"/>
                <w:szCs w:val="21"/>
              </w:rPr>
              <w:t>响应文件递交截止时间届满后 90 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3348" w:hRule="atLeast"/>
          <w:jc w:val="center"/>
        </w:trPr>
        <w:tc>
          <w:tcPr>
            <w:tcW w:w="465" w:type="dxa"/>
            <w:tcBorders>
              <w:bottom w:val="single" w:color="auto" w:sz="4" w:space="0"/>
            </w:tcBorders>
            <w:vAlign w:val="center"/>
          </w:tcPr>
          <w:p>
            <w:pPr>
              <w:spacing w:line="360" w:lineRule="auto"/>
              <w:jc w:val="center"/>
              <w:outlineLvl w:val="5"/>
              <w:rPr>
                <w:rFonts w:hAnsi="宋体"/>
                <w:bCs/>
                <w:color w:val="auto"/>
                <w:kern w:val="2"/>
                <w:sz w:val="21"/>
                <w:szCs w:val="21"/>
              </w:rPr>
            </w:pPr>
            <w:r>
              <w:rPr>
                <w:rFonts w:hint="eastAsia" w:hAnsi="宋体"/>
                <w:bCs/>
                <w:color w:val="auto"/>
                <w:kern w:val="2"/>
                <w:sz w:val="21"/>
                <w:szCs w:val="21"/>
              </w:rPr>
              <w:t>17</w:t>
            </w:r>
          </w:p>
        </w:tc>
        <w:tc>
          <w:tcPr>
            <w:tcW w:w="2064" w:type="dxa"/>
            <w:tcBorders>
              <w:bottom w:val="single" w:color="auto" w:sz="4" w:space="0"/>
            </w:tcBorders>
            <w:vAlign w:val="center"/>
          </w:tcPr>
          <w:p>
            <w:pPr>
              <w:spacing w:line="360" w:lineRule="auto"/>
              <w:jc w:val="center"/>
              <w:outlineLvl w:val="5"/>
              <w:rPr>
                <w:rFonts w:hAnsi="宋体"/>
                <w:bCs/>
                <w:color w:val="auto"/>
                <w:kern w:val="2"/>
                <w:sz w:val="21"/>
                <w:szCs w:val="21"/>
              </w:rPr>
            </w:pPr>
            <w:r>
              <w:rPr>
                <w:rFonts w:hint="eastAsia" w:hAnsi="宋体"/>
                <w:bCs/>
                <w:color w:val="auto"/>
                <w:kern w:val="2"/>
                <w:sz w:val="21"/>
                <w:szCs w:val="21"/>
              </w:rPr>
              <w:t>谈判保证金</w:t>
            </w:r>
          </w:p>
        </w:tc>
        <w:tc>
          <w:tcPr>
            <w:tcW w:w="7229" w:type="dxa"/>
            <w:tcBorders>
              <w:bottom w:val="single" w:color="auto" w:sz="4" w:space="0"/>
            </w:tcBorders>
            <w:vAlign w:val="center"/>
          </w:tcPr>
          <w:p>
            <w:pPr>
              <w:snapToGrid w:val="0"/>
              <w:spacing w:line="360" w:lineRule="auto"/>
              <w:outlineLvl w:val="5"/>
              <w:rPr>
                <w:rFonts w:hAnsi="宋体"/>
                <w:bCs/>
                <w:color w:val="auto"/>
                <w:kern w:val="2"/>
                <w:sz w:val="21"/>
                <w:szCs w:val="21"/>
              </w:rPr>
            </w:pPr>
            <w:r>
              <w:rPr>
                <w:rFonts w:hint="eastAsia" w:hAnsi="宋体"/>
                <w:bCs/>
                <w:color w:val="auto"/>
                <w:kern w:val="2"/>
                <w:sz w:val="21"/>
                <w:szCs w:val="21"/>
                <w:lang w:eastAsia="zh-CN"/>
              </w:rPr>
              <w:t>第一包</w:t>
            </w:r>
            <w:r>
              <w:rPr>
                <w:rFonts w:hint="eastAsia" w:hAnsi="宋体"/>
                <w:bCs/>
                <w:color w:val="auto"/>
                <w:kern w:val="2"/>
                <w:sz w:val="21"/>
                <w:szCs w:val="21"/>
              </w:rPr>
              <w:t>金额（人民</w:t>
            </w:r>
            <w:r>
              <w:rPr>
                <w:rFonts w:hint="eastAsia" w:hAnsi="宋体"/>
                <w:bCs/>
                <w:color w:val="000000" w:themeColor="text1"/>
                <w:kern w:val="2"/>
                <w:sz w:val="21"/>
                <w:szCs w:val="21"/>
                <w14:textFill>
                  <w14:solidFill>
                    <w14:schemeClr w14:val="tx1"/>
                  </w14:solidFill>
                </w14:textFill>
              </w:rPr>
              <w:t>币）</w:t>
            </w:r>
            <w:r>
              <w:rPr>
                <w:rFonts w:hint="eastAsia" w:hAnsi="宋体"/>
                <w:bCs/>
                <w:color w:val="000000" w:themeColor="text1"/>
                <w:kern w:val="2"/>
                <w:sz w:val="21"/>
                <w:szCs w:val="21"/>
                <w:lang w:val="en-US" w:eastAsia="zh-CN"/>
                <w14:textFill>
                  <w14:solidFill>
                    <w14:schemeClr w14:val="tx1"/>
                  </w14:solidFill>
                </w14:textFill>
              </w:rPr>
              <w:t>1500.00元；第二包金额（人民币）2900.00元</w:t>
            </w:r>
            <w:r>
              <w:rPr>
                <w:rFonts w:hint="eastAsia" w:hAnsi="宋体"/>
                <w:bCs/>
                <w:color w:val="000000" w:themeColor="text1"/>
                <w:kern w:val="2"/>
                <w:sz w:val="21"/>
                <w:szCs w:val="21"/>
                <w14:textFill>
                  <w14:solidFill>
                    <w14:schemeClr w14:val="tx1"/>
                  </w14:solidFill>
                </w14:textFill>
              </w:rPr>
              <w:t>。</w:t>
            </w:r>
          </w:p>
          <w:p>
            <w:pPr>
              <w:snapToGrid w:val="0"/>
              <w:spacing w:line="360" w:lineRule="auto"/>
              <w:outlineLvl w:val="5"/>
              <w:rPr>
                <w:rFonts w:hAnsi="宋体"/>
                <w:bCs/>
                <w:color w:val="auto"/>
                <w:kern w:val="2"/>
                <w:sz w:val="21"/>
                <w:szCs w:val="21"/>
              </w:rPr>
            </w:pPr>
            <w:r>
              <w:rPr>
                <w:rFonts w:hint="eastAsia" w:hAnsi="宋体"/>
                <w:bCs/>
                <w:color w:val="auto"/>
                <w:kern w:val="2"/>
                <w:sz w:val="21"/>
                <w:szCs w:val="21"/>
              </w:rPr>
              <w:t>交款方式：支票、汇票、本票或者金融机构的保函等非现金形式提交；供</w:t>
            </w:r>
            <w:r>
              <w:rPr>
                <w:rFonts w:hint="eastAsia" w:hAnsi="宋体"/>
                <w:bCs/>
                <w:color w:val="auto"/>
                <w:kern w:val="2"/>
                <w:sz w:val="21"/>
                <w:szCs w:val="21"/>
                <w:lang w:eastAsia="zh-CN"/>
              </w:rPr>
              <w:t>应</w:t>
            </w:r>
            <w:r>
              <w:rPr>
                <w:rFonts w:hint="eastAsia" w:hAnsi="宋体"/>
                <w:bCs/>
                <w:color w:val="auto"/>
                <w:kern w:val="2"/>
                <w:sz w:val="21"/>
                <w:szCs w:val="21"/>
              </w:rPr>
              <w:t>商未按照谈判文件要求交纳谈判保证金的，响应文件按无效处理。</w:t>
            </w:r>
          </w:p>
          <w:p>
            <w:pPr>
              <w:snapToGrid w:val="0"/>
              <w:spacing w:line="360" w:lineRule="auto"/>
              <w:outlineLvl w:val="5"/>
              <w:rPr>
                <w:rFonts w:hAnsi="宋体"/>
                <w:bCs/>
                <w:color w:val="auto"/>
                <w:kern w:val="2"/>
                <w:sz w:val="21"/>
                <w:szCs w:val="21"/>
              </w:rPr>
            </w:pPr>
            <w:r>
              <w:rPr>
                <w:rFonts w:hint="eastAsia" w:hAnsi="宋体"/>
                <w:bCs/>
                <w:color w:val="auto"/>
                <w:kern w:val="2"/>
                <w:sz w:val="21"/>
                <w:szCs w:val="21"/>
              </w:rPr>
              <w:t>收款单位：</w:t>
            </w:r>
            <w:r>
              <w:rPr>
                <w:rFonts w:hint="eastAsia" w:hAnsi="宋体"/>
                <w:bCs/>
                <w:color w:val="auto"/>
                <w:kern w:val="2"/>
                <w:sz w:val="21"/>
                <w:szCs w:val="21"/>
                <w:lang w:eastAsia="zh-CN"/>
              </w:rPr>
              <w:t>四川利阳招投标代理有限公司</w:t>
            </w:r>
            <w:r>
              <w:rPr>
                <w:rFonts w:hint="eastAsia" w:hAnsi="宋体"/>
                <w:bCs/>
                <w:color w:val="auto"/>
                <w:kern w:val="2"/>
                <w:sz w:val="21"/>
                <w:szCs w:val="21"/>
              </w:rPr>
              <w:t>。</w:t>
            </w:r>
          </w:p>
          <w:p>
            <w:pPr>
              <w:snapToGrid w:val="0"/>
              <w:spacing w:line="360" w:lineRule="auto"/>
              <w:outlineLvl w:val="5"/>
              <w:rPr>
                <w:rFonts w:hAnsi="宋体"/>
                <w:bCs/>
                <w:color w:val="auto"/>
                <w:kern w:val="2"/>
                <w:sz w:val="21"/>
                <w:szCs w:val="21"/>
              </w:rPr>
            </w:pPr>
            <w:r>
              <w:rPr>
                <w:rFonts w:hint="eastAsia" w:hAnsi="宋体"/>
                <w:bCs/>
                <w:color w:val="auto"/>
                <w:kern w:val="2"/>
                <w:sz w:val="21"/>
                <w:szCs w:val="21"/>
              </w:rPr>
              <w:t>银行帐号：</w:t>
            </w:r>
            <w:r>
              <w:rPr>
                <w:rFonts w:hint="eastAsia" w:hAnsi="宋体"/>
                <w:b/>
                <w:bCs w:val="0"/>
                <w:color w:val="auto"/>
                <w:kern w:val="2"/>
                <w:sz w:val="21"/>
                <w:szCs w:val="21"/>
                <w:u w:val="single"/>
                <w:lang w:val="en-US" w:eastAsia="zh-CN"/>
              </w:rPr>
              <w:t>5105 0168 7508 0000 0388</w:t>
            </w:r>
            <w:r>
              <w:rPr>
                <w:rFonts w:hint="eastAsia" w:hAnsi="宋体"/>
                <w:bCs/>
                <w:color w:val="auto"/>
                <w:kern w:val="2"/>
                <w:sz w:val="21"/>
                <w:szCs w:val="21"/>
              </w:rPr>
              <w:t>。</w:t>
            </w:r>
          </w:p>
          <w:p>
            <w:pPr>
              <w:snapToGrid w:val="0"/>
              <w:spacing w:line="360" w:lineRule="auto"/>
              <w:outlineLvl w:val="5"/>
              <w:rPr>
                <w:rFonts w:hAnsi="宋体"/>
                <w:bCs/>
                <w:color w:val="auto"/>
                <w:kern w:val="2"/>
                <w:sz w:val="21"/>
                <w:szCs w:val="21"/>
              </w:rPr>
            </w:pPr>
            <w:r>
              <w:rPr>
                <w:rFonts w:hint="eastAsia" w:hAnsi="宋体"/>
                <w:bCs/>
                <w:color w:val="auto"/>
                <w:kern w:val="2"/>
                <w:sz w:val="21"/>
                <w:szCs w:val="21"/>
              </w:rPr>
              <w:t>开户银行：</w:t>
            </w:r>
            <w:r>
              <w:rPr>
                <w:rFonts w:hint="eastAsia" w:hAnsi="宋体"/>
                <w:bCs/>
                <w:color w:val="auto"/>
                <w:kern w:val="2"/>
                <w:sz w:val="21"/>
                <w:szCs w:val="21"/>
                <w:lang w:eastAsia="zh-CN"/>
              </w:rPr>
              <w:t>中国建设银行股份有限公司威远支行</w:t>
            </w:r>
            <w:r>
              <w:rPr>
                <w:rFonts w:hint="eastAsia" w:hAnsi="宋体"/>
                <w:bCs/>
                <w:color w:val="auto"/>
                <w:kern w:val="2"/>
                <w:sz w:val="21"/>
                <w:szCs w:val="21"/>
              </w:rPr>
              <w:t>。</w:t>
            </w:r>
          </w:p>
          <w:p>
            <w:pPr>
              <w:snapToGrid w:val="0"/>
              <w:spacing w:line="360" w:lineRule="auto"/>
              <w:outlineLvl w:val="5"/>
              <w:rPr>
                <w:rFonts w:hAnsi="宋体"/>
                <w:bCs/>
                <w:color w:val="auto"/>
                <w:kern w:val="2"/>
                <w:sz w:val="21"/>
                <w:szCs w:val="21"/>
              </w:rPr>
            </w:pPr>
            <w:r>
              <w:rPr>
                <w:rFonts w:hint="eastAsia" w:hAnsi="宋体"/>
                <w:bCs/>
                <w:color w:val="000000" w:themeColor="text1"/>
                <w:kern w:val="2"/>
                <w:sz w:val="21"/>
                <w:szCs w:val="21"/>
                <w14:textFill>
                  <w14:solidFill>
                    <w14:schemeClr w14:val="tx1"/>
                  </w14:solidFill>
                </w14:textFill>
              </w:rPr>
              <w:t>交款截止时</w:t>
            </w:r>
            <w:r>
              <w:rPr>
                <w:rFonts w:hint="eastAsia" w:hAnsi="宋体"/>
                <w:bCs/>
                <w:color w:val="000000" w:themeColor="text1"/>
                <w:kern w:val="2"/>
                <w:sz w:val="21"/>
                <w:szCs w:val="21"/>
                <w:highlight w:val="none"/>
                <w14:textFill>
                  <w14:solidFill>
                    <w14:schemeClr w14:val="tx1"/>
                  </w14:solidFill>
                </w14:textFill>
              </w:rPr>
              <w:t>间</w:t>
            </w:r>
            <w:r>
              <w:rPr>
                <w:rFonts w:hint="eastAsia" w:hAnsi="宋体"/>
                <w:bCs/>
                <w:color w:val="auto"/>
                <w:kern w:val="2"/>
                <w:sz w:val="21"/>
                <w:szCs w:val="21"/>
                <w:highlight w:val="none"/>
              </w:rPr>
              <w:t>：201</w:t>
            </w:r>
            <w:r>
              <w:rPr>
                <w:rFonts w:hint="eastAsia" w:hAnsi="宋体"/>
                <w:bCs/>
                <w:color w:val="auto"/>
                <w:kern w:val="2"/>
                <w:sz w:val="21"/>
                <w:szCs w:val="21"/>
                <w:highlight w:val="none"/>
                <w:lang w:val="en-US" w:eastAsia="zh-CN"/>
              </w:rPr>
              <w:t>8</w:t>
            </w:r>
            <w:r>
              <w:rPr>
                <w:rFonts w:hint="eastAsia" w:hAnsi="宋体"/>
                <w:bCs/>
                <w:color w:val="auto"/>
                <w:kern w:val="2"/>
                <w:sz w:val="21"/>
                <w:szCs w:val="21"/>
                <w:highlight w:val="none"/>
              </w:rPr>
              <w:t>年</w:t>
            </w:r>
            <w:r>
              <w:rPr>
                <w:rFonts w:hint="eastAsia" w:hAnsi="宋体"/>
                <w:bCs/>
                <w:color w:val="auto"/>
                <w:kern w:val="2"/>
                <w:sz w:val="21"/>
                <w:szCs w:val="21"/>
                <w:highlight w:val="none"/>
                <w:lang w:val="en-US" w:eastAsia="zh-CN"/>
              </w:rPr>
              <w:t>6</w:t>
            </w:r>
            <w:r>
              <w:rPr>
                <w:rFonts w:hAnsi="宋体"/>
                <w:bCs/>
                <w:color w:val="auto"/>
                <w:kern w:val="2"/>
                <w:sz w:val="21"/>
                <w:szCs w:val="21"/>
                <w:highlight w:val="none"/>
              </w:rPr>
              <w:t>月</w:t>
            </w:r>
            <w:r>
              <w:rPr>
                <w:rFonts w:hint="eastAsia" w:hAnsi="宋体"/>
                <w:bCs/>
                <w:color w:val="auto"/>
                <w:kern w:val="2"/>
                <w:sz w:val="21"/>
                <w:szCs w:val="21"/>
                <w:highlight w:val="none"/>
                <w:lang w:val="en-US" w:eastAsia="zh-CN"/>
              </w:rPr>
              <w:t>28</w:t>
            </w:r>
            <w:r>
              <w:rPr>
                <w:rFonts w:hint="eastAsia" w:hAnsi="宋体"/>
                <w:bCs/>
                <w:color w:val="auto"/>
                <w:kern w:val="2"/>
                <w:sz w:val="21"/>
                <w:szCs w:val="21"/>
                <w:highlight w:val="none"/>
              </w:rPr>
              <w:t>日下午17:00</w:t>
            </w:r>
            <w:r>
              <w:rPr>
                <w:rFonts w:hint="eastAsia" w:hAnsi="宋体"/>
                <w:bCs/>
                <w:color w:val="000000" w:themeColor="text1"/>
                <w:kern w:val="2"/>
                <w:sz w:val="21"/>
                <w:szCs w:val="21"/>
                <w:highlight w:val="none"/>
                <w14:textFill>
                  <w14:solidFill>
                    <w14:schemeClr w14:val="tx1"/>
                  </w14:solidFill>
                </w14:textFill>
              </w:rPr>
              <w:t>（</w:t>
            </w:r>
            <w:r>
              <w:rPr>
                <w:rFonts w:hint="eastAsia" w:hAnsi="宋体"/>
                <w:bCs/>
                <w:color w:val="auto"/>
                <w:kern w:val="2"/>
                <w:sz w:val="21"/>
                <w:szCs w:val="21"/>
              </w:rPr>
              <w:t>转账,电汇的交纳以银行到账时间为准）。若以保函方式提交的，需提交保函原件并以保函生效时间为准）。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330" w:hRule="atLeast"/>
          <w:jc w:val="center"/>
        </w:trPr>
        <w:tc>
          <w:tcPr>
            <w:tcW w:w="465" w:type="dxa"/>
            <w:tcBorders>
              <w:top w:val="single" w:color="auto" w:sz="4" w:space="0"/>
              <w:bottom w:val="single" w:color="auto" w:sz="4" w:space="0"/>
            </w:tcBorders>
            <w:vAlign w:val="center"/>
          </w:tcPr>
          <w:p>
            <w:pPr>
              <w:spacing w:line="360" w:lineRule="auto"/>
              <w:jc w:val="center"/>
              <w:outlineLvl w:val="5"/>
              <w:rPr>
                <w:rFonts w:hAnsi="宋体"/>
                <w:bCs/>
                <w:color w:val="auto"/>
                <w:kern w:val="2"/>
                <w:sz w:val="21"/>
                <w:szCs w:val="21"/>
              </w:rPr>
            </w:pPr>
            <w:r>
              <w:rPr>
                <w:rFonts w:hint="eastAsia" w:hAnsi="宋体"/>
                <w:bCs/>
                <w:color w:val="auto"/>
                <w:kern w:val="2"/>
                <w:sz w:val="21"/>
                <w:szCs w:val="21"/>
              </w:rPr>
              <w:t>18</w:t>
            </w:r>
          </w:p>
        </w:tc>
        <w:tc>
          <w:tcPr>
            <w:tcW w:w="2064" w:type="dxa"/>
            <w:tcBorders>
              <w:top w:val="single" w:color="auto" w:sz="4" w:space="0"/>
              <w:bottom w:val="single" w:color="auto" w:sz="4" w:space="0"/>
            </w:tcBorders>
            <w:vAlign w:val="center"/>
          </w:tcPr>
          <w:p>
            <w:pPr>
              <w:pStyle w:val="250"/>
              <w:spacing w:line="360" w:lineRule="auto"/>
              <w:ind w:left="96"/>
              <w:jc w:val="center"/>
              <w:rPr>
                <w:rFonts w:cs="Times New Roman"/>
                <w:bCs/>
                <w:color w:val="auto"/>
                <w:kern w:val="2"/>
                <w:sz w:val="21"/>
                <w:szCs w:val="21"/>
              </w:rPr>
            </w:pPr>
            <w:r>
              <w:rPr>
                <w:rFonts w:hint="eastAsia" w:cs="Times New Roman"/>
                <w:bCs/>
                <w:color w:val="auto"/>
                <w:kern w:val="2"/>
                <w:sz w:val="21"/>
                <w:szCs w:val="21"/>
              </w:rPr>
              <w:t>履约保证金</w:t>
            </w:r>
          </w:p>
        </w:tc>
        <w:tc>
          <w:tcPr>
            <w:tcW w:w="7229" w:type="dxa"/>
            <w:tcBorders>
              <w:top w:val="single" w:color="auto" w:sz="4" w:space="0"/>
              <w:bottom w:val="single" w:color="auto" w:sz="4" w:space="0"/>
            </w:tcBorders>
            <w:vAlign w:val="center"/>
          </w:tcPr>
          <w:p>
            <w:pPr>
              <w:pStyle w:val="250"/>
              <w:snapToGrid w:val="0"/>
              <w:spacing w:line="360" w:lineRule="auto"/>
              <w:ind w:left="105" w:leftChars="31"/>
              <w:rPr>
                <w:rFonts w:cs="Times New Roman"/>
                <w:bCs/>
                <w:color w:val="auto"/>
                <w:kern w:val="2"/>
                <w:sz w:val="21"/>
                <w:szCs w:val="21"/>
              </w:rPr>
            </w:pPr>
            <w:r>
              <w:rPr>
                <w:rFonts w:hint="eastAsia" w:cs="Times New Roman"/>
                <w:bCs/>
                <w:color w:val="auto"/>
                <w:kern w:val="2"/>
                <w:sz w:val="21"/>
                <w:szCs w:val="21"/>
              </w:rPr>
              <w:t>签订合同时约定。</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05" w:hRule="atLeast"/>
          <w:jc w:val="center"/>
        </w:trPr>
        <w:tc>
          <w:tcPr>
            <w:tcW w:w="465" w:type="dxa"/>
            <w:tcBorders>
              <w:top w:val="single" w:color="auto" w:sz="4" w:space="0"/>
              <w:bottom w:val="single" w:color="auto" w:sz="4" w:space="0"/>
            </w:tcBorders>
            <w:vAlign w:val="center"/>
          </w:tcPr>
          <w:p>
            <w:pPr>
              <w:spacing w:line="360" w:lineRule="auto"/>
              <w:jc w:val="center"/>
              <w:outlineLvl w:val="5"/>
              <w:rPr>
                <w:rFonts w:hAnsi="宋体"/>
                <w:bCs/>
                <w:color w:val="auto"/>
                <w:kern w:val="2"/>
                <w:sz w:val="21"/>
                <w:szCs w:val="21"/>
              </w:rPr>
            </w:pPr>
            <w:r>
              <w:rPr>
                <w:rFonts w:hint="eastAsia" w:hAnsi="宋体"/>
                <w:bCs/>
                <w:color w:val="auto"/>
                <w:kern w:val="2"/>
                <w:sz w:val="21"/>
                <w:szCs w:val="21"/>
              </w:rPr>
              <w:t>19</w:t>
            </w:r>
          </w:p>
        </w:tc>
        <w:tc>
          <w:tcPr>
            <w:tcW w:w="2064" w:type="dxa"/>
            <w:tcBorders>
              <w:top w:val="single" w:color="auto" w:sz="4" w:space="0"/>
              <w:bottom w:val="single" w:color="auto" w:sz="4" w:space="0"/>
            </w:tcBorders>
            <w:vAlign w:val="center"/>
          </w:tcPr>
          <w:p>
            <w:pPr>
              <w:pStyle w:val="250"/>
              <w:spacing w:line="360" w:lineRule="auto"/>
              <w:jc w:val="center"/>
              <w:rPr>
                <w:rFonts w:cs="Times New Roman"/>
                <w:bCs/>
                <w:color w:val="auto"/>
                <w:kern w:val="2"/>
                <w:sz w:val="21"/>
                <w:szCs w:val="21"/>
              </w:rPr>
            </w:pPr>
            <w:r>
              <w:rPr>
                <w:rFonts w:hint="eastAsia" w:cs="Times New Roman"/>
                <w:bCs/>
                <w:color w:val="auto"/>
                <w:kern w:val="2"/>
                <w:sz w:val="21"/>
                <w:szCs w:val="21"/>
              </w:rPr>
              <w:t>谈判文件、评审工作咨询</w:t>
            </w:r>
          </w:p>
        </w:tc>
        <w:tc>
          <w:tcPr>
            <w:tcW w:w="7229" w:type="dxa"/>
            <w:tcBorders>
              <w:top w:val="single" w:color="auto" w:sz="4" w:space="0"/>
              <w:bottom w:val="single" w:color="auto" w:sz="4" w:space="0"/>
            </w:tcBorders>
          </w:tcPr>
          <w:p>
            <w:pPr>
              <w:snapToGrid w:val="0"/>
              <w:spacing w:line="360" w:lineRule="auto"/>
              <w:ind w:right="170" w:rightChars="50"/>
              <w:rPr>
                <w:rFonts w:hAnsi="宋体"/>
                <w:bCs/>
                <w:color w:val="auto"/>
                <w:kern w:val="2"/>
                <w:sz w:val="21"/>
                <w:szCs w:val="21"/>
              </w:rPr>
            </w:pPr>
            <w:r>
              <w:rPr>
                <w:rFonts w:hint="eastAsia" w:hAnsi="宋体"/>
                <w:bCs/>
                <w:color w:val="auto"/>
                <w:kern w:val="2"/>
                <w:sz w:val="21"/>
                <w:szCs w:val="21"/>
              </w:rPr>
              <w:t>联 系 人：</w:t>
            </w:r>
            <w:r>
              <w:rPr>
                <w:rFonts w:hint="eastAsia" w:hAnsi="宋体"/>
                <w:bCs/>
                <w:color w:val="auto"/>
                <w:kern w:val="2"/>
                <w:sz w:val="21"/>
                <w:szCs w:val="21"/>
                <w:lang w:eastAsia="zh-CN"/>
              </w:rPr>
              <w:t>龙女士；</w:t>
            </w:r>
          </w:p>
          <w:p>
            <w:pPr>
              <w:snapToGrid w:val="0"/>
              <w:spacing w:line="360" w:lineRule="auto"/>
              <w:ind w:right="170" w:rightChars="50"/>
              <w:rPr>
                <w:rFonts w:hAnsi="宋体"/>
                <w:bCs/>
                <w:color w:val="auto"/>
                <w:kern w:val="2"/>
                <w:sz w:val="21"/>
                <w:szCs w:val="21"/>
              </w:rPr>
            </w:pPr>
            <w:r>
              <w:rPr>
                <w:rFonts w:hint="eastAsia" w:hAnsi="宋体"/>
                <w:bCs/>
                <w:color w:val="auto"/>
                <w:kern w:val="2"/>
                <w:sz w:val="21"/>
                <w:szCs w:val="21"/>
              </w:rPr>
              <w:t>联系电话：</w:t>
            </w:r>
            <w:r>
              <w:rPr>
                <w:rFonts w:hint="eastAsia" w:hAnsi="宋体"/>
                <w:bCs/>
                <w:color w:val="auto"/>
                <w:kern w:val="2"/>
                <w:sz w:val="21"/>
                <w:szCs w:val="21"/>
                <w:lang w:val="en-US" w:eastAsia="zh-CN"/>
              </w:rPr>
              <w:t>0832-5816789</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916" w:hRule="atLeast"/>
          <w:jc w:val="center"/>
        </w:trPr>
        <w:tc>
          <w:tcPr>
            <w:tcW w:w="465" w:type="dxa"/>
            <w:tcBorders>
              <w:top w:val="single" w:color="auto" w:sz="4" w:space="0"/>
              <w:bottom w:val="single" w:color="auto" w:sz="4" w:space="0"/>
            </w:tcBorders>
            <w:vAlign w:val="center"/>
          </w:tcPr>
          <w:p>
            <w:pPr>
              <w:spacing w:line="360" w:lineRule="auto"/>
              <w:jc w:val="center"/>
              <w:outlineLvl w:val="5"/>
              <w:rPr>
                <w:rFonts w:hAnsi="宋体"/>
                <w:bCs/>
                <w:color w:val="auto"/>
                <w:kern w:val="2"/>
                <w:sz w:val="21"/>
                <w:szCs w:val="21"/>
              </w:rPr>
            </w:pPr>
            <w:r>
              <w:rPr>
                <w:rFonts w:hint="eastAsia" w:hAnsi="宋体"/>
                <w:bCs/>
                <w:color w:val="auto"/>
                <w:kern w:val="2"/>
                <w:sz w:val="21"/>
                <w:szCs w:val="21"/>
              </w:rPr>
              <w:t>20</w:t>
            </w:r>
          </w:p>
        </w:tc>
        <w:tc>
          <w:tcPr>
            <w:tcW w:w="2064" w:type="dxa"/>
            <w:tcBorders>
              <w:top w:val="single" w:color="auto" w:sz="4" w:space="0"/>
              <w:bottom w:val="single" w:color="auto" w:sz="4" w:space="0"/>
            </w:tcBorders>
            <w:vAlign w:val="center"/>
          </w:tcPr>
          <w:p>
            <w:pPr>
              <w:spacing w:line="360" w:lineRule="auto"/>
              <w:ind w:left="170" w:leftChars="50" w:right="170" w:rightChars="50"/>
              <w:jc w:val="center"/>
              <w:rPr>
                <w:rFonts w:hAnsi="宋体"/>
                <w:bCs/>
                <w:color w:val="auto"/>
                <w:kern w:val="2"/>
                <w:sz w:val="21"/>
                <w:szCs w:val="21"/>
              </w:rPr>
            </w:pPr>
            <w:r>
              <w:rPr>
                <w:rFonts w:hint="eastAsia" w:hAnsi="宋体"/>
                <w:bCs/>
                <w:color w:val="auto"/>
                <w:kern w:val="2"/>
                <w:sz w:val="21"/>
                <w:szCs w:val="21"/>
              </w:rPr>
              <w:t>成交通知书领取</w:t>
            </w:r>
          </w:p>
        </w:tc>
        <w:tc>
          <w:tcPr>
            <w:tcW w:w="7229" w:type="dxa"/>
            <w:tcBorders>
              <w:top w:val="single" w:color="auto" w:sz="4" w:space="0"/>
              <w:bottom w:val="single" w:color="auto" w:sz="4" w:space="0"/>
            </w:tcBorders>
            <w:vAlign w:val="center"/>
          </w:tcPr>
          <w:p>
            <w:pPr>
              <w:tabs>
                <w:tab w:val="left" w:pos="7665"/>
              </w:tabs>
              <w:snapToGrid w:val="0"/>
              <w:spacing w:line="360" w:lineRule="auto"/>
              <w:rPr>
                <w:rFonts w:hAnsi="宋体"/>
                <w:bCs/>
                <w:color w:val="auto"/>
                <w:kern w:val="2"/>
                <w:sz w:val="21"/>
                <w:szCs w:val="21"/>
              </w:rPr>
            </w:pPr>
            <w:r>
              <w:rPr>
                <w:rFonts w:hint="eastAsia" w:hAnsi="宋体"/>
                <w:bCs/>
                <w:color w:val="auto"/>
                <w:kern w:val="2"/>
                <w:sz w:val="21"/>
                <w:szCs w:val="21"/>
              </w:rPr>
              <w:t>结果公告在</w:t>
            </w:r>
            <w:r>
              <w:rPr>
                <w:rFonts w:hint="eastAsia" w:hAnsi="宋体"/>
                <w:bCs/>
                <w:color w:val="auto"/>
                <w:kern w:val="2"/>
                <w:sz w:val="21"/>
                <w:szCs w:val="21"/>
                <w:lang w:eastAsia="zh-CN"/>
              </w:rPr>
              <w:t>威远投资控股集团有限责任公司官网</w:t>
            </w:r>
            <w:r>
              <w:rPr>
                <w:rFonts w:hint="eastAsia" w:hAnsi="宋体"/>
                <w:bCs/>
                <w:color w:val="auto"/>
                <w:kern w:val="2"/>
                <w:sz w:val="21"/>
                <w:szCs w:val="21"/>
              </w:rPr>
              <w:t>上公告后，成交供应商凭有效身份证明证件（单位介绍信和个人身份证）到采购代理机构处领取成交通知书。</w:t>
            </w:r>
          </w:p>
          <w:p>
            <w:pPr>
              <w:snapToGrid w:val="0"/>
              <w:spacing w:line="360" w:lineRule="auto"/>
              <w:rPr>
                <w:rFonts w:hAnsi="宋体"/>
                <w:bCs/>
                <w:color w:val="auto"/>
                <w:kern w:val="2"/>
                <w:sz w:val="21"/>
                <w:szCs w:val="21"/>
              </w:rPr>
            </w:pPr>
            <w:r>
              <w:rPr>
                <w:rFonts w:hint="eastAsia" w:hAnsi="宋体"/>
                <w:bCs/>
                <w:color w:val="auto"/>
                <w:kern w:val="2"/>
                <w:sz w:val="21"/>
                <w:szCs w:val="21"/>
              </w:rPr>
              <w:t>联系人：</w:t>
            </w:r>
            <w:r>
              <w:rPr>
                <w:rFonts w:hint="eastAsia" w:hAnsi="宋体"/>
                <w:bCs/>
                <w:color w:val="auto"/>
                <w:kern w:val="2"/>
                <w:sz w:val="21"/>
                <w:szCs w:val="21"/>
                <w:lang w:eastAsia="zh-CN"/>
              </w:rPr>
              <w:t>龙女士；</w:t>
            </w:r>
          </w:p>
          <w:p>
            <w:pPr>
              <w:snapToGrid w:val="0"/>
              <w:spacing w:line="360" w:lineRule="auto"/>
              <w:rPr>
                <w:rFonts w:hAnsi="宋体"/>
                <w:bCs/>
                <w:color w:val="auto"/>
                <w:kern w:val="2"/>
                <w:sz w:val="21"/>
                <w:szCs w:val="21"/>
              </w:rPr>
            </w:pPr>
            <w:r>
              <w:rPr>
                <w:rFonts w:hint="eastAsia" w:hAnsi="宋体"/>
                <w:bCs/>
                <w:color w:val="auto"/>
                <w:kern w:val="2"/>
                <w:sz w:val="21"/>
                <w:szCs w:val="21"/>
              </w:rPr>
              <w:t>联系电话：</w:t>
            </w:r>
            <w:r>
              <w:rPr>
                <w:rFonts w:hint="eastAsia" w:hAnsi="宋体"/>
                <w:bCs/>
                <w:color w:val="auto"/>
                <w:kern w:val="2"/>
                <w:sz w:val="21"/>
                <w:szCs w:val="21"/>
                <w:lang w:val="en-US" w:eastAsia="zh-CN"/>
              </w:rPr>
              <w:t>0832-5816789</w:t>
            </w:r>
          </w:p>
          <w:p>
            <w:pPr>
              <w:snapToGrid w:val="0"/>
              <w:spacing w:line="360" w:lineRule="auto"/>
              <w:rPr>
                <w:rFonts w:hAnsi="宋体"/>
                <w:bCs/>
                <w:color w:val="auto"/>
                <w:kern w:val="2"/>
                <w:sz w:val="21"/>
                <w:szCs w:val="21"/>
              </w:rPr>
            </w:pPr>
            <w:r>
              <w:rPr>
                <w:rFonts w:hint="eastAsia" w:hAnsi="宋体"/>
                <w:bCs/>
                <w:color w:val="auto"/>
                <w:kern w:val="2"/>
                <w:sz w:val="21"/>
                <w:szCs w:val="21"/>
              </w:rPr>
              <w:t>地址：</w:t>
            </w:r>
            <w:r>
              <w:rPr>
                <w:rFonts w:hint="eastAsia" w:hAnsi="宋体"/>
                <w:bCs/>
                <w:color w:val="auto"/>
                <w:kern w:val="2"/>
                <w:sz w:val="21"/>
                <w:szCs w:val="21"/>
                <w:lang w:eastAsia="zh-CN"/>
              </w:rPr>
              <w:t>四川省威远县二环路西南段</w:t>
            </w:r>
            <w:r>
              <w:rPr>
                <w:rFonts w:hint="eastAsia" w:hAnsi="宋体"/>
                <w:bCs/>
                <w:color w:val="auto"/>
                <w:kern w:val="2"/>
                <w:sz w:val="21"/>
                <w:szCs w:val="21"/>
                <w:lang w:val="en-US" w:eastAsia="zh-CN"/>
              </w:rPr>
              <w:t>265号</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69" w:hRule="atLeast"/>
          <w:jc w:val="center"/>
        </w:trPr>
        <w:tc>
          <w:tcPr>
            <w:tcW w:w="465" w:type="dxa"/>
            <w:tcBorders>
              <w:top w:val="single" w:color="auto" w:sz="4" w:space="0"/>
              <w:bottom w:val="single" w:color="auto" w:sz="4" w:space="0"/>
            </w:tcBorders>
            <w:vAlign w:val="center"/>
          </w:tcPr>
          <w:p>
            <w:pPr>
              <w:spacing w:line="360" w:lineRule="auto"/>
              <w:jc w:val="center"/>
              <w:outlineLvl w:val="5"/>
              <w:rPr>
                <w:rFonts w:hAnsi="宋体"/>
                <w:bCs/>
                <w:color w:val="auto"/>
                <w:kern w:val="2"/>
                <w:sz w:val="21"/>
                <w:szCs w:val="21"/>
              </w:rPr>
            </w:pPr>
            <w:r>
              <w:rPr>
                <w:rFonts w:hint="eastAsia" w:hAnsi="宋体"/>
                <w:bCs/>
                <w:color w:val="auto"/>
                <w:kern w:val="2"/>
                <w:sz w:val="21"/>
                <w:szCs w:val="21"/>
              </w:rPr>
              <w:t>21</w:t>
            </w:r>
          </w:p>
        </w:tc>
        <w:tc>
          <w:tcPr>
            <w:tcW w:w="2064" w:type="dxa"/>
            <w:tcBorders>
              <w:top w:val="single" w:color="auto" w:sz="4" w:space="0"/>
              <w:bottom w:val="single" w:color="auto" w:sz="4" w:space="0"/>
            </w:tcBorders>
            <w:vAlign w:val="center"/>
          </w:tcPr>
          <w:p>
            <w:pPr>
              <w:pStyle w:val="250"/>
              <w:spacing w:line="360" w:lineRule="auto"/>
              <w:jc w:val="center"/>
              <w:rPr>
                <w:rFonts w:cs="Times New Roman"/>
                <w:bCs/>
                <w:color w:val="auto"/>
                <w:kern w:val="2"/>
                <w:sz w:val="21"/>
                <w:szCs w:val="21"/>
              </w:rPr>
            </w:pPr>
            <w:r>
              <w:rPr>
                <w:rFonts w:hint="eastAsia" w:cs="Times New Roman"/>
                <w:bCs/>
                <w:color w:val="auto"/>
                <w:kern w:val="2"/>
                <w:sz w:val="21"/>
                <w:szCs w:val="21"/>
              </w:rPr>
              <w:t>供应商询问、质疑</w:t>
            </w:r>
          </w:p>
        </w:tc>
        <w:tc>
          <w:tcPr>
            <w:tcW w:w="7229" w:type="dxa"/>
            <w:tcBorders>
              <w:top w:val="single" w:color="auto" w:sz="4" w:space="0"/>
              <w:bottom w:val="single" w:color="auto" w:sz="4" w:space="0"/>
            </w:tcBorders>
          </w:tcPr>
          <w:p>
            <w:pPr>
              <w:snapToGrid w:val="0"/>
              <w:spacing w:line="360" w:lineRule="auto"/>
              <w:rPr>
                <w:rFonts w:hAnsi="宋体"/>
                <w:bCs/>
                <w:color w:val="auto"/>
                <w:kern w:val="2"/>
                <w:sz w:val="21"/>
                <w:szCs w:val="21"/>
              </w:rPr>
            </w:pPr>
            <w:r>
              <w:rPr>
                <w:rFonts w:hint="eastAsia" w:hAnsi="宋体"/>
                <w:bCs/>
                <w:color w:val="auto"/>
                <w:kern w:val="2"/>
                <w:sz w:val="21"/>
                <w:szCs w:val="21"/>
              </w:rPr>
              <w:t>供应商询问、质疑问由</w:t>
            </w:r>
            <w:r>
              <w:rPr>
                <w:rFonts w:hint="eastAsia" w:hAnsi="宋体"/>
                <w:bCs/>
                <w:color w:val="auto"/>
                <w:kern w:val="2"/>
                <w:sz w:val="21"/>
                <w:szCs w:val="21"/>
                <w:lang w:eastAsia="zh-CN"/>
              </w:rPr>
              <w:t>四川利阳招投标代理有限公司</w:t>
            </w:r>
            <w:r>
              <w:rPr>
                <w:rFonts w:hint="eastAsia" w:hAnsi="宋体"/>
                <w:bCs/>
                <w:color w:val="auto"/>
                <w:kern w:val="2"/>
                <w:sz w:val="21"/>
                <w:szCs w:val="21"/>
              </w:rPr>
              <w:t>负责答复。</w:t>
            </w:r>
          </w:p>
          <w:p>
            <w:pPr>
              <w:snapToGrid w:val="0"/>
              <w:spacing w:line="360" w:lineRule="auto"/>
              <w:ind w:right="170" w:rightChars="50"/>
              <w:rPr>
                <w:rFonts w:hAnsi="宋体"/>
                <w:bCs/>
                <w:color w:val="auto"/>
                <w:kern w:val="2"/>
                <w:sz w:val="21"/>
                <w:szCs w:val="21"/>
              </w:rPr>
            </w:pPr>
            <w:r>
              <w:rPr>
                <w:rFonts w:hint="eastAsia" w:hAnsi="宋体"/>
                <w:bCs/>
                <w:color w:val="auto"/>
                <w:kern w:val="2"/>
                <w:sz w:val="21"/>
                <w:szCs w:val="21"/>
              </w:rPr>
              <w:t>联 系 人：</w:t>
            </w:r>
            <w:r>
              <w:rPr>
                <w:rFonts w:hint="eastAsia" w:hAnsi="宋体"/>
                <w:bCs/>
                <w:color w:val="auto"/>
                <w:kern w:val="2"/>
                <w:sz w:val="21"/>
                <w:szCs w:val="21"/>
                <w:lang w:eastAsia="zh-CN"/>
              </w:rPr>
              <w:t>龙女士</w:t>
            </w:r>
            <w:r>
              <w:rPr>
                <w:rFonts w:hint="eastAsia" w:hAnsi="宋体"/>
                <w:bCs/>
                <w:color w:val="auto"/>
                <w:kern w:val="2"/>
                <w:sz w:val="21"/>
                <w:szCs w:val="21"/>
              </w:rPr>
              <w:t>；</w:t>
            </w:r>
          </w:p>
          <w:p>
            <w:pPr>
              <w:snapToGrid w:val="0"/>
              <w:spacing w:line="360" w:lineRule="auto"/>
              <w:rPr>
                <w:rFonts w:hAnsi="宋体"/>
                <w:bCs/>
                <w:color w:val="auto"/>
                <w:kern w:val="2"/>
                <w:sz w:val="21"/>
                <w:szCs w:val="21"/>
              </w:rPr>
            </w:pPr>
            <w:r>
              <w:rPr>
                <w:rFonts w:hint="eastAsia" w:hAnsi="宋体"/>
                <w:bCs/>
                <w:color w:val="auto"/>
                <w:kern w:val="2"/>
                <w:sz w:val="21"/>
                <w:szCs w:val="21"/>
              </w:rPr>
              <w:t>联系电话：</w:t>
            </w:r>
            <w:r>
              <w:rPr>
                <w:rFonts w:hint="eastAsia" w:hAnsi="宋体"/>
                <w:bCs/>
                <w:color w:val="auto"/>
                <w:kern w:val="2"/>
                <w:sz w:val="21"/>
                <w:szCs w:val="21"/>
                <w:lang w:val="en-US" w:eastAsia="zh-CN"/>
              </w:rPr>
              <w:t>0832-5816789</w:t>
            </w:r>
            <w:r>
              <w:rPr>
                <w:rFonts w:hint="eastAsia" w:hAnsi="宋体"/>
                <w:bCs/>
                <w:color w:val="auto"/>
                <w:kern w:val="2"/>
                <w:sz w:val="21"/>
                <w:szCs w:val="21"/>
              </w:rPr>
              <w:t>；</w:t>
            </w:r>
          </w:p>
          <w:p>
            <w:pPr>
              <w:snapToGrid w:val="0"/>
              <w:spacing w:line="360" w:lineRule="auto"/>
              <w:rPr>
                <w:rFonts w:hAnsi="宋体"/>
                <w:bCs/>
                <w:color w:val="auto"/>
                <w:kern w:val="2"/>
                <w:sz w:val="21"/>
                <w:szCs w:val="21"/>
              </w:rPr>
            </w:pPr>
            <w:r>
              <w:rPr>
                <w:rFonts w:hint="eastAsia" w:hAnsi="宋体"/>
                <w:bCs/>
                <w:color w:val="auto"/>
                <w:kern w:val="2"/>
                <w:sz w:val="21"/>
                <w:szCs w:val="21"/>
              </w:rPr>
              <w:t>传真：</w:t>
            </w:r>
            <w:r>
              <w:rPr>
                <w:rFonts w:hint="eastAsia" w:hAnsi="宋体"/>
                <w:bCs/>
                <w:color w:val="auto"/>
                <w:kern w:val="2"/>
                <w:sz w:val="21"/>
                <w:szCs w:val="21"/>
                <w:lang w:val="en-US" w:eastAsia="zh-CN"/>
              </w:rPr>
              <w:t>0832-5816866</w:t>
            </w:r>
            <w:r>
              <w:rPr>
                <w:rFonts w:hint="eastAsia" w:hAnsi="宋体"/>
                <w:bCs/>
                <w:color w:val="auto"/>
                <w:kern w:val="2"/>
                <w:sz w:val="21"/>
                <w:szCs w:val="21"/>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70" w:hRule="atLeast"/>
          <w:jc w:val="center"/>
        </w:trPr>
        <w:tc>
          <w:tcPr>
            <w:tcW w:w="465" w:type="dxa"/>
            <w:tcBorders>
              <w:top w:val="single" w:color="auto" w:sz="4" w:space="0"/>
              <w:bottom w:val="single" w:color="auto" w:sz="4" w:space="0"/>
            </w:tcBorders>
            <w:vAlign w:val="center"/>
          </w:tcPr>
          <w:p>
            <w:pPr>
              <w:spacing w:line="360" w:lineRule="auto"/>
              <w:jc w:val="center"/>
              <w:outlineLvl w:val="5"/>
              <w:rPr>
                <w:rFonts w:hAnsi="宋体"/>
                <w:bCs/>
                <w:color w:val="auto"/>
                <w:kern w:val="2"/>
                <w:sz w:val="21"/>
                <w:szCs w:val="21"/>
              </w:rPr>
            </w:pPr>
            <w:r>
              <w:rPr>
                <w:rFonts w:hint="eastAsia" w:hAnsi="宋体"/>
                <w:bCs/>
                <w:color w:val="auto"/>
                <w:kern w:val="2"/>
                <w:sz w:val="21"/>
                <w:szCs w:val="21"/>
              </w:rPr>
              <w:t>22</w:t>
            </w:r>
          </w:p>
        </w:tc>
        <w:tc>
          <w:tcPr>
            <w:tcW w:w="2064" w:type="dxa"/>
            <w:tcBorders>
              <w:top w:val="single" w:color="auto" w:sz="4" w:space="0"/>
              <w:bottom w:val="single" w:color="auto" w:sz="4" w:space="0"/>
            </w:tcBorders>
            <w:vAlign w:val="center"/>
          </w:tcPr>
          <w:p>
            <w:pPr>
              <w:pStyle w:val="250"/>
              <w:spacing w:line="360" w:lineRule="auto"/>
              <w:jc w:val="center"/>
              <w:rPr>
                <w:rFonts w:cs="Times New Roman"/>
                <w:bCs/>
                <w:color w:val="auto"/>
                <w:kern w:val="2"/>
                <w:sz w:val="21"/>
                <w:szCs w:val="21"/>
              </w:rPr>
            </w:pPr>
            <w:r>
              <w:rPr>
                <w:rFonts w:hint="eastAsia" w:cs="Times New Roman"/>
                <w:bCs/>
                <w:color w:val="auto"/>
                <w:kern w:val="2"/>
                <w:sz w:val="21"/>
                <w:szCs w:val="21"/>
              </w:rPr>
              <w:t>供应商投诉</w:t>
            </w:r>
          </w:p>
        </w:tc>
        <w:tc>
          <w:tcPr>
            <w:tcW w:w="7229" w:type="dxa"/>
            <w:tcBorders>
              <w:top w:val="single" w:color="auto" w:sz="4" w:space="0"/>
              <w:bottom w:val="single" w:color="auto" w:sz="4" w:space="0"/>
            </w:tcBorders>
          </w:tcPr>
          <w:p>
            <w:pPr>
              <w:snapToGrid w:val="0"/>
              <w:spacing w:line="360" w:lineRule="auto"/>
              <w:ind w:right="170" w:rightChars="50"/>
              <w:rPr>
                <w:rFonts w:hAnsi="宋体"/>
                <w:bCs/>
                <w:color w:val="auto"/>
                <w:kern w:val="2"/>
                <w:sz w:val="21"/>
                <w:szCs w:val="21"/>
              </w:rPr>
            </w:pPr>
            <w:r>
              <w:rPr>
                <w:rFonts w:hint="eastAsia" w:hAnsi="宋体"/>
                <w:bCs/>
                <w:color w:val="auto"/>
                <w:kern w:val="2"/>
                <w:sz w:val="21"/>
                <w:szCs w:val="21"/>
              </w:rPr>
              <w:t xml:space="preserve">投诉受理单位：威远投资控股集团有限责任公司。 </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479" w:hRule="atLeast"/>
          <w:jc w:val="center"/>
        </w:trPr>
        <w:tc>
          <w:tcPr>
            <w:tcW w:w="465" w:type="dxa"/>
            <w:vAlign w:val="center"/>
          </w:tcPr>
          <w:p>
            <w:pPr>
              <w:spacing w:line="360" w:lineRule="auto"/>
              <w:jc w:val="center"/>
              <w:outlineLvl w:val="5"/>
              <w:rPr>
                <w:rFonts w:hAnsi="宋体"/>
                <w:bCs/>
                <w:color w:val="auto"/>
                <w:kern w:val="2"/>
                <w:sz w:val="21"/>
                <w:szCs w:val="21"/>
              </w:rPr>
            </w:pPr>
            <w:r>
              <w:rPr>
                <w:rFonts w:hint="eastAsia" w:hAnsi="宋体"/>
                <w:bCs/>
                <w:color w:val="auto"/>
                <w:kern w:val="2"/>
                <w:sz w:val="21"/>
                <w:szCs w:val="21"/>
              </w:rPr>
              <w:t>24</w:t>
            </w:r>
          </w:p>
        </w:tc>
        <w:tc>
          <w:tcPr>
            <w:tcW w:w="2064" w:type="dxa"/>
            <w:vAlign w:val="center"/>
          </w:tcPr>
          <w:p>
            <w:pPr>
              <w:spacing w:line="360" w:lineRule="auto"/>
              <w:jc w:val="center"/>
              <w:outlineLvl w:val="5"/>
              <w:rPr>
                <w:rFonts w:hAnsi="宋体"/>
                <w:bCs/>
                <w:color w:val="auto"/>
                <w:kern w:val="2"/>
                <w:sz w:val="21"/>
                <w:szCs w:val="21"/>
              </w:rPr>
            </w:pPr>
            <w:r>
              <w:rPr>
                <w:rFonts w:hint="eastAsia" w:hAnsi="宋体"/>
                <w:bCs/>
                <w:color w:val="auto"/>
                <w:kern w:val="2"/>
                <w:sz w:val="21"/>
                <w:szCs w:val="21"/>
              </w:rPr>
              <w:t>备选谈判方案和报价</w:t>
            </w:r>
          </w:p>
        </w:tc>
        <w:tc>
          <w:tcPr>
            <w:tcW w:w="7229" w:type="dxa"/>
            <w:vAlign w:val="center"/>
          </w:tcPr>
          <w:p>
            <w:pPr>
              <w:snapToGrid w:val="0"/>
              <w:spacing w:line="360" w:lineRule="auto"/>
              <w:ind w:firstLine="210" w:firstLineChars="100"/>
              <w:outlineLvl w:val="5"/>
              <w:rPr>
                <w:rFonts w:hAnsi="宋体"/>
                <w:bCs/>
                <w:color w:val="auto"/>
                <w:kern w:val="2"/>
                <w:sz w:val="21"/>
                <w:szCs w:val="21"/>
              </w:rPr>
            </w:pPr>
            <w:r>
              <w:rPr>
                <w:rFonts w:hint="eastAsia" w:hAnsi="宋体"/>
                <w:bCs/>
                <w:color w:val="auto"/>
                <w:kern w:val="2"/>
                <w:sz w:val="21"/>
                <w:szCs w:val="21"/>
              </w:rPr>
              <w:t>本次采购不接受备选谈判方案和多个报价。</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479" w:hRule="atLeast"/>
          <w:jc w:val="center"/>
        </w:trPr>
        <w:tc>
          <w:tcPr>
            <w:tcW w:w="465" w:type="dxa"/>
            <w:vAlign w:val="center"/>
          </w:tcPr>
          <w:p>
            <w:pPr>
              <w:spacing w:line="360" w:lineRule="auto"/>
              <w:jc w:val="center"/>
              <w:outlineLvl w:val="5"/>
              <w:rPr>
                <w:rFonts w:hAnsi="宋体"/>
                <w:bCs/>
                <w:color w:val="auto"/>
                <w:kern w:val="2"/>
                <w:sz w:val="21"/>
                <w:szCs w:val="21"/>
              </w:rPr>
            </w:pPr>
            <w:r>
              <w:rPr>
                <w:rFonts w:hint="eastAsia" w:hAnsi="宋体"/>
                <w:bCs/>
                <w:color w:val="auto"/>
                <w:kern w:val="2"/>
                <w:sz w:val="21"/>
                <w:szCs w:val="21"/>
              </w:rPr>
              <w:t>25</w:t>
            </w:r>
          </w:p>
        </w:tc>
        <w:tc>
          <w:tcPr>
            <w:tcW w:w="2064" w:type="dxa"/>
            <w:vAlign w:val="center"/>
          </w:tcPr>
          <w:p>
            <w:pPr>
              <w:spacing w:line="360" w:lineRule="auto"/>
              <w:jc w:val="center"/>
              <w:outlineLvl w:val="5"/>
              <w:rPr>
                <w:rFonts w:hAnsi="宋体"/>
                <w:bCs/>
                <w:color w:val="auto"/>
                <w:kern w:val="2"/>
                <w:sz w:val="21"/>
                <w:szCs w:val="21"/>
              </w:rPr>
            </w:pPr>
            <w:r>
              <w:rPr>
                <w:rFonts w:hint="eastAsia" w:hAnsi="宋体"/>
                <w:bCs/>
                <w:color w:val="auto"/>
                <w:kern w:val="2"/>
                <w:sz w:val="21"/>
                <w:szCs w:val="21"/>
              </w:rPr>
              <w:t>国家规定的强制采购范围内产品评审</w:t>
            </w:r>
          </w:p>
          <w:p>
            <w:pPr>
              <w:spacing w:line="360" w:lineRule="auto"/>
              <w:jc w:val="center"/>
              <w:outlineLvl w:val="5"/>
              <w:rPr>
                <w:rFonts w:hAnsi="宋体"/>
                <w:bCs/>
                <w:color w:val="auto"/>
                <w:kern w:val="2"/>
                <w:sz w:val="21"/>
                <w:szCs w:val="21"/>
              </w:rPr>
            </w:pPr>
            <w:r>
              <w:rPr>
                <w:rFonts w:hint="eastAsia" w:hAnsi="宋体"/>
                <w:bCs/>
                <w:color w:val="auto"/>
                <w:kern w:val="2"/>
                <w:sz w:val="21"/>
                <w:szCs w:val="21"/>
              </w:rPr>
              <w:t>（实质性要求）</w:t>
            </w:r>
          </w:p>
        </w:tc>
        <w:tc>
          <w:tcPr>
            <w:tcW w:w="7229" w:type="dxa"/>
            <w:vAlign w:val="center"/>
          </w:tcPr>
          <w:p>
            <w:pPr>
              <w:snapToGrid w:val="0"/>
              <w:spacing w:line="360" w:lineRule="auto"/>
              <w:ind w:firstLine="210" w:firstLineChars="100"/>
              <w:outlineLvl w:val="5"/>
              <w:rPr>
                <w:rFonts w:hAnsi="宋体"/>
                <w:bCs/>
                <w:color w:val="auto"/>
                <w:kern w:val="2"/>
                <w:sz w:val="21"/>
                <w:szCs w:val="21"/>
              </w:rPr>
            </w:pPr>
            <w:r>
              <w:rPr>
                <w:rFonts w:hint="eastAsia" w:hAnsi="宋体"/>
                <w:bCs/>
                <w:color w:val="auto"/>
                <w:kern w:val="2"/>
                <w:sz w:val="21"/>
                <w:szCs w:val="21"/>
              </w:rPr>
              <w:t>本项目采购需求中涉及国家规定的强制采购范围内产品，均应按照国家相关要求进行审核。不管竞争性谈判文件是否要求，供应商应提供相关证明材料复印件或承诺函原件。优先采购范围内的产品按竞争性谈判文件约定执行。</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928" w:hRule="exact"/>
          <w:jc w:val="center"/>
        </w:trPr>
        <w:tc>
          <w:tcPr>
            <w:tcW w:w="465" w:type="dxa"/>
            <w:vAlign w:val="center"/>
          </w:tcPr>
          <w:p>
            <w:pPr>
              <w:spacing w:line="360" w:lineRule="auto"/>
              <w:jc w:val="center"/>
              <w:outlineLvl w:val="5"/>
              <w:rPr>
                <w:rFonts w:hAnsi="宋体"/>
                <w:bCs/>
                <w:color w:val="auto"/>
                <w:kern w:val="2"/>
                <w:sz w:val="21"/>
                <w:szCs w:val="21"/>
              </w:rPr>
            </w:pPr>
            <w:r>
              <w:rPr>
                <w:rFonts w:hint="eastAsia" w:hAnsi="宋体"/>
                <w:bCs/>
                <w:color w:val="auto"/>
                <w:kern w:val="2"/>
                <w:sz w:val="21"/>
                <w:szCs w:val="21"/>
              </w:rPr>
              <w:t>25</w:t>
            </w:r>
          </w:p>
        </w:tc>
        <w:tc>
          <w:tcPr>
            <w:tcW w:w="2064" w:type="dxa"/>
            <w:vAlign w:val="center"/>
          </w:tcPr>
          <w:p>
            <w:pPr>
              <w:spacing w:line="360" w:lineRule="auto"/>
              <w:jc w:val="center"/>
              <w:outlineLvl w:val="5"/>
              <w:rPr>
                <w:rFonts w:hAnsi="宋体"/>
                <w:bCs/>
                <w:color w:val="auto"/>
                <w:kern w:val="2"/>
                <w:sz w:val="21"/>
                <w:szCs w:val="21"/>
              </w:rPr>
            </w:pPr>
            <w:r>
              <w:rPr>
                <w:rFonts w:hint="eastAsia" w:hAnsi="宋体"/>
                <w:bCs/>
                <w:color w:val="auto"/>
                <w:kern w:val="2"/>
                <w:sz w:val="21"/>
                <w:szCs w:val="21"/>
              </w:rPr>
              <w:t>招标代理服务费</w:t>
            </w:r>
          </w:p>
        </w:tc>
        <w:tc>
          <w:tcPr>
            <w:tcW w:w="7229" w:type="dxa"/>
            <w:vAlign w:val="center"/>
          </w:tcPr>
          <w:p>
            <w:pPr>
              <w:snapToGrid w:val="0"/>
              <w:spacing w:line="360" w:lineRule="auto"/>
              <w:ind w:firstLine="210" w:firstLineChars="100"/>
              <w:outlineLvl w:val="5"/>
              <w:rPr>
                <w:rFonts w:hAnsi="宋体"/>
                <w:bCs/>
                <w:color w:val="auto"/>
                <w:kern w:val="2"/>
                <w:sz w:val="21"/>
                <w:szCs w:val="21"/>
              </w:rPr>
            </w:pPr>
            <w:r>
              <w:rPr>
                <w:rFonts w:hint="eastAsia" w:hAnsi="宋体"/>
                <w:bCs/>
                <w:color w:val="auto"/>
                <w:kern w:val="2"/>
                <w:sz w:val="21"/>
                <w:szCs w:val="21"/>
                <w:lang w:eastAsia="zh-CN"/>
              </w:rPr>
              <w:t>第一包</w:t>
            </w:r>
            <w:r>
              <w:rPr>
                <w:rFonts w:hint="eastAsia" w:hAnsi="宋体"/>
                <w:bCs/>
                <w:color w:val="auto"/>
                <w:kern w:val="2"/>
                <w:sz w:val="21"/>
                <w:szCs w:val="21"/>
              </w:rPr>
              <w:t>按</w:t>
            </w:r>
            <w:r>
              <w:rPr>
                <w:rFonts w:hint="eastAsia" w:hAnsi="宋体"/>
                <w:bCs/>
                <w:color w:val="auto"/>
                <w:kern w:val="2"/>
                <w:sz w:val="21"/>
                <w:szCs w:val="21"/>
                <w:lang w:eastAsia="zh-CN"/>
              </w:rPr>
              <w:t>定</w:t>
            </w:r>
            <w:r>
              <w:rPr>
                <w:rFonts w:hint="eastAsia" w:hAnsi="宋体"/>
                <w:bCs/>
                <w:color w:val="000000" w:themeColor="text1"/>
                <w:kern w:val="2"/>
                <w:sz w:val="21"/>
                <w:szCs w:val="21"/>
                <w:lang w:eastAsia="zh-CN"/>
                <w14:textFill>
                  <w14:solidFill>
                    <w14:schemeClr w14:val="tx1"/>
                  </w14:solidFill>
                </w14:textFill>
              </w:rPr>
              <w:t>额</w:t>
            </w:r>
            <w:r>
              <w:rPr>
                <w:rFonts w:hint="eastAsia" w:hAnsi="宋体" w:cs="宋体"/>
                <w:color w:val="auto"/>
                <w:sz w:val="21"/>
                <w:szCs w:val="21"/>
                <w:lang w:val="en-US" w:eastAsia="zh-CN"/>
              </w:rPr>
              <w:t>4000.00</w:t>
            </w:r>
            <w:r>
              <w:rPr>
                <w:rFonts w:hint="eastAsia" w:hAnsi="宋体"/>
                <w:bCs/>
                <w:color w:val="auto"/>
                <w:kern w:val="2"/>
                <w:sz w:val="21"/>
                <w:szCs w:val="21"/>
                <w:lang w:val="en-US" w:eastAsia="zh-CN"/>
              </w:rPr>
              <w:t>收取</w:t>
            </w:r>
            <w:r>
              <w:rPr>
                <w:rFonts w:hint="eastAsia" w:hAnsi="宋体"/>
                <w:bCs/>
                <w:color w:val="auto"/>
                <w:kern w:val="2"/>
                <w:sz w:val="21"/>
                <w:szCs w:val="21"/>
                <w:lang w:eastAsia="zh-CN"/>
              </w:rPr>
              <w:t>；第二包按定额</w:t>
            </w:r>
            <w:r>
              <w:rPr>
                <w:rFonts w:hint="eastAsia" w:hAnsi="宋体"/>
                <w:bCs/>
                <w:color w:val="auto"/>
                <w:kern w:val="2"/>
                <w:sz w:val="21"/>
                <w:szCs w:val="21"/>
                <w:lang w:val="en-US" w:eastAsia="zh-CN"/>
              </w:rPr>
              <w:t>5000.00收取，</w:t>
            </w:r>
            <w:r>
              <w:rPr>
                <w:rFonts w:hint="eastAsia" w:hAnsi="宋体"/>
                <w:bCs/>
                <w:color w:val="auto"/>
                <w:kern w:val="2"/>
                <w:sz w:val="21"/>
                <w:szCs w:val="21"/>
              </w:rPr>
              <w:t>由成交供应商在领取成交通知书前向采购代理机构交纳招标代理服务费。</w:t>
            </w:r>
          </w:p>
        </w:tc>
      </w:tr>
    </w:tbl>
    <w:p>
      <w:pPr>
        <w:pStyle w:val="4"/>
        <w:spacing w:before="0" w:after="0"/>
        <w:rPr>
          <w:rFonts w:ascii="宋体" w:hAnsi="宋体" w:eastAsia="宋体"/>
          <w:color w:val="auto"/>
        </w:rPr>
      </w:pPr>
      <w:bookmarkStart w:id="27" w:name="_Toc430773896"/>
      <w:bookmarkStart w:id="28" w:name="_Toc209847035"/>
      <w:r>
        <w:rPr>
          <w:rFonts w:hint="eastAsia" w:ascii="宋体" w:hAnsi="宋体" w:eastAsia="宋体"/>
          <w:color w:val="auto"/>
        </w:rPr>
        <w:t>二、总则</w:t>
      </w:r>
      <w:bookmarkEnd w:id="27"/>
      <w:bookmarkEnd w:id="28"/>
    </w:p>
    <w:p>
      <w:pPr>
        <w:pStyle w:val="5"/>
        <w:spacing w:before="0" w:after="0"/>
        <w:ind w:firstLine="482"/>
        <w:rPr>
          <w:color w:val="auto"/>
        </w:rPr>
      </w:pPr>
      <w:bookmarkStart w:id="29" w:name="_Hlt101843485"/>
      <w:bookmarkEnd w:id="29"/>
      <w:bookmarkStart w:id="30" w:name="_Toc209847036"/>
      <w:bookmarkStart w:id="31" w:name="_Toc531665998"/>
      <w:bookmarkStart w:id="32" w:name="_Toc532292489"/>
      <w:bookmarkStart w:id="33" w:name="_Toc532877820"/>
      <w:bookmarkStart w:id="34" w:name="_Toc531661817"/>
      <w:bookmarkStart w:id="35" w:name="_Toc101250603"/>
      <w:bookmarkStart w:id="36" w:name="_Toc532292769"/>
      <w:bookmarkStart w:id="37" w:name="_Toc430773897"/>
      <w:bookmarkStart w:id="38" w:name="_Toc101338321"/>
      <w:bookmarkStart w:id="39" w:name="_Toc534008351"/>
      <w:bookmarkStart w:id="40" w:name="_Toc531764889"/>
      <w:bookmarkStart w:id="41" w:name="_Toc532292571"/>
      <w:r>
        <w:rPr>
          <w:rFonts w:hint="eastAsia"/>
          <w:color w:val="auto"/>
        </w:rPr>
        <w:t>1．适用范围</w:t>
      </w:r>
      <w:bookmarkEnd w:id="30"/>
      <w:bookmarkEnd w:id="31"/>
      <w:bookmarkEnd w:id="32"/>
      <w:bookmarkEnd w:id="33"/>
      <w:bookmarkEnd w:id="34"/>
      <w:bookmarkEnd w:id="35"/>
      <w:bookmarkEnd w:id="36"/>
      <w:bookmarkEnd w:id="37"/>
      <w:bookmarkEnd w:id="38"/>
      <w:bookmarkEnd w:id="39"/>
      <w:bookmarkEnd w:id="40"/>
      <w:bookmarkEnd w:id="41"/>
    </w:p>
    <w:p>
      <w:pPr>
        <w:tabs>
          <w:tab w:val="left" w:pos="7665"/>
        </w:tabs>
        <w:spacing w:line="360" w:lineRule="auto"/>
        <w:ind w:firstLine="480" w:firstLineChars="200"/>
        <w:rPr>
          <w:rFonts w:hAnsi="宋体"/>
          <w:color w:val="auto"/>
          <w:sz w:val="24"/>
          <w:szCs w:val="24"/>
        </w:rPr>
      </w:pPr>
      <w:r>
        <w:rPr>
          <w:rFonts w:hint="eastAsia" w:hAnsi="宋体"/>
          <w:color w:val="auto"/>
          <w:sz w:val="24"/>
          <w:szCs w:val="24"/>
        </w:rPr>
        <w:t>本谈判文件仅适用于本次竞争性谈判所叙述项目的货物/服务/工程采购要求。</w:t>
      </w:r>
    </w:p>
    <w:p>
      <w:pPr>
        <w:pStyle w:val="5"/>
        <w:spacing w:before="0" w:after="0"/>
        <w:ind w:firstLine="482"/>
        <w:rPr>
          <w:color w:val="auto"/>
        </w:rPr>
      </w:pPr>
      <w:bookmarkStart w:id="42" w:name="_Toc532292572"/>
      <w:bookmarkStart w:id="43" w:name="_Toc532292490"/>
      <w:bookmarkStart w:id="44" w:name="_Toc209847037"/>
      <w:bookmarkStart w:id="45" w:name="_Toc532292770"/>
      <w:bookmarkStart w:id="46" w:name="_Toc430773898"/>
      <w:bookmarkStart w:id="47" w:name="_Toc534008352"/>
      <w:bookmarkStart w:id="48" w:name="_Toc101338322"/>
      <w:bookmarkStart w:id="49" w:name="_Toc531665999"/>
      <w:bookmarkStart w:id="50" w:name="_Toc531764890"/>
      <w:bookmarkStart w:id="51" w:name="_Toc531661818"/>
      <w:bookmarkStart w:id="52" w:name="_Toc532877821"/>
      <w:bookmarkStart w:id="53" w:name="_Toc101250604"/>
      <w:r>
        <w:rPr>
          <w:rFonts w:hint="eastAsia"/>
          <w:color w:val="auto"/>
        </w:rPr>
        <w:t>2．定义</w:t>
      </w:r>
      <w:bookmarkEnd w:id="42"/>
      <w:bookmarkEnd w:id="43"/>
      <w:bookmarkEnd w:id="44"/>
      <w:bookmarkEnd w:id="45"/>
      <w:bookmarkEnd w:id="46"/>
      <w:bookmarkEnd w:id="47"/>
      <w:bookmarkEnd w:id="48"/>
      <w:bookmarkEnd w:id="49"/>
      <w:bookmarkEnd w:id="50"/>
      <w:bookmarkEnd w:id="51"/>
      <w:bookmarkEnd w:id="52"/>
      <w:bookmarkEnd w:id="53"/>
    </w:p>
    <w:p>
      <w:pPr>
        <w:tabs>
          <w:tab w:val="left" w:pos="7665"/>
        </w:tabs>
        <w:spacing w:line="360" w:lineRule="auto"/>
        <w:ind w:firstLine="480" w:firstLineChars="200"/>
        <w:rPr>
          <w:rFonts w:hAnsi="宋体"/>
          <w:color w:val="auto"/>
          <w:sz w:val="24"/>
          <w:szCs w:val="24"/>
        </w:rPr>
      </w:pPr>
      <w:r>
        <w:rPr>
          <w:rFonts w:hint="eastAsia" w:hAnsi="宋体"/>
          <w:color w:val="auto"/>
          <w:sz w:val="24"/>
          <w:szCs w:val="24"/>
        </w:rPr>
        <w:t>2</w:t>
      </w:r>
      <w:r>
        <w:rPr>
          <w:rFonts w:hAnsi="宋体"/>
          <w:color w:val="auto"/>
          <w:sz w:val="24"/>
          <w:szCs w:val="24"/>
        </w:rPr>
        <w:t>.</w:t>
      </w:r>
      <w:r>
        <w:rPr>
          <w:rFonts w:hint="eastAsia" w:hAnsi="宋体"/>
          <w:color w:val="auto"/>
          <w:sz w:val="24"/>
          <w:szCs w:val="24"/>
        </w:rPr>
        <w:t>1“采购人”系指</w:t>
      </w:r>
      <w:r>
        <w:rPr>
          <w:rFonts w:hint="eastAsia" w:hAnsi="宋体"/>
          <w:color w:val="auto"/>
          <w:sz w:val="24"/>
          <w:szCs w:val="24"/>
          <w:u w:val="single"/>
          <w:lang w:eastAsia="zh-CN"/>
        </w:rPr>
        <w:t>威远投资控股集团有限责任公司</w:t>
      </w:r>
      <w:r>
        <w:rPr>
          <w:rFonts w:hint="eastAsia" w:hAnsi="宋体"/>
          <w:color w:val="auto"/>
          <w:sz w:val="24"/>
          <w:szCs w:val="24"/>
        </w:rPr>
        <w:t>。</w:t>
      </w:r>
    </w:p>
    <w:p>
      <w:pPr>
        <w:tabs>
          <w:tab w:val="left" w:pos="7665"/>
        </w:tabs>
        <w:spacing w:line="360" w:lineRule="auto"/>
        <w:ind w:firstLine="480" w:firstLineChars="200"/>
        <w:rPr>
          <w:rFonts w:hAnsi="宋体"/>
          <w:color w:val="auto"/>
          <w:sz w:val="24"/>
          <w:szCs w:val="24"/>
        </w:rPr>
      </w:pPr>
      <w:r>
        <w:rPr>
          <w:rFonts w:hint="eastAsia" w:hAnsi="宋体"/>
          <w:color w:val="auto"/>
          <w:sz w:val="24"/>
          <w:szCs w:val="24"/>
        </w:rPr>
        <w:t>2</w:t>
      </w:r>
      <w:r>
        <w:rPr>
          <w:rFonts w:hAnsi="宋体"/>
          <w:color w:val="auto"/>
          <w:sz w:val="24"/>
          <w:szCs w:val="24"/>
        </w:rPr>
        <w:t>.</w:t>
      </w:r>
      <w:r>
        <w:rPr>
          <w:rFonts w:hint="eastAsia" w:hAnsi="宋体"/>
          <w:color w:val="auto"/>
          <w:sz w:val="24"/>
          <w:szCs w:val="24"/>
        </w:rPr>
        <w:t>2“采购代理机构”系指</w:t>
      </w:r>
      <w:r>
        <w:rPr>
          <w:rFonts w:hint="eastAsia" w:hAnsi="宋体"/>
          <w:color w:val="auto"/>
          <w:sz w:val="24"/>
          <w:szCs w:val="24"/>
          <w:u w:val="single"/>
          <w:lang w:eastAsia="zh-CN"/>
        </w:rPr>
        <w:t>四川利阳招投标代理有限公司</w:t>
      </w:r>
      <w:r>
        <w:rPr>
          <w:rFonts w:hint="eastAsia" w:hAnsi="宋体"/>
          <w:color w:val="auto"/>
          <w:sz w:val="24"/>
          <w:szCs w:val="24"/>
        </w:rPr>
        <w:t>。</w:t>
      </w:r>
    </w:p>
    <w:p>
      <w:pPr>
        <w:tabs>
          <w:tab w:val="left" w:pos="7665"/>
        </w:tabs>
        <w:spacing w:line="360" w:lineRule="auto"/>
        <w:ind w:firstLine="480" w:firstLineChars="200"/>
        <w:rPr>
          <w:rFonts w:hAnsi="宋体"/>
          <w:color w:val="auto"/>
          <w:sz w:val="24"/>
          <w:szCs w:val="24"/>
        </w:rPr>
      </w:pPr>
      <w:r>
        <w:rPr>
          <w:rFonts w:hint="eastAsia" w:hAnsi="宋体"/>
          <w:color w:val="auto"/>
          <w:sz w:val="24"/>
          <w:szCs w:val="24"/>
        </w:rPr>
        <w:t>2</w:t>
      </w:r>
      <w:r>
        <w:rPr>
          <w:rFonts w:hAnsi="宋体"/>
          <w:color w:val="auto"/>
          <w:sz w:val="24"/>
          <w:szCs w:val="24"/>
        </w:rPr>
        <w:t>.</w:t>
      </w:r>
      <w:r>
        <w:rPr>
          <w:rFonts w:hint="eastAsia" w:hAnsi="宋体"/>
          <w:color w:val="auto"/>
          <w:sz w:val="24"/>
          <w:szCs w:val="24"/>
        </w:rPr>
        <w:t>3“供应商”系指领取了谈判文件拟参加谈判和向采购人提供货物及相应服务的供应商。</w:t>
      </w:r>
    </w:p>
    <w:p>
      <w:pPr>
        <w:tabs>
          <w:tab w:val="left" w:pos="7665"/>
        </w:tabs>
        <w:spacing w:line="360" w:lineRule="auto"/>
        <w:ind w:firstLine="480" w:firstLineChars="200"/>
        <w:rPr>
          <w:rFonts w:hAnsi="宋体"/>
          <w:color w:val="auto"/>
          <w:sz w:val="24"/>
          <w:szCs w:val="24"/>
        </w:rPr>
      </w:pPr>
      <w:r>
        <w:rPr>
          <w:rFonts w:hint="eastAsia" w:hAnsi="宋体"/>
          <w:color w:val="auto"/>
          <w:sz w:val="24"/>
          <w:szCs w:val="24"/>
        </w:rPr>
        <w:t>2.4“货物/服务”系指谈判文件规定供应商须承担的货物/服务供应以及其他类似的义务。</w:t>
      </w:r>
    </w:p>
    <w:p>
      <w:pPr>
        <w:pStyle w:val="5"/>
        <w:spacing w:before="0" w:after="0"/>
        <w:ind w:firstLine="482"/>
        <w:rPr>
          <w:color w:val="auto"/>
        </w:rPr>
      </w:pPr>
      <w:bookmarkStart w:id="54" w:name="_Hlt101022323"/>
      <w:bookmarkEnd w:id="54"/>
      <w:bookmarkStart w:id="55" w:name="_Toc532292491"/>
      <w:bookmarkStart w:id="56" w:name="_Toc531764891"/>
      <w:bookmarkStart w:id="57" w:name="_Toc532292573"/>
      <w:bookmarkStart w:id="58" w:name="_Toc531661819"/>
      <w:bookmarkStart w:id="59" w:name="_Toc101250605"/>
      <w:bookmarkStart w:id="60" w:name="_Toc101338323"/>
      <w:bookmarkStart w:id="61" w:name="_Toc532292771"/>
      <w:bookmarkStart w:id="62" w:name="_Toc532877822"/>
      <w:bookmarkStart w:id="63" w:name="_Toc531666000"/>
      <w:bookmarkStart w:id="64" w:name="_Toc534008353"/>
      <w:bookmarkStart w:id="65" w:name="_Toc209847038"/>
      <w:bookmarkStart w:id="66" w:name="_Toc430773899"/>
      <w:r>
        <w:rPr>
          <w:rFonts w:hint="eastAsia"/>
          <w:color w:val="auto"/>
        </w:rPr>
        <w:t>3．合格供应商</w:t>
      </w:r>
      <w:bookmarkEnd w:id="55"/>
      <w:bookmarkEnd w:id="56"/>
      <w:bookmarkEnd w:id="57"/>
      <w:bookmarkEnd w:id="58"/>
      <w:bookmarkEnd w:id="59"/>
      <w:bookmarkEnd w:id="60"/>
      <w:bookmarkEnd w:id="61"/>
      <w:bookmarkEnd w:id="62"/>
      <w:bookmarkEnd w:id="63"/>
      <w:bookmarkEnd w:id="64"/>
      <w:bookmarkEnd w:id="65"/>
      <w:bookmarkEnd w:id="66"/>
      <w:bookmarkStart w:id="67" w:name="_Toc531666001"/>
      <w:bookmarkStart w:id="68" w:name="_Toc531661820"/>
      <w:bookmarkStart w:id="69" w:name="_Toc532292574"/>
      <w:bookmarkStart w:id="70" w:name="_Toc101250606"/>
      <w:bookmarkStart w:id="71" w:name="_Toc101338324"/>
      <w:bookmarkStart w:id="72" w:name="_Toc532877823"/>
      <w:bookmarkStart w:id="73" w:name="_Toc532292492"/>
      <w:bookmarkStart w:id="74" w:name="_Toc532292772"/>
      <w:bookmarkStart w:id="75" w:name="_Toc531764892"/>
      <w:bookmarkStart w:id="76" w:name="_Toc534008354"/>
    </w:p>
    <w:p>
      <w:pPr>
        <w:tabs>
          <w:tab w:val="left" w:pos="7665"/>
        </w:tabs>
        <w:spacing w:line="360" w:lineRule="auto"/>
        <w:ind w:firstLine="480" w:firstLineChars="200"/>
        <w:rPr>
          <w:rFonts w:hAnsi="宋体"/>
          <w:bCs/>
          <w:color w:val="auto"/>
          <w:kern w:val="2"/>
          <w:sz w:val="21"/>
          <w:szCs w:val="21"/>
        </w:rPr>
      </w:pPr>
      <w:bookmarkStart w:id="77" w:name="_Toc209847039"/>
      <w:bookmarkStart w:id="78" w:name="_Toc430773900"/>
      <w:r>
        <w:rPr>
          <w:rFonts w:hint="eastAsia" w:hAnsi="宋体"/>
          <w:color w:val="auto"/>
          <w:sz w:val="24"/>
          <w:szCs w:val="24"/>
        </w:rPr>
        <w:t>合格的供应商应具备以下条件，否则其响应文件按无效处理。</w:t>
      </w:r>
    </w:p>
    <w:p>
      <w:pPr>
        <w:tabs>
          <w:tab w:val="left" w:pos="7665"/>
        </w:tabs>
        <w:spacing w:line="360" w:lineRule="auto"/>
        <w:ind w:firstLine="480" w:firstLineChars="200"/>
        <w:rPr>
          <w:rFonts w:hAnsi="宋体"/>
          <w:color w:val="auto"/>
          <w:spacing w:val="-4"/>
          <w:sz w:val="24"/>
          <w:szCs w:val="24"/>
        </w:rPr>
      </w:pPr>
      <w:r>
        <w:rPr>
          <w:rFonts w:hint="eastAsia" w:hAnsi="宋体"/>
          <w:color w:val="auto"/>
          <w:sz w:val="24"/>
          <w:szCs w:val="24"/>
        </w:rPr>
        <w:t>3.1具备谈判文件“竞争性谈判邀请”第五条的基本条件</w:t>
      </w:r>
      <w:r>
        <w:rPr>
          <w:rFonts w:hint="eastAsia" w:hAnsi="宋体"/>
          <w:color w:val="auto"/>
          <w:spacing w:val="-4"/>
          <w:sz w:val="24"/>
          <w:szCs w:val="24"/>
        </w:rPr>
        <w:t>；</w:t>
      </w:r>
    </w:p>
    <w:p>
      <w:pPr>
        <w:tabs>
          <w:tab w:val="left" w:pos="7665"/>
        </w:tabs>
        <w:spacing w:line="360" w:lineRule="auto"/>
        <w:rPr>
          <w:rFonts w:hAnsi="宋体"/>
          <w:color w:val="auto"/>
          <w:sz w:val="24"/>
          <w:szCs w:val="24"/>
        </w:rPr>
      </w:pPr>
      <w:r>
        <w:rPr>
          <w:rFonts w:hint="eastAsia" w:hAnsi="宋体"/>
          <w:color w:val="auto"/>
          <w:sz w:val="24"/>
          <w:szCs w:val="24"/>
        </w:rPr>
        <w:t xml:space="preserve">    3.2向采购代理机构购买了谈判文件并登记备案；</w:t>
      </w:r>
    </w:p>
    <w:p>
      <w:pPr>
        <w:tabs>
          <w:tab w:val="left" w:pos="7665"/>
        </w:tabs>
        <w:spacing w:line="360" w:lineRule="auto"/>
        <w:ind w:firstLine="480"/>
        <w:rPr>
          <w:rFonts w:hAnsi="宋体"/>
          <w:color w:val="auto"/>
          <w:sz w:val="24"/>
          <w:szCs w:val="24"/>
        </w:rPr>
      </w:pPr>
      <w:r>
        <w:rPr>
          <w:rFonts w:hint="eastAsia" w:hAnsi="宋体"/>
          <w:color w:val="auto"/>
          <w:sz w:val="24"/>
          <w:szCs w:val="24"/>
        </w:rPr>
        <w:t>3.3遵守国家有关的法律、法规、规章和其他政策制度；</w:t>
      </w:r>
    </w:p>
    <w:p>
      <w:pPr>
        <w:tabs>
          <w:tab w:val="left" w:pos="7665"/>
        </w:tabs>
        <w:spacing w:line="360" w:lineRule="auto"/>
        <w:ind w:firstLine="480" w:firstLineChars="200"/>
        <w:rPr>
          <w:rFonts w:hAnsi="宋体"/>
          <w:color w:val="auto"/>
          <w:sz w:val="24"/>
          <w:szCs w:val="24"/>
        </w:rPr>
      </w:pPr>
      <w:r>
        <w:rPr>
          <w:rFonts w:hint="eastAsia" w:hAnsi="宋体"/>
          <w:color w:val="auto"/>
          <w:sz w:val="24"/>
          <w:szCs w:val="24"/>
        </w:rPr>
        <w:t>3.4供应商在参加政府采购活动前，未被纳入法院、工商行政管理部门、税务部门、银行认定的失信名单且在有效期内，或者在前三年政府采购合同履约过程中及其他经营活动履约过程中未依法履约被有关部门处罚（处理）。</w:t>
      </w:r>
    </w:p>
    <w:p>
      <w:pPr>
        <w:tabs>
          <w:tab w:val="left" w:pos="7665"/>
        </w:tabs>
        <w:spacing w:line="360" w:lineRule="auto"/>
        <w:ind w:firstLine="480" w:firstLineChars="200"/>
        <w:rPr>
          <w:rFonts w:hAnsi="宋体"/>
          <w:color w:val="auto"/>
          <w:sz w:val="24"/>
          <w:szCs w:val="24"/>
        </w:rPr>
      </w:pPr>
      <w:r>
        <w:rPr>
          <w:rFonts w:hint="eastAsia" w:hAnsi="宋体"/>
          <w:color w:val="auto"/>
          <w:sz w:val="24"/>
          <w:szCs w:val="24"/>
        </w:rPr>
        <w:t>3.5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spacing w:line="360" w:lineRule="auto"/>
        <w:ind w:firstLine="480" w:firstLineChars="200"/>
        <w:rPr>
          <w:rFonts w:hAnsi="宋体"/>
          <w:color w:val="auto"/>
          <w:sz w:val="24"/>
        </w:rPr>
      </w:pPr>
      <w:r>
        <w:rPr>
          <w:rFonts w:hint="eastAsia" w:hAnsi="宋体"/>
          <w:color w:val="auto"/>
          <w:sz w:val="24"/>
        </w:rPr>
        <w:t>3.6 2家以上的供应商不得在同一合同项下的采购项目中，同时委托同一个自然人、同一家庭的人员、同一单位的人员作为其代理人，否则，其响应文件作为无效处理。</w:t>
      </w:r>
    </w:p>
    <w:p>
      <w:pPr>
        <w:pStyle w:val="293"/>
        <w:snapToGrid w:val="0"/>
        <w:spacing w:line="360" w:lineRule="auto"/>
        <w:ind w:left="1" w:firstLine="480" w:firstLineChars="200"/>
        <w:rPr>
          <w:rFonts w:hAnsi="宋体"/>
          <w:color w:val="auto"/>
          <w:sz w:val="24"/>
        </w:rPr>
      </w:pPr>
      <w:r>
        <w:rPr>
          <w:rFonts w:hint="eastAsia" w:hAnsi="宋体"/>
          <w:color w:val="auto"/>
          <w:sz w:val="24"/>
        </w:rPr>
        <w:t>3.7前期参与供应商处理。为采购项目提供整体设计、规范编制或者项目管理、监理、检测等服务的供应商，不得再参加该采购项目的其他采购活动。供应商为采购人、采购代理机构在确定采购需求、编制谈判文件过程中提供咨询论证，其提供的咨询论证意见成为谈判文件中规定的供应商资格条件、技术服务商务要求、评审因素和标准、采购合同等实质性内容条款的，视同为采购项目提供规范编制。</w:t>
      </w:r>
    </w:p>
    <w:p>
      <w:pPr>
        <w:tabs>
          <w:tab w:val="left" w:pos="7665"/>
        </w:tabs>
        <w:spacing w:line="360" w:lineRule="auto"/>
        <w:ind w:firstLine="360" w:firstLineChars="150"/>
        <w:rPr>
          <w:rFonts w:hAnsi="宋体" w:cs="宋体"/>
          <w:color w:val="auto"/>
          <w:sz w:val="24"/>
        </w:rPr>
      </w:pPr>
      <w:r>
        <w:rPr>
          <w:rFonts w:hint="eastAsia" w:hAnsi="宋体" w:cs="宋体"/>
          <w:color w:val="auto"/>
          <w:sz w:val="24"/>
        </w:rPr>
        <w:t>3.8【《关于在政府采购活动中查询及使用信用记录有关问题的通知》财库[2016]125号】信用记录查询渠道：“信用中国”网站(www.creditchina.gov.cn)、中国政府采购网(www.ccgp.gov.cn)。对在本项目开标截止时间前列入失信被执行人、重大税收违法案件当事人名单、政府采购严重违法失信行为记录名单及其他不符合《中华人民共和国政府采购法》第二十二条规定条件的供应商，拒绝其参与政府采购活动。</w:t>
      </w:r>
    </w:p>
    <w:p>
      <w:pPr>
        <w:tabs>
          <w:tab w:val="left" w:pos="7665"/>
        </w:tabs>
        <w:spacing w:line="360" w:lineRule="auto"/>
        <w:ind w:firstLine="480"/>
        <w:rPr>
          <w:rFonts w:hAnsi="宋体" w:cs="宋体"/>
          <w:color w:val="auto"/>
          <w:kern w:val="2"/>
          <w:sz w:val="24"/>
          <w:szCs w:val="24"/>
        </w:rPr>
      </w:pPr>
      <w:r>
        <w:rPr>
          <w:rFonts w:hint="eastAsia" w:hAnsi="宋体" w:cs="宋体"/>
          <w:color w:val="auto"/>
          <w:kern w:val="2"/>
          <w:sz w:val="24"/>
          <w:szCs w:val="24"/>
        </w:rPr>
        <w:t>3.9谈判文件和法律、行政法规规定的其他条件。</w:t>
      </w:r>
    </w:p>
    <w:p>
      <w:pPr>
        <w:pStyle w:val="5"/>
        <w:spacing w:before="0" w:after="0"/>
        <w:ind w:firstLine="482"/>
        <w:rPr>
          <w:color w:val="auto"/>
        </w:rPr>
      </w:pPr>
      <w:r>
        <w:rPr>
          <w:rFonts w:hint="eastAsia"/>
          <w:color w:val="auto"/>
        </w:rPr>
        <w:t>4．谈判费用</w:t>
      </w:r>
      <w:bookmarkEnd w:id="67"/>
      <w:bookmarkEnd w:id="68"/>
      <w:bookmarkEnd w:id="69"/>
      <w:bookmarkEnd w:id="70"/>
      <w:bookmarkEnd w:id="71"/>
      <w:bookmarkEnd w:id="72"/>
      <w:bookmarkEnd w:id="73"/>
      <w:bookmarkEnd w:id="74"/>
      <w:bookmarkEnd w:id="75"/>
      <w:bookmarkEnd w:id="76"/>
      <w:bookmarkEnd w:id="77"/>
      <w:bookmarkEnd w:id="78"/>
    </w:p>
    <w:p>
      <w:pPr>
        <w:spacing w:line="360" w:lineRule="auto"/>
        <w:ind w:firstLine="480" w:firstLineChars="200"/>
        <w:rPr>
          <w:rFonts w:hAnsi="宋体"/>
          <w:color w:val="auto"/>
          <w:sz w:val="24"/>
          <w:szCs w:val="24"/>
        </w:rPr>
      </w:pPr>
      <w:r>
        <w:rPr>
          <w:rFonts w:hint="eastAsia" w:hAnsi="宋体"/>
          <w:color w:val="auto"/>
          <w:sz w:val="24"/>
          <w:szCs w:val="24"/>
        </w:rPr>
        <w:t>供应商参加谈判的有关费用由供应商自行承担。</w:t>
      </w:r>
      <w:bookmarkStart w:id="79" w:name="_Toc209847040"/>
      <w:bookmarkStart w:id="80" w:name="_Toc532877824"/>
      <w:bookmarkStart w:id="81" w:name="_Toc534008355"/>
      <w:bookmarkStart w:id="82" w:name="_Toc532292575"/>
      <w:bookmarkStart w:id="83" w:name="_Toc101250607"/>
      <w:bookmarkStart w:id="84" w:name="_Toc531764893"/>
      <w:bookmarkStart w:id="85" w:name="_Toc101338325"/>
      <w:bookmarkStart w:id="86" w:name="_Toc532292493"/>
      <w:bookmarkStart w:id="87" w:name="_Toc531666002"/>
      <w:bookmarkStart w:id="88" w:name="_Toc531661821"/>
      <w:bookmarkStart w:id="89" w:name="_Toc532292773"/>
    </w:p>
    <w:p>
      <w:pPr>
        <w:pStyle w:val="4"/>
        <w:spacing w:before="0" w:after="0"/>
        <w:rPr>
          <w:color w:val="auto"/>
        </w:rPr>
      </w:pPr>
      <w:bookmarkStart w:id="90" w:name="_Toc430773901"/>
      <w:r>
        <w:rPr>
          <w:rFonts w:hint="eastAsia"/>
          <w:color w:val="auto"/>
        </w:rPr>
        <w:t>三、</w:t>
      </w:r>
      <w:bookmarkEnd w:id="79"/>
      <w:bookmarkEnd w:id="80"/>
      <w:bookmarkEnd w:id="81"/>
      <w:bookmarkEnd w:id="82"/>
      <w:bookmarkEnd w:id="83"/>
      <w:bookmarkEnd w:id="84"/>
      <w:bookmarkEnd w:id="85"/>
      <w:bookmarkEnd w:id="86"/>
      <w:bookmarkEnd w:id="87"/>
      <w:bookmarkEnd w:id="88"/>
      <w:bookmarkEnd w:id="89"/>
      <w:bookmarkEnd w:id="90"/>
      <w:r>
        <w:rPr>
          <w:rFonts w:hint="eastAsia"/>
          <w:color w:val="auto"/>
        </w:rPr>
        <w:t>谈判文件</w:t>
      </w:r>
    </w:p>
    <w:p>
      <w:pPr>
        <w:pStyle w:val="5"/>
        <w:spacing w:before="0" w:after="0"/>
        <w:ind w:firstLine="482"/>
        <w:rPr>
          <w:color w:val="auto"/>
        </w:rPr>
      </w:pPr>
      <w:bookmarkStart w:id="91" w:name="_Toc532292774"/>
      <w:bookmarkStart w:id="92" w:name="_Toc531764894"/>
      <w:bookmarkStart w:id="93" w:name="_Toc532292494"/>
      <w:bookmarkStart w:id="94" w:name="_Toc209847041"/>
      <w:bookmarkStart w:id="95" w:name="_Toc532292576"/>
      <w:bookmarkStart w:id="96" w:name="_Toc532877825"/>
      <w:bookmarkStart w:id="97" w:name="_Toc101338326"/>
      <w:bookmarkStart w:id="98" w:name="_Toc531661822"/>
      <w:bookmarkStart w:id="99" w:name="_Toc101250608"/>
      <w:bookmarkStart w:id="100" w:name="_Toc534008356"/>
      <w:bookmarkStart w:id="101" w:name="_Toc430773902"/>
      <w:bookmarkStart w:id="102" w:name="_Toc531666003"/>
      <w:r>
        <w:rPr>
          <w:rFonts w:hint="eastAsia"/>
          <w:color w:val="auto"/>
        </w:rPr>
        <w:t>5．谈判文件的构成</w:t>
      </w:r>
      <w:bookmarkEnd w:id="91"/>
      <w:bookmarkEnd w:id="92"/>
      <w:bookmarkEnd w:id="93"/>
      <w:bookmarkEnd w:id="94"/>
      <w:bookmarkEnd w:id="95"/>
      <w:bookmarkEnd w:id="96"/>
      <w:bookmarkEnd w:id="97"/>
      <w:bookmarkEnd w:id="98"/>
      <w:bookmarkEnd w:id="99"/>
      <w:bookmarkEnd w:id="100"/>
      <w:bookmarkEnd w:id="101"/>
      <w:bookmarkEnd w:id="102"/>
    </w:p>
    <w:p>
      <w:pPr>
        <w:tabs>
          <w:tab w:val="left" w:pos="7665"/>
        </w:tabs>
        <w:spacing w:line="360" w:lineRule="auto"/>
        <w:ind w:firstLine="480" w:firstLineChars="200"/>
        <w:rPr>
          <w:rFonts w:hAnsi="宋体"/>
          <w:color w:val="auto"/>
          <w:sz w:val="24"/>
          <w:szCs w:val="24"/>
        </w:rPr>
      </w:pPr>
      <w:r>
        <w:rPr>
          <w:rFonts w:hint="eastAsia" w:hAnsi="宋体"/>
          <w:color w:val="auto"/>
          <w:sz w:val="24"/>
          <w:szCs w:val="24"/>
        </w:rPr>
        <w:t>5</w:t>
      </w:r>
      <w:r>
        <w:rPr>
          <w:rFonts w:hAnsi="宋体"/>
          <w:color w:val="auto"/>
          <w:sz w:val="24"/>
          <w:szCs w:val="24"/>
        </w:rPr>
        <w:t>.</w:t>
      </w:r>
      <w:r>
        <w:rPr>
          <w:rFonts w:hint="eastAsia" w:hAnsi="宋体"/>
          <w:color w:val="auto"/>
          <w:sz w:val="24"/>
          <w:szCs w:val="24"/>
        </w:rPr>
        <w:t>1谈判文件是供应商准备响应文件和参加竞争性谈判采购活动的依据，同时也是评审的重要依据，具有准法律文件性质。谈判文件用以阐明采购项目所需的资质、技术、服务及报价等要求、谈判程序、有关规定和注意事项以及合同主要条款等。本谈判文件包括以下内容及所有发出的补充文件和答疑会议记录：</w:t>
      </w:r>
    </w:p>
    <w:p>
      <w:pPr>
        <w:spacing w:line="360" w:lineRule="auto"/>
        <w:ind w:firstLine="480" w:firstLineChars="200"/>
        <w:rPr>
          <w:rFonts w:hAnsi="宋体"/>
          <w:color w:val="auto"/>
          <w:sz w:val="24"/>
          <w:szCs w:val="24"/>
        </w:rPr>
      </w:pPr>
      <w:r>
        <w:rPr>
          <w:rFonts w:hint="eastAsia" w:hAnsi="宋体"/>
          <w:color w:val="auto"/>
          <w:sz w:val="24"/>
          <w:szCs w:val="24"/>
        </w:rPr>
        <w:t>第一部分  竞争性谈判邀请；</w:t>
      </w:r>
    </w:p>
    <w:p>
      <w:pPr>
        <w:spacing w:line="360" w:lineRule="auto"/>
        <w:ind w:firstLine="480" w:firstLineChars="200"/>
        <w:rPr>
          <w:rFonts w:hAnsi="宋体"/>
          <w:color w:val="auto"/>
          <w:sz w:val="24"/>
          <w:szCs w:val="24"/>
        </w:rPr>
      </w:pPr>
      <w:r>
        <w:rPr>
          <w:rFonts w:hint="eastAsia" w:hAnsi="宋体"/>
          <w:color w:val="auto"/>
          <w:sz w:val="24"/>
          <w:szCs w:val="24"/>
        </w:rPr>
        <w:t>第二部分  供应商谈判须知；</w:t>
      </w:r>
    </w:p>
    <w:p>
      <w:pPr>
        <w:spacing w:line="360" w:lineRule="auto"/>
        <w:ind w:firstLine="480" w:firstLineChars="200"/>
        <w:rPr>
          <w:rFonts w:hAnsi="宋体"/>
          <w:color w:val="auto"/>
          <w:sz w:val="24"/>
          <w:szCs w:val="24"/>
        </w:rPr>
      </w:pPr>
      <w:r>
        <w:rPr>
          <w:rFonts w:hint="eastAsia" w:hAnsi="宋体"/>
          <w:color w:val="auto"/>
          <w:sz w:val="24"/>
          <w:szCs w:val="24"/>
        </w:rPr>
        <w:t>第三部分  采购需求及确定邀请参加采购活动的供应商数量和方式；</w:t>
      </w:r>
    </w:p>
    <w:p>
      <w:pPr>
        <w:spacing w:line="360" w:lineRule="auto"/>
        <w:ind w:firstLine="480" w:firstLineChars="200"/>
        <w:rPr>
          <w:rFonts w:hAnsi="宋体"/>
          <w:color w:val="auto"/>
          <w:sz w:val="24"/>
          <w:szCs w:val="24"/>
        </w:rPr>
      </w:pPr>
      <w:r>
        <w:rPr>
          <w:rFonts w:hint="eastAsia" w:hAnsi="宋体"/>
          <w:color w:val="auto"/>
          <w:sz w:val="24"/>
          <w:szCs w:val="24"/>
        </w:rPr>
        <w:t>第四部分  供应商、货物、服务的资格条件要求；</w:t>
      </w:r>
    </w:p>
    <w:p>
      <w:pPr>
        <w:spacing w:line="360" w:lineRule="auto"/>
        <w:ind w:firstLine="480" w:firstLineChars="200"/>
        <w:rPr>
          <w:rFonts w:hAnsi="宋体"/>
          <w:color w:val="auto"/>
          <w:sz w:val="24"/>
          <w:szCs w:val="24"/>
        </w:rPr>
      </w:pPr>
      <w:r>
        <w:rPr>
          <w:rFonts w:hint="eastAsia" w:hAnsi="宋体"/>
          <w:color w:val="auto"/>
          <w:sz w:val="24"/>
          <w:szCs w:val="24"/>
        </w:rPr>
        <w:t>第五部分  供应商应当提供的资格证明材料；</w:t>
      </w:r>
    </w:p>
    <w:p>
      <w:pPr>
        <w:spacing w:line="360" w:lineRule="auto"/>
        <w:ind w:firstLine="480" w:firstLineChars="200"/>
        <w:rPr>
          <w:rFonts w:hAnsi="宋体"/>
          <w:color w:val="auto"/>
          <w:sz w:val="24"/>
          <w:szCs w:val="24"/>
        </w:rPr>
      </w:pPr>
      <w:r>
        <w:rPr>
          <w:rFonts w:hint="eastAsia" w:hAnsi="宋体"/>
          <w:color w:val="auto"/>
          <w:sz w:val="24"/>
          <w:szCs w:val="24"/>
        </w:rPr>
        <w:t xml:space="preserve">第六部分  采购项目一般技术、服务和商务要求； </w:t>
      </w:r>
    </w:p>
    <w:p>
      <w:pPr>
        <w:spacing w:line="360" w:lineRule="auto"/>
        <w:ind w:firstLine="480" w:firstLineChars="200"/>
        <w:rPr>
          <w:rFonts w:hAnsi="宋体"/>
          <w:color w:val="auto"/>
          <w:sz w:val="24"/>
          <w:szCs w:val="24"/>
        </w:rPr>
      </w:pPr>
      <w:r>
        <w:rPr>
          <w:rFonts w:hint="eastAsia" w:hAnsi="宋体"/>
          <w:color w:val="auto"/>
          <w:sz w:val="24"/>
          <w:szCs w:val="24"/>
        </w:rPr>
        <w:t>第七部分  体现满足采购需求、质量和服务相等的采购项目实质性要求；</w:t>
      </w:r>
    </w:p>
    <w:p>
      <w:pPr>
        <w:spacing w:line="360" w:lineRule="auto"/>
        <w:ind w:firstLine="480" w:firstLineChars="200"/>
        <w:rPr>
          <w:rFonts w:hAnsi="宋体"/>
          <w:color w:val="auto"/>
          <w:sz w:val="24"/>
          <w:szCs w:val="24"/>
        </w:rPr>
      </w:pPr>
      <w:r>
        <w:rPr>
          <w:rFonts w:hint="eastAsia" w:hAnsi="宋体"/>
          <w:color w:val="auto"/>
          <w:sz w:val="24"/>
          <w:szCs w:val="24"/>
        </w:rPr>
        <w:t>第八部分  谈判内容、谈判过程中可能实质性变动的内容；</w:t>
      </w:r>
    </w:p>
    <w:p>
      <w:pPr>
        <w:spacing w:line="360" w:lineRule="auto"/>
        <w:ind w:firstLine="480" w:firstLineChars="200"/>
        <w:rPr>
          <w:rFonts w:hAnsi="宋体"/>
          <w:color w:val="auto"/>
          <w:sz w:val="24"/>
          <w:szCs w:val="24"/>
        </w:rPr>
      </w:pPr>
      <w:r>
        <w:rPr>
          <w:rFonts w:hint="eastAsia" w:hAnsi="宋体"/>
          <w:color w:val="auto"/>
          <w:sz w:val="24"/>
          <w:szCs w:val="24"/>
        </w:rPr>
        <w:t>第九部分  报价要求；</w:t>
      </w:r>
    </w:p>
    <w:p>
      <w:pPr>
        <w:spacing w:line="360" w:lineRule="auto"/>
        <w:ind w:firstLine="480" w:firstLineChars="200"/>
        <w:rPr>
          <w:rFonts w:hAnsi="宋体"/>
          <w:color w:val="auto"/>
          <w:sz w:val="24"/>
          <w:szCs w:val="24"/>
        </w:rPr>
      </w:pPr>
      <w:r>
        <w:rPr>
          <w:rFonts w:hint="eastAsia" w:hAnsi="宋体"/>
          <w:color w:val="auto"/>
          <w:sz w:val="24"/>
          <w:szCs w:val="24"/>
        </w:rPr>
        <w:t>第十部分  供应商响应文件编制要求；</w:t>
      </w:r>
    </w:p>
    <w:p>
      <w:pPr>
        <w:spacing w:line="360" w:lineRule="auto"/>
        <w:ind w:firstLine="480" w:firstLineChars="200"/>
        <w:rPr>
          <w:rFonts w:hAnsi="宋体"/>
          <w:color w:val="auto"/>
          <w:sz w:val="24"/>
          <w:szCs w:val="24"/>
        </w:rPr>
      </w:pPr>
      <w:r>
        <w:rPr>
          <w:rFonts w:hint="eastAsia" w:hAnsi="宋体"/>
          <w:color w:val="auto"/>
          <w:sz w:val="24"/>
          <w:szCs w:val="24"/>
        </w:rPr>
        <w:t>第十一部分 供应商响应文件相关文书格式；</w:t>
      </w:r>
    </w:p>
    <w:p>
      <w:pPr>
        <w:spacing w:line="360" w:lineRule="auto"/>
        <w:rPr>
          <w:rFonts w:hAnsi="宋体"/>
          <w:color w:val="auto"/>
          <w:sz w:val="24"/>
          <w:szCs w:val="24"/>
        </w:rPr>
      </w:pPr>
      <w:r>
        <w:rPr>
          <w:rFonts w:hint="eastAsia" w:hAnsi="宋体"/>
          <w:color w:val="auto"/>
          <w:sz w:val="24"/>
          <w:szCs w:val="24"/>
        </w:rPr>
        <w:t xml:space="preserve">    第十二部分  评审程序、评审方法、评审标准；</w:t>
      </w:r>
    </w:p>
    <w:p>
      <w:pPr>
        <w:spacing w:line="360" w:lineRule="auto"/>
        <w:ind w:firstLine="480" w:firstLineChars="200"/>
        <w:rPr>
          <w:rFonts w:hAnsi="宋体"/>
          <w:color w:val="auto"/>
          <w:sz w:val="24"/>
          <w:szCs w:val="24"/>
        </w:rPr>
      </w:pPr>
      <w:r>
        <w:rPr>
          <w:rFonts w:hint="eastAsia" w:hAnsi="宋体"/>
          <w:color w:val="auto"/>
          <w:sz w:val="24"/>
          <w:szCs w:val="24"/>
        </w:rPr>
        <w:t>第十三部分  采购合同（样例）；</w:t>
      </w:r>
    </w:p>
    <w:p>
      <w:pPr>
        <w:spacing w:line="360" w:lineRule="auto"/>
        <w:ind w:firstLine="480" w:firstLineChars="200"/>
        <w:rPr>
          <w:rFonts w:hAnsi="宋体"/>
          <w:color w:val="auto"/>
          <w:sz w:val="24"/>
          <w:szCs w:val="24"/>
        </w:rPr>
      </w:pPr>
      <w:r>
        <w:rPr>
          <w:rFonts w:hint="eastAsia" w:hAnsi="宋体"/>
          <w:color w:val="auto"/>
          <w:sz w:val="24"/>
          <w:szCs w:val="24"/>
        </w:rPr>
        <w:t>第十四部分  采购项目履约验收标准和要求；</w:t>
      </w:r>
    </w:p>
    <w:p>
      <w:pPr>
        <w:spacing w:line="360" w:lineRule="auto"/>
        <w:ind w:firstLine="480" w:firstLineChars="200"/>
        <w:rPr>
          <w:rFonts w:hAnsi="宋体"/>
          <w:color w:val="auto"/>
          <w:sz w:val="24"/>
          <w:szCs w:val="24"/>
        </w:rPr>
      </w:pPr>
      <w:r>
        <w:rPr>
          <w:rFonts w:hint="eastAsia" w:hAnsi="宋体"/>
          <w:color w:val="auto"/>
          <w:sz w:val="24"/>
          <w:szCs w:val="24"/>
        </w:rPr>
        <w:t>第十五部分  保证金退还申请表。</w:t>
      </w:r>
    </w:p>
    <w:p>
      <w:pPr>
        <w:tabs>
          <w:tab w:val="left" w:pos="7665"/>
        </w:tabs>
        <w:spacing w:line="360" w:lineRule="auto"/>
        <w:ind w:firstLine="480" w:firstLineChars="200"/>
        <w:rPr>
          <w:rFonts w:hAnsi="宋体"/>
          <w:color w:val="auto"/>
          <w:sz w:val="24"/>
          <w:szCs w:val="24"/>
        </w:rPr>
      </w:pPr>
      <w:r>
        <w:rPr>
          <w:rFonts w:hint="eastAsia" w:hAnsi="宋体"/>
          <w:color w:val="auto"/>
          <w:sz w:val="24"/>
          <w:szCs w:val="24"/>
        </w:rPr>
        <w:t>5</w:t>
      </w:r>
      <w:r>
        <w:rPr>
          <w:rFonts w:hAnsi="宋体"/>
          <w:color w:val="auto"/>
          <w:sz w:val="24"/>
          <w:szCs w:val="24"/>
        </w:rPr>
        <w:t>.</w:t>
      </w:r>
      <w:r>
        <w:rPr>
          <w:rFonts w:hint="eastAsia" w:hAnsi="宋体"/>
          <w:color w:val="auto"/>
          <w:sz w:val="24"/>
          <w:szCs w:val="24"/>
        </w:rPr>
        <w:t>2谈判文件及补充资料前后有矛盾的，以时间在后的为准。</w:t>
      </w:r>
    </w:p>
    <w:p>
      <w:pPr>
        <w:tabs>
          <w:tab w:val="left" w:pos="7665"/>
        </w:tabs>
        <w:spacing w:line="360" w:lineRule="auto"/>
        <w:ind w:firstLine="480" w:firstLineChars="200"/>
        <w:rPr>
          <w:rFonts w:hAnsi="宋体"/>
          <w:color w:val="auto"/>
          <w:sz w:val="24"/>
          <w:szCs w:val="24"/>
        </w:rPr>
      </w:pPr>
      <w:r>
        <w:rPr>
          <w:rFonts w:hint="eastAsia" w:hAnsi="宋体"/>
          <w:color w:val="auto"/>
          <w:sz w:val="24"/>
          <w:szCs w:val="24"/>
        </w:rPr>
        <w:t>5</w:t>
      </w:r>
      <w:r>
        <w:rPr>
          <w:rFonts w:hAnsi="宋体"/>
          <w:color w:val="auto"/>
          <w:sz w:val="24"/>
          <w:szCs w:val="24"/>
        </w:rPr>
        <w:t>.</w:t>
      </w:r>
      <w:r>
        <w:rPr>
          <w:rFonts w:hint="eastAsia" w:hAnsi="宋体"/>
          <w:color w:val="auto"/>
          <w:sz w:val="24"/>
          <w:szCs w:val="24"/>
        </w:rPr>
        <w:t>3供应商应认真阅读和充分理解谈判文件中所有的事项、格式条款和规范要求。</w:t>
      </w:r>
      <w:r>
        <w:rPr>
          <w:rFonts w:hAnsi="宋体"/>
          <w:color w:val="auto"/>
          <w:sz w:val="24"/>
          <w:szCs w:val="24"/>
        </w:rPr>
        <w:t>供应商应详细阅读</w:t>
      </w:r>
      <w:r>
        <w:rPr>
          <w:rFonts w:hint="eastAsia" w:hAnsi="宋体"/>
          <w:color w:val="auto"/>
          <w:sz w:val="24"/>
          <w:szCs w:val="24"/>
        </w:rPr>
        <w:t>谈判文件</w:t>
      </w:r>
      <w:r>
        <w:rPr>
          <w:rFonts w:hAnsi="宋体"/>
          <w:color w:val="auto"/>
          <w:sz w:val="24"/>
          <w:szCs w:val="24"/>
        </w:rPr>
        <w:t>的全部内容，并实质性响应</w:t>
      </w:r>
      <w:r>
        <w:rPr>
          <w:rFonts w:hint="eastAsia" w:hAnsi="宋体"/>
          <w:color w:val="auto"/>
          <w:sz w:val="24"/>
          <w:szCs w:val="24"/>
        </w:rPr>
        <w:t>谈判文件</w:t>
      </w:r>
      <w:r>
        <w:rPr>
          <w:rFonts w:hAnsi="宋体"/>
          <w:color w:val="auto"/>
          <w:sz w:val="24"/>
          <w:szCs w:val="24"/>
        </w:rPr>
        <w:t>的要求。</w:t>
      </w:r>
    </w:p>
    <w:p>
      <w:pPr>
        <w:pStyle w:val="5"/>
        <w:spacing w:before="0" w:after="0"/>
        <w:ind w:firstLine="482"/>
        <w:rPr>
          <w:color w:val="auto"/>
        </w:rPr>
      </w:pPr>
      <w:bookmarkStart w:id="103" w:name="_Toc209847042"/>
      <w:bookmarkStart w:id="104" w:name="_Toc101250609"/>
      <w:bookmarkStart w:id="105" w:name="_Toc101338327"/>
      <w:bookmarkStart w:id="106" w:name="_Toc101015838"/>
      <w:bookmarkStart w:id="107" w:name="_Toc430773903"/>
      <w:bookmarkStart w:id="108" w:name="_Toc101195957"/>
      <w:bookmarkStart w:id="109" w:name="_Toc531666004"/>
      <w:bookmarkStart w:id="110" w:name="_Toc532877826"/>
      <w:bookmarkStart w:id="111" w:name="_Toc532292495"/>
      <w:bookmarkStart w:id="112" w:name="_Toc532292577"/>
      <w:bookmarkStart w:id="113" w:name="_Toc531764895"/>
      <w:bookmarkStart w:id="114" w:name="_Toc532292775"/>
      <w:bookmarkStart w:id="115" w:name="_Toc531661823"/>
      <w:bookmarkStart w:id="116" w:name="_Toc534008357"/>
      <w:r>
        <w:rPr>
          <w:rFonts w:hint="eastAsia"/>
          <w:color w:val="auto"/>
        </w:rPr>
        <w:t>6．谈判文件的澄清</w:t>
      </w:r>
      <w:bookmarkEnd w:id="103"/>
      <w:bookmarkEnd w:id="104"/>
      <w:bookmarkEnd w:id="105"/>
      <w:bookmarkEnd w:id="106"/>
      <w:bookmarkEnd w:id="107"/>
      <w:bookmarkEnd w:id="108"/>
    </w:p>
    <w:p>
      <w:pPr>
        <w:spacing w:line="360" w:lineRule="auto"/>
        <w:ind w:firstLine="480" w:firstLineChars="200"/>
        <w:rPr>
          <w:rFonts w:hAnsi="宋体"/>
          <w:color w:val="auto"/>
          <w:sz w:val="24"/>
          <w:szCs w:val="24"/>
        </w:rPr>
      </w:pPr>
      <w:r>
        <w:rPr>
          <w:rFonts w:hint="eastAsia" w:hAnsi="宋体"/>
          <w:color w:val="auto"/>
          <w:sz w:val="24"/>
          <w:szCs w:val="24"/>
        </w:rPr>
        <w:t>6.1供应商有权要求采购代理机构对谈判文件中的有关问题进行答疑、澄清。</w:t>
      </w:r>
    </w:p>
    <w:p>
      <w:pPr>
        <w:spacing w:line="360" w:lineRule="auto"/>
        <w:ind w:firstLine="480" w:firstLineChars="200"/>
        <w:rPr>
          <w:rFonts w:hAnsi="宋体"/>
          <w:color w:val="auto"/>
          <w:sz w:val="24"/>
          <w:szCs w:val="24"/>
        </w:rPr>
      </w:pPr>
      <w:r>
        <w:rPr>
          <w:rFonts w:hint="eastAsia" w:hAnsi="宋体"/>
          <w:color w:val="auto"/>
          <w:sz w:val="24"/>
          <w:szCs w:val="24"/>
        </w:rPr>
        <w:t>6.2 供应商对谈判文件如有疑问,应在响应文件递交截止时间3天前按谈判文件中的联系方式，通知采购代理机构。采购代理机构将视情况采用适当方式予以澄清或以书面形式予以答复。</w:t>
      </w:r>
    </w:p>
    <w:p>
      <w:pPr>
        <w:spacing w:line="360" w:lineRule="auto"/>
        <w:ind w:firstLine="480" w:firstLineChars="200"/>
        <w:rPr>
          <w:rFonts w:hAnsi="宋体"/>
          <w:color w:val="auto"/>
          <w:sz w:val="24"/>
          <w:szCs w:val="24"/>
        </w:rPr>
      </w:pPr>
      <w:r>
        <w:rPr>
          <w:rFonts w:hint="eastAsia" w:hAnsi="宋体"/>
          <w:color w:val="auto"/>
          <w:sz w:val="24"/>
          <w:szCs w:val="24"/>
        </w:rPr>
        <w:t>6.3任何对谈判文件的澄清均为谈判文件的组成部分，并具有同等的法律效力。如谈判文件的澄清与谈判文件有矛盾，以日期后的为准。</w:t>
      </w:r>
    </w:p>
    <w:p>
      <w:pPr>
        <w:spacing w:line="360" w:lineRule="auto"/>
        <w:ind w:firstLine="480" w:firstLineChars="200"/>
        <w:rPr>
          <w:rFonts w:hAnsi="宋体"/>
          <w:color w:val="auto"/>
          <w:sz w:val="24"/>
          <w:szCs w:val="24"/>
        </w:rPr>
      </w:pPr>
      <w:r>
        <w:rPr>
          <w:rFonts w:hint="eastAsia" w:hAnsi="宋体"/>
          <w:color w:val="auto"/>
          <w:sz w:val="24"/>
          <w:szCs w:val="24"/>
        </w:rPr>
        <w:t>6.4供应商收到采购代理机构的澄清回复后，应立即以信函或传真方式向采购代理机构确认收到上述文件。</w:t>
      </w:r>
    </w:p>
    <w:p>
      <w:pPr>
        <w:pStyle w:val="5"/>
        <w:spacing w:before="0" w:after="0"/>
        <w:ind w:firstLine="482"/>
        <w:rPr>
          <w:color w:val="auto"/>
        </w:rPr>
      </w:pPr>
      <w:bookmarkStart w:id="117" w:name="_Hlt101251423"/>
      <w:bookmarkEnd w:id="117"/>
      <w:bookmarkStart w:id="118" w:name="_Toc531666005"/>
      <w:bookmarkStart w:id="119" w:name="_Toc209847043"/>
      <w:bookmarkStart w:id="120" w:name="_Toc531764896"/>
      <w:bookmarkStart w:id="121" w:name="_Toc430773904"/>
      <w:bookmarkStart w:id="122" w:name="_Toc532877827"/>
      <w:bookmarkStart w:id="123" w:name="_Toc531661824"/>
      <w:bookmarkStart w:id="124" w:name="_Toc101250611"/>
      <w:bookmarkStart w:id="125" w:name="_Toc101338329"/>
      <w:bookmarkStart w:id="126" w:name="_Toc532292578"/>
      <w:bookmarkStart w:id="127" w:name="_Toc532292776"/>
      <w:bookmarkStart w:id="128" w:name="_Toc532292496"/>
      <w:bookmarkStart w:id="129" w:name="_Toc534008358"/>
      <w:bookmarkStart w:id="130" w:name="_Toc101195958"/>
      <w:bookmarkStart w:id="131" w:name="_Toc101250610"/>
      <w:bookmarkStart w:id="132" w:name="_Toc101338328"/>
      <w:r>
        <w:rPr>
          <w:rFonts w:hint="eastAsia"/>
          <w:color w:val="auto"/>
        </w:rPr>
        <w:t>7．谈判文件的修改</w:t>
      </w:r>
      <w:bookmarkEnd w:id="118"/>
      <w:bookmarkEnd w:id="119"/>
      <w:bookmarkEnd w:id="120"/>
      <w:bookmarkEnd w:id="121"/>
      <w:bookmarkEnd w:id="122"/>
      <w:bookmarkEnd w:id="123"/>
      <w:bookmarkEnd w:id="124"/>
      <w:bookmarkEnd w:id="125"/>
      <w:bookmarkEnd w:id="126"/>
      <w:bookmarkEnd w:id="127"/>
      <w:bookmarkEnd w:id="128"/>
      <w:bookmarkEnd w:id="129"/>
    </w:p>
    <w:p>
      <w:pPr>
        <w:spacing w:line="360" w:lineRule="auto"/>
        <w:ind w:firstLine="480" w:firstLineChars="200"/>
        <w:rPr>
          <w:rFonts w:hAnsi="宋体"/>
          <w:color w:val="auto"/>
          <w:sz w:val="24"/>
          <w:szCs w:val="24"/>
        </w:rPr>
      </w:pPr>
      <w:r>
        <w:rPr>
          <w:rFonts w:hint="eastAsia" w:hAnsi="宋体"/>
          <w:color w:val="auto"/>
          <w:sz w:val="24"/>
          <w:szCs w:val="24"/>
        </w:rPr>
        <w:t>7.1在</w:t>
      </w:r>
      <w:r>
        <w:rPr>
          <w:rFonts w:hint="eastAsia" w:hAnsi="宋体"/>
          <w:bCs/>
          <w:color w:val="auto"/>
          <w:sz w:val="24"/>
          <w:szCs w:val="24"/>
        </w:rPr>
        <w:t>响应文件递交截止时间</w:t>
      </w:r>
      <w:r>
        <w:rPr>
          <w:rFonts w:hint="eastAsia" w:hAnsi="宋体"/>
          <w:color w:val="auto"/>
          <w:sz w:val="24"/>
          <w:szCs w:val="24"/>
        </w:rPr>
        <w:t>前，无论出于何种原因，采购代理机构可主动地或在解答供应商要求澄清的问题时对谈判文件进行修改。</w:t>
      </w:r>
    </w:p>
    <w:p>
      <w:pPr>
        <w:spacing w:line="360" w:lineRule="auto"/>
        <w:ind w:firstLine="480" w:firstLineChars="200"/>
        <w:rPr>
          <w:rFonts w:hAnsi="宋体"/>
          <w:color w:val="auto"/>
          <w:sz w:val="24"/>
          <w:szCs w:val="24"/>
        </w:rPr>
      </w:pPr>
      <w:r>
        <w:rPr>
          <w:rFonts w:hint="eastAsia" w:hAnsi="宋体"/>
          <w:color w:val="auto"/>
          <w:sz w:val="24"/>
          <w:szCs w:val="24"/>
        </w:rPr>
        <w:t>7.2谈判文件的修改将以书面形式或传真方式通知谈判文件的购买人，并对其具有约束力。供应商在收到上述通知后，应立即向采购代理机构回函确认。供应商将被视为编制响应文件时已考虑了上述修改。</w:t>
      </w:r>
    </w:p>
    <w:p>
      <w:pPr>
        <w:spacing w:line="360" w:lineRule="auto"/>
        <w:ind w:firstLine="480" w:firstLineChars="200"/>
        <w:rPr>
          <w:rFonts w:hAnsi="宋体"/>
          <w:color w:val="auto"/>
          <w:sz w:val="24"/>
          <w:szCs w:val="24"/>
        </w:rPr>
      </w:pPr>
      <w:r>
        <w:rPr>
          <w:rFonts w:hint="eastAsia" w:hAnsi="宋体"/>
          <w:color w:val="auto"/>
          <w:sz w:val="24"/>
          <w:szCs w:val="24"/>
        </w:rPr>
        <w:t>7.3 为使供应商在准备响应文件时有合理的时间考虑响应文件的修改，采购人和采购代理机构可酌情推迟谈判截止日期，并以书面形式通知所有已购买谈判文件的供应商。</w:t>
      </w:r>
    </w:p>
    <w:p>
      <w:pPr>
        <w:pStyle w:val="8"/>
        <w:spacing w:line="360" w:lineRule="auto"/>
        <w:ind w:firstLine="480" w:firstLineChars="200"/>
        <w:rPr>
          <w:rFonts w:ascii="宋体" w:hAnsi="宋体"/>
          <w:color w:val="auto"/>
          <w:sz w:val="24"/>
          <w:szCs w:val="24"/>
        </w:rPr>
      </w:pPr>
      <w:r>
        <w:rPr>
          <w:rFonts w:hint="eastAsia" w:ascii="宋体" w:hAnsi="宋体"/>
          <w:color w:val="auto"/>
          <w:sz w:val="24"/>
          <w:szCs w:val="24"/>
        </w:rPr>
        <w:t>7.4谈判文件的修改书将构成谈判文件的一部分，对采购人、采购代理机构和供应商都具有约束力。</w:t>
      </w:r>
    </w:p>
    <w:bookmarkEnd w:id="109"/>
    <w:bookmarkEnd w:id="110"/>
    <w:bookmarkEnd w:id="111"/>
    <w:bookmarkEnd w:id="112"/>
    <w:bookmarkEnd w:id="113"/>
    <w:bookmarkEnd w:id="114"/>
    <w:bookmarkEnd w:id="115"/>
    <w:bookmarkEnd w:id="116"/>
    <w:bookmarkEnd w:id="130"/>
    <w:bookmarkEnd w:id="131"/>
    <w:bookmarkEnd w:id="132"/>
    <w:p>
      <w:pPr>
        <w:pStyle w:val="5"/>
        <w:spacing w:before="0" w:after="0"/>
        <w:ind w:firstLine="482"/>
        <w:rPr>
          <w:color w:val="auto"/>
        </w:rPr>
      </w:pPr>
      <w:r>
        <w:rPr>
          <w:rFonts w:hint="eastAsia"/>
          <w:color w:val="auto"/>
        </w:rPr>
        <w:t>8．答疑会和现场考察</w:t>
      </w:r>
    </w:p>
    <w:p>
      <w:pPr>
        <w:snapToGrid w:val="0"/>
        <w:spacing w:line="360" w:lineRule="auto"/>
        <w:ind w:firstLine="480" w:firstLineChars="200"/>
        <w:outlineLvl w:val="5"/>
        <w:rPr>
          <w:rFonts w:hAnsi="宋体" w:cs="宋体"/>
          <w:color w:val="auto"/>
          <w:sz w:val="24"/>
        </w:rPr>
      </w:pPr>
      <w:r>
        <w:rPr>
          <w:rFonts w:hint="eastAsia" w:hAnsi="宋体" w:cs="宋体"/>
          <w:color w:val="auto"/>
          <w:sz w:val="24"/>
        </w:rPr>
        <w:t>8.1 根据采购项目和具体情况，采购单位认为有必要，可以在谈判文件提供期限截止后，组织已获取谈判文件的供应商现场考察或者召开谈判前答疑会。组织现场考察或者召开答疑会的，应当以书面形式通知所有获取谈判文件的供应商。</w:t>
      </w:r>
    </w:p>
    <w:p>
      <w:pPr>
        <w:adjustRightInd w:val="0"/>
        <w:snapToGrid w:val="0"/>
        <w:spacing w:line="360" w:lineRule="auto"/>
        <w:ind w:firstLine="480" w:firstLineChars="200"/>
        <w:outlineLvl w:val="5"/>
        <w:rPr>
          <w:rFonts w:hAnsi="宋体"/>
          <w:color w:val="auto"/>
          <w:sz w:val="24"/>
          <w:szCs w:val="24"/>
        </w:rPr>
      </w:pPr>
      <w:r>
        <w:rPr>
          <w:rFonts w:hint="eastAsia" w:hAnsi="宋体" w:cs="宋体"/>
          <w:color w:val="auto"/>
          <w:sz w:val="24"/>
        </w:rPr>
        <w:t>8.2 供应商考察现场所发生的一切费用由供应商自己承担。</w:t>
      </w:r>
    </w:p>
    <w:p>
      <w:pPr>
        <w:spacing w:line="360" w:lineRule="auto"/>
        <w:ind w:firstLine="480" w:firstLineChars="200"/>
        <w:rPr>
          <w:rFonts w:hAnsi="宋体"/>
          <w:color w:val="auto"/>
          <w:sz w:val="24"/>
          <w:szCs w:val="24"/>
        </w:rPr>
      </w:pPr>
      <w:r>
        <w:rPr>
          <w:rFonts w:hint="eastAsia" w:hAnsi="宋体"/>
          <w:color w:val="auto"/>
          <w:sz w:val="24"/>
          <w:szCs w:val="24"/>
        </w:rPr>
        <w:t>8.3 本次竞争性谈判不组织答疑会。</w:t>
      </w:r>
    </w:p>
    <w:p>
      <w:pPr>
        <w:pStyle w:val="5"/>
        <w:spacing w:before="0" w:after="0"/>
        <w:ind w:firstLine="482"/>
        <w:rPr>
          <w:color w:val="auto"/>
        </w:rPr>
      </w:pPr>
      <w:r>
        <w:rPr>
          <w:rFonts w:hint="eastAsia"/>
          <w:color w:val="auto"/>
        </w:rPr>
        <w:t>9．保证金（实质性要求）</w:t>
      </w:r>
    </w:p>
    <w:p>
      <w:pPr>
        <w:spacing w:line="360" w:lineRule="auto"/>
        <w:ind w:firstLine="470" w:firstLineChars="196"/>
        <w:rPr>
          <w:rFonts w:hAnsi="宋体"/>
          <w:color w:val="auto"/>
          <w:sz w:val="24"/>
          <w:szCs w:val="24"/>
        </w:rPr>
      </w:pPr>
      <w:r>
        <w:rPr>
          <w:rFonts w:hint="eastAsia" w:hAnsi="宋体"/>
          <w:color w:val="auto"/>
          <w:sz w:val="24"/>
          <w:szCs w:val="24"/>
        </w:rPr>
        <w:t>9.1 供应商谈判时，必须提交文件规定的保证金，并作为其响应文件的一部分。</w:t>
      </w:r>
    </w:p>
    <w:p>
      <w:pPr>
        <w:adjustRightInd w:val="0"/>
        <w:snapToGrid w:val="0"/>
        <w:spacing w:line="360" w:lineRule="auto"/>
        <w:ind w:firstLine="480" w:firstLineChars="200"/>
        <w:rPr>
          <w:rFonts w:hAnsi="宋体"/>
          <w:color w:val="auto"/>
          <w:sz w:val="24"/>
          <w:szCs w:val="24"/>
        </w:rPr>
      </w:pPr>
      <w:r>
        <w:rPr>
          <w:rFonts w:hint="eastAsia" w:hAnsi="宋体"/>
          <w:color w:val="auto"/>
          <w:sz w:val="24"/>
          <w:szCs w:val="24"/>
        </w:rPr>
        <w:t>9.2保证金交款方式：详见供应商谈判须知附表。</w:t>
      </w:r>
    </w:p>
    <w:p>
      <w:pPr>
        <w:spacing w:line="360" w:lineRule="auto"/>
        <w:ind w:firstLine="480" w:firstLineChars="200"/>
        <w:rPr>
          <w:rFonts w:hAnsi="宋体"/>
          <w:color w:val="auto"/>
          <w:sz w:val="24"/>
          <w:szCs w:val="24"/>
        </w:rPr>
      </w:pPr>
      <w:r>
        <w:rPr>
          <w:rFonts w:hint="eastAsia" w:hAnsi="宋体"/>
          <w:color w:val="auto"/>
          <w:sz w:val="24"/>
          <w:szCs w:val="24"/>
        </w:rPr>
        <w:t>9</w:t>
      </w:r>
      <w:r>
        <w:rPr>
          <w:rFonts w:hAnsi="宋体"/>
          <w:color w:val="auto"/>
          <w:sz w:val="24"/>
          <w:szCs w:val="24"/>
        </w:rPr>
        <w:t>.3</w:t>
      </w:r>
      <w:r>
        <w:rPr>
          <w:rFonts w:hint="eastAsia" w:hAnsi="宋体"/>
          <w:color w:val="auto"/>
          <w:sz w:val="24"/>
          <w:szCs w:val="24"/>
        </w:rPr>
        <w:t>未按谈判文件要求在规定时间前（以银行实际到账时间为准）交纳规定数额保证金的响应文件将被拒绝。</w:t>
      </w:r>
    </w:p>
    <w:p>
      <w:pPr>
        <w:spacing w:line="360" w:lineRule="auto"/>
        <w:ind w:firstLine="470" w:firstLineChars="196"/>
        <w:rPr>
          <w:rFonts w:hAnsi="宋体"/>
          <w:color w:val="auto"/>
          <w:sz w:val="24"/>
          <w:szCs w:val="24"/>
        </w:rPr>
      </w:pPr>
      <w:r>
        <w:rPr>
          <w:rFonts w:hint="eastAsia" w:hAnsi="宋体"/>
          <w:color w:val="auto"/>
          <w:sz w:val="24"/>
          <w:szCs w:val="24"/>
        </w:rPr>
        <w:t>9</w:t>
      </w:r>
      <w:r>
        <w:rPr>
          <w:rFonts w:hAnsi="宋体"/>
          <w:color w:val="auto"/>
          <w:sz w:val="24"/>
          <w:szCs w:val="24"/>
        </w:rPr>
        <w:t>.</w:t>
      </w:r>
      <w:r>
        <w:rPr>
          <w:rFonts w:hint="eastAsia" w:hAnsi="宋体"/>
          <w:color w:val="auto"/>
          <w:sz w:val="24"/>
          <w:szCs w:val="24"/>
        </w:rPr>
        <w:t>4供应商所交纳的保证金在退还时不计利息。</w:t>
      </w:r>
    </w:p>
    <w:p>
      <w:pPr>
        <w:spacing w:line="360" w:lineRule="auto"/>
        <w:ind w:firstLine="470" w:firstLineChars="196"/>
        <w:rPr>
          <w:rFonts w:hAnsi="宋体"/>
          <w:color w:val="auto"/>
          <w:sz w:val="24"/>
          <w:szCs w:val="24"/>
        </w:rPr>
      </w:pPr>
      <w:r>
        <w:rPr>
          <w:rFonts w:hint="eastAsia" w:hAnsi="宋体"/>
          <w:color w:val="auto"/>
          <w:sz w:val="24"/>
          <w:szCs w:val="24"/>
        </w:rPr>
        <w:t>9.5未成交供应商的保证金，将在成交通知书发出后五个工作日内全额退还。成交供应商的谈判保证金，在合同签订生效并递交至采购代理机构，并交纳足额成交服务费后，五个工作日内全额退还。</w:t>
      </w:r>
      <w:r>
        <w:rPr>
          <w:rFonts w:hint="eastAsia" w:hAnsi="宋体"/>
          <w:b/>
          <w:bCs/>
          <w:color w:val="auto"/>
          <w:sz w:val="24"/>
          <w:szCs w:val="24"/>
        </w:rPr>
        <w:t>（①供应商自身原因造成的保证金退还延迟，采购代理机构不承担相应责任；②供应商因涉嫌违法违规，按照规定应当不予退还保证金的，有关部门处理认定违法违规行为期间不计入退还保证金时限之内。）。</w:t>
      </w:r>
    </w:p>
    <w:p>
      <w:pPr>
        <w:spacing w:line="360" w:lineRule="auto"/>
        <w:ind w:firstLine="470" w:firstLineChars="196"/>
        <w:rPr>
          <w:rFonts w:hAnsi="宋体"/>
          <w:color w:val="auto"/>
          <w:sz w:val="24"/>
          <w:szCs w:val="24"/>
        </w:rPr>
      </w:pPr>
      <w:r>
        <w:rPr>
          <w:rFonts w:hint="eastAsia" w:hAnsi="宋体"/>
          <w:color w:val="auto"/>
          <w:sz w:val="24"/>
          <w:szCs w:val="24"/>
        </w:rPr>
        <w:t>9</w:t>
      </w:r>
      <w:r>
        <w:rPr>
          <w:rFonts w:hAnsi="宋体"/>
          <w:color w:val="auto"/>
          <w:sz w:val="24"/>
          <w:szCs w:val="24"/>
        </w:rPr>
        <w:t>.</w:t>
      </w:r>
      <w:r>
        <w:rPr>
          <w:rFonts w:hint="eastAsia" w:hAnsi="宋体"/>
          <w:color w:val="auto"/>
          <w:sz w:val="24"/>
          <w:szCs w:val="24"/>
        </w:rPr>
        <w:t>6发生下列情形之一的，采购代理机构将不予退还供应商交纳的保证金：</w:t>
      </w:r>
    </w:p>
    <w:p>
      <w:pPr>
        <w:spacing w:line="360" w:lineRule="auto"/>
        <w:ind w:firstLine="480" w:firstLineChars="200"/>
        <w:rPr>
          <w:rFonts w:hAnsi="宋体"/>
          <w:color w:val="auto"/>
          <w:sz w:val="24"/>
          <w:szCs w:val="24"/>
        </w:rPr>
      </w:pPr>
      <w:bookmarkStart w:id="133" w:name="_Toc531764914"/>
      <w:bookmarkStart w:id="134" w:name="_Toc531666023"/>
      <w:bookmarkStart w:id="135" w:name="_Toc532877845"/>
      <w:bookmarkStart w:id="136" w:name="_Toc532292794"/>
      <w:bookmarkStart w:id="137" w:name="_Toc532292514"/>
      <w:bookmarkStart w:id="138" w:name="_Toc101250631"/>
      <w:bookmarkStart w:id="139" w:name="_Toc532292596"/>
      <w:bookmarkStart w:id="140" w:name="_Toc531661842"/>
      <w:bookmarkStart w:id="141" w:name="_Toc101338349"/>
      <w:bookmarkStart w:id="142" w:name="_Toc534008376"/>
      <w:bookmarkStart w:id="143" w:name="_Toc209847060"/>
      <w:bookmarkStart w:id="144" w:name="_Toc430773919"/>
      <w:r>
        <w:rPr>
          <w:rFonts w:hint="eastAsia" w:hAnsi="宋体"/>
          <w:color w:val="auto"/>
          <w:sz w:val="24"/>
          <w:szCs w:val="24"/>
        </w:rPr>
        <w:t>（1）供应商在提交响应文件截止时间后撤回响应文件的；</w:t>
      </w:r>
    </w:p>
    <w:p>
      <w:pPr>
        <w:spacing w:line="360" w:lineRule="auto"/>
        <w:ind w:firstLine="480" w:firstLineChars="200"/>
        <w:rPr>
          <w:rFonts w:hAnsi="宋体"/>
          <w:color w:val="auto"/>
          <w:sz w:val="24"/>
          <w:szCs w:val="24"/>
        </w:rPr>
      </w:pPr>
      <w:r>
        <w:rPr>
          <w:rFonts w:hint="eastAsia" w:hAnsi="宋体"/>
          <w:color w:val="auto"/>
          <w:sz w:val="24"/>
          <w:szCs w:val="24"/>
        </w:rPr>
        <w:t>（2）供应商在响应文件中提供虚假材料的；</w:t>
      </w:r>
    </w:p>
    <w:p>
      <w:pPr>
        <w:spacing w:line="360" w:lineRule="auto"/>
        <w:ind w:firstLine="480" w:firstLineChars="200"/>
        <w:rPr>
          <w:rFonts w:hAnsi="宋体"/>
          <w:color w:val="auto"/>
          <w:sz w:val="24"/>
          <w:szCs w:val="24"/>
        </w:rPr>
      </w:pPr>
      <w:r>
        <w:rPr>
          <w:rFonts w:hint="eastAsia" w:hAnsi="宋体"/>
          <w:color w:val="auto"/>
          <w:sz w:val="24"/>
          <w:szCs w:val="24"/>
        </w:rPr>
        <w:t>（3除因不可抗力或谈判文件、询价通知书认可的情形以外，成交供应商不与采购人签订合同的；</w:t>
      </w:r>
    </w:p>
    <w:p>
      <w:pPr>
        <w:spacing w:line="360" w:lineRule="auto"/>
        <w:ind w:firstLine="480" w:firstLineChars="200"/>
        <w:rPr>
          <w:rFonts w:hAnsi="宋体"/>
          <w:color w:val="auto"/>
          <w:sz w:val="24"/>
          <w:szCs w:val="24"/>
        </w:rPr>
      </w:pPr>
      <w:r>
        <w:rPr>
          <w:rFonts w:hint="eastAsia" w:hAnsi="宋体"/>
          <w:color w:val="auto"/>
          <w:sz w:val="24"/>
          <w:szCs w:val="24"/>
        </w:rPr>
        <w:t>（4）应商与采购人、其他供应商或者采购代理机构恶意串通的；</w:t>
      </w:r>
    </w:p>
    <w:p>
      <w:pPr>
        <w:spacing w:line="360" w:lineRule="auto"/>
        <w:ind w:firstLine="480" w:firstLineChars="200"/>
        <w:rPr>
          <w:rFonts w:hAnsi="宋体"/>
          <w:color w:val="auto"/>
          <w:sz w:val="24"/>
          <w:szCs w:val="24"/>
        </w:rPr>
      </w:pPr>
      <w:r>
        <w:rPr>
          <w:rFonts w:hint="eastAsia" w:hAnsi="宋体"/>
          <w:color w:val="auto"/>
          <w:sz w:val="24"/>
          <w:szCs w:val="24"/>
        </w:rPr>
        <w:t>（5）在采购人确定成交供应商以前放弃成交候选资格的；</w:t>
      </w:r>
    </w:p>
    <w:p>
      <w:pPr>
        <w:spacing w:line="360" w:lineRule="auto"/>
        <w:ind w:firstLine="480" w:firstLineChars="200"/>
        <w:rPr>
          <w:rFonts w:hAnsi="宋体"/>
          <w:color w:val="auto"/>
          <w:sz w:val="24"/>
          <w:szCs w:val="24"/>
        </w:rPr>
      </w:pPr>
      <w:r>
        <w:rPr>
          <w:rFonts w:hint="eastAsia" w:hAnsi="宋体"/>
          <w:color w:val="auto"/>
          <w:sz w:val="24"/>
          <w:szCs w:val="24"/>
        </w:rPr>
        <w:t>（6）成交后放弃成交、不领取或者不接收成交通知书的；</w:t>
      </w:r>
    </w:p>
    <w:p>
      <w:pPr>
        <w:spacing w:line="360" w:lineRule="auto"/>
        <w:ind w:firstLine="480" w:firstLineChars="200"/>
        <w:rPr>
          <w:rFonts w:hAnsi="宋体"/>
          <w:color w:val="auto"/>
          <w:sz w:val="24"/>
          <w:szCs w:val="24"/>
        </w:rPr>
      </w:pPr>
      <w:r>
        <w:rPr>
          <w:rFonts w:hint="eastAsia" w:hAnsi="宋体"/>
          <w:color w:val="auto"/>
          <w:sz w:val="24"/>
          <w:szCs w:val="24"/>
        </w:rPr>
        <w:t>（7）由于成交供应商的原因未能按照询价通知书的规定交纳履约保证金的；</w:t>
      </w:r>
    </w:p>
    <w:p>
      <w:pPr>
        <w:spacing w:line="360" w:lineRule="auto"/>
        <w:ind w:firstLine="480" w:firstLineChars="200"/>
        <w:rPr>
          <w:rFonts w:hAnsi="宋体"/>
          <w:color w:val="auto"/>
          <w:sz w:val="24"/>
          <w:szCs w:val="24"/>
        </w:rPr>
      </w:pPr>
      <w:r>
        <w:rPr>
          <w:rFonts w:hint="eastAsia" w:hAnsi="宋体"/>
          <w:color w:val="auto"/>
          <w:sz w:val="24"/>
          <w:szCs w:val="24"/>
        </w:rPr>
        <w:t>（8）谈判有效期内，供应商在采购活动中有违法、违规、违纪行为。</w:t>
      </w:r>
    </w:p>
    <w:p>
      <w:pPr>
        <w:pStyle w:val="4"/>
        <w:spacing w:before="0" w:after="0"/>
        <w:rPr>
          <w:color w:val="auto"/>
        </w:rPr>
      </w:pPr>
      <w:r>
        <w:rPr>
          <w:rFonts w:hint="eastAsia"/>
          <w:color w:val="auto"/>
        </w:rPr>
        <w:t>四、</w:t>
      </w:r>
      <w:bookmarkEnd w:id="133"/>
      <w:bookmarkEnd w:id="134"/>
      <w:bookmarkEnd w:id="135"/>
      <w:bookmarkEnd w:id="136"/>
      <w:bookmarkEnd w:id="137"/>
      <w:bookmarkEnd w:id="138"/>
      <w:bookmarkEnd w:id="139"/>
      <w:bookmarkEnd w:id="140"/>
      <w:bookmarkEnd w:id="141"/>
      <w:bookmarkEnd w:id="142"/>
      <w:r>
        <w:rPr>
          <w:rFonts w:hint="eastAsia"/>
          <w:color w:val="auto"/>
        </w:rPr>
        <w:t>谈判与最终报价</w:t>
      </w:r>
      <w:bookmarkEnd w:id="143"/>
      <w:bookmarkEnd w:id="144"/>
    </w:p>
    <w:p>
      <w:pPr>
        <w:pStyle w:val="5"/>
        <w:spacing w:before="0" w:after="0"/>
        <w:ind w:firstLine="482"/>
        <w:rPr>
          <w:color w:val="auto"/>
        </w:rPr>
      </w:pPr>
      <w:bookmarkStart w:id="145" w:name="_Toc532877846"/>
      <w:bookmarkStart w:id="146" w:name="_Toc532292795"/>
      <w:bookmarkStart w:id="147" w:name="_Toc531764915"/>
      <w:bookmarkStart w:id="148" w:name="_Toc532292515"/>
      <w:bookmarkStart w:id="149" w:name="_Toc531666024"/>
      <w:bookmarkStart w:id="150" w:name="_Toc531661843"/>
      <w:bookmarkStart w:id="151" w:name="_Toc101338350"/>
      <w:bookmarkStart w:id="152" w:name="_Toc534008377"/>
      <w:bookmarkStart w:id="153" w:name="_Toc532292597"/>
      <w:bookmarkStart w:id="154" w:name="_Toc101250632"/>
      <w:bookmarkStart w:id="155" w:name="_Toc209847061"/>
      <w:bookmarkStart w:id="156" w:name="_Toc430773920"/>
      <w:r>
        <w:rPr>
          <w:color w:val="auto"/>
        </w:rPr>
        <w:t>10</w:t>
      </w:r>
      <w:r>
        <w:rPr>
          <w:rFonts w:hint="eastAsia"/>
          <w:color w:val="auto"/>
        </w:rPr>
        <w:t>．</w:t>
      </w:r>
      <w:bookmarkEnd w:id="145"/>
      <w:bookmarkEnd w:id="146"/>
      <w:bookmarkEnd w:id="147"/>
      <w:bookmarkEnd w:id="148"/>
      <w:bookmarkEnd w:id="149"/>
      <w:bookmarkEnd w:id="150"/>
      <w:bookmarkEnd w:id="151"/>
      <w:bookmarkEnd w:id="152"/>
      <w:bookmarkEnd w:id="153"/>
      <w:bookmarkEnd w:id="154"/>
      <w:r>
        <w:rPr>
          <w:rFonts w:hint="eastAsia"/>
          <w:color w:val="auto"/>
        </w:rPr>
        <w:t>谈判</w:t>
      </w:r>
      <w:bookmarkEnd w:id="155"/>
      <w:bookmarkEnd w:id="156"/>
    </w:p>
    <w:p>
      <w:pPr>
        <w:adjustRightInd w:val="0"/>
        <w:snapToGrid w:val="0"/>
        <w:spacing w:line="360" w:lineRule="auto"/>
        <w:ind w:firstLine="480" w:firstLineChars="200"/>
        <w:rPr>
          <w:rFonts w:hAnsi="宋体"/>
          <w:color w:val="auto"/>
          <w:sz w:val="24"/>
          <w:szCs w:val="24"/>
        </w:rPr>
      </w:pPr>
      <w:r>
        <w:rPr>
          <w:rFonts w:hAnsi="宋体"/>
          <w:color w:val="auto"/>
          <w:sz w:val="24"/>
          <w:szCs w:val="24"/>
        </w:rPr>
        <w:t>10.</w:t>
      </w:r>
      <w:r>
        <w:rPr>
          <w:rFonts w:hint="eastAsia" w:hAnsi="宋体"/>
          <w:color w:val="auto"/>
          <w:sz w:val="24"/>
          <w:szCs w:val="24"/>
        </w:rPr>
        <w:t>1采购</w:t>
      </w:r>
      <w:r>
        <w:rPr>
          <w:rFonts w:hint="eastAsia" w:hAnsi="宋体"/>
          <w:color w:val="auto"/>
          <w:sz w:val="24"/>
          <w:szCs w:val="24"/>
          <w:lang w:val="zh-CN"/>
        </w:rPr>
        <w:t>代理机构</w:t>
      </w:r>
      <w:r>
        <w:rPr>
          <w:rFonts w:hAnsi="宋体"/>
          <w:color w:val="auto"/>
          <w:sz w:val="24"/>
          <w:szCs w:val="24"/>
          <w:lang w:val="zh-CN"/>
        </w:rPr>
        <w:t>将在“</w:t>
      </w:r>
      <w:r>
        <w:rPr>
          <w:rFonts w:hint="eastAsia" w:hAnsi="宋体"/>
          <w:color w:val="auto"/>
          <w:sz w:val="24"/>
          <w:szCs w:val="24"/>
          <w:lang w:val="zh-CN"/>
        </w:rPr>
        <w:t>供应商谈判须知</w:t>
      </w:r>
      <w:r>
        <w:rPr>
          <w:rFonts w:hAnsi="宋体"/>
          <w:color w:val="auto"/>
          <w:sz w:val="24"/>
          <w:szCs w:val="24"/>
          <w:lang w:val="zh-CN"/>
        </w:rPr>
        <w:t>附表”中规定的时间和地点组织谈判。供应商</w:t>
      </w:r>
      <w:r>
        <w:rPr>
          <w:rFonts w:hint="eastAsia" w:hAnsi="宋体"/>
          <w:color w:val="auto"/>
          <w:sz w:val="24"/>
          <w:szCs w:val="24"/>
        </w:rPr>
        <w:t>须派代表参加，并签名报到以证明其出席</w:t>
      </w:r>
      <w:r>
        <w:rPr>
          <w:rFonts w:hAnsi="宋体"/>
          <w:color w:val="auto"/>
          <w:sz w:val="24"/>
          <w:szCs w:val="24"/>
          <w:lang w:val="zh-CN"/>
        </w:rPr>
        <w:t>。</w:t>
      </w:r>
    </w:p>
    <w:p>
      <w:pPr>
        <w:tabs>
          <w:tab w:val="left" w:pos="7665"/>
        </w:tabs>
        <w:spacing w:line="360" w:lineRule="auto"/>
        <w:ind w:firstLine="480" w:firstLineChars="200"/>
        <w:rPr>
          <w:rFonts w:hAnsi="宋体"/>
          <w:color w:val="auto"/>
          <w:sz w:val="24"/>
          <w:szCs w:val="24"/>
        </w:rPr>
      </w:pPr>
      <w:r>
        <w:rPr>
          <w:rFonts w:hAnsi="宋体"/>
          <w:color w:val="auto"/>
          <w:sz w:val="24"/>
          <w:szCs w:val="24"/>
        </w:rPr>
        <w:t>10.</w:t>
      </w:r>
      <w:r>
        <w:rPr>
          <w:rFonts w:hint="eastAsia" w:hAnsi="宋体"/>
          <w:color w:val="auto"/>
          <w:sz w:val="24"/>
          <w:szCs w:val="24"/>
        </w:rPr>
        <w:t>2</w:t>
      </w:r>
      <w:r>
        <w:rPr>
          <w:rFonts w:hAnsi="宋体"/>
          <w:color w:val="auto"/>
          <w:sz w:val="24"/>
          <w:szCs w:val="24"/>
          <w:lang w:val="zh-CN"/>
        </w:rPr>
        <w:t>谈判开始前将</w:t>
      </w:r>
      <w:r>
        <w:rPr>
          <w:rFonts w:hint="eastAsia" w:hAnsi="宋体"/>
          <w:color w:val="auto"/>
          <w:sz w:val="24"/>
          <w:szCs w:val="24"/>
          <w:lang w:val="zh-CN"/>
        </w:rPr>
        <w:t>由供应商或者其推选的代表检查响应文件</w:t>
      </w:r>
      <w:r>
        <w:rPr>
          <w:rFonts w:hAnsi="宋体"/>
          <w:color w:val="auto"/>
          <w:sz w:val="24"/>
          <w:szCs w:val="24"/>
          <w:lang w:val="zh-CN"/>
        </w:rPr>
        <w:t>的密封情况，确认无误后方可进行拆封。</w:t>
      </w:r>
      <w:r>
        <w:rPr>
          <w:rFonts w:hint="eastAsia"/>
          <w:color w:val="auto"/>
          <w:sz w:val="24"/>
        </w:rPr>
        <w:t>供应商或者其推选的代表确认响应文件情况，仅限于确认其自己递交的响应文件的密封情况，不代表对其他供应商的响应文件的密封情况确认。供应商或者其推选的代表对其他供应商的响应文件密封情况有异议的，可以当场反映现场主持人或者现场监督人员，要求谈判现场记录人员予以记录，并在评审时予以认定处理，但不得干扰、阻挠谈判工作的正常进行。</w:t>
      </w:r>
    </w:p>
    <w:p>
      <w:pPr>
        <w:adjustRightInd w:val="0"/>
        <w:snapToGrid w:val="0"/>
        <w:spacing w:line="360" w:lineRule="auto"/>
        <w:ind w:firstLine="480" w:firstLineChars="200"/>
        <w:rPr>
          <w:rFonts w:hAnsi="宋体"/>
          <w:color w:val="auto"/>
          <w:sz w:val="24"/>
          <w:szCs w:val="24"/>
        </w:rPr>
      </w:pPr>
      <w:r>
        <w:rPr>
          <w:rFonts w:hAnsi="宋体"/>
          <w:color w:val="auto"/>
          <w:sz w:val="24"/>
          <w:szCs w:val="24"/>
        </w:rPr>
        <w:t>10.</w:t>
      </w:r>
      <w:r>
        <w:rPr>
          <w:rFonts w:hint="eastAsia" w:hAnsi="宋体"/>
          <w:color w:val="auto"/>
          <w:sz w:val="24"/>
          <w:szCs w:val="24"/>
        </w:rPr>
        <w:t>3 响应文件有下列情况之一者视为无效：</w:t>
      </w:r>
    </w:p>
    <w:p>
      <w:pPr>
        <w:adjustRightInd w:val="0"/>
        <w:snapToGrid w:val="0"/>
        <w:spacing w:line="360" w:lineRule="auto"/>
        <w:ind w:firstLine="480" w:firstLineChars="200"/>
        <w:rPr>
          <w:rFonts w:hAnsi="宋体"/>
          <w:color w:val="auto"/>
          <w:sz w:val="24"/>
          <w:szCs w:val="24"/>
        </w:rPr>
      </w:pPr>
      <w:r>
        <w:rPr>
          <w:rFonts w:hint="eastAsia" w:hAnsi="宋体"/>
          <w:color w:val="auto"/>
          <w:sz w:val="24"/>
          <w:szCs w:val="24"/>
        </w:rPr>
        <w:t>（1）响应文件未密封；</w:t>
      </w:r>
    </w:p>
    <w:p>
      <w:pPr>
        <w:adjustRightInd w:val="0"/>
        <w:snapToGrid w:val="0"/>
        <w:spacing w:line="360" w:lineRule="auto"/>
        <w:ind w:firstLine="480" w:firstLineChars="200"/>
        <w:rPr>
          <w:rFonts w:hAnsi="宋体"/>
          <w:color w:val="auto"/>
          <w:sz w:val="24"/>
          <w:szCs w:val="24"/>
        </w:rPr>
      </w:pPr>
      <w:r>
        <w:rPr>
          <w:rFonts w:hint="eastAsia" w:hAnsi="宋体"/>
          <w:color w:val="auto"/>
          <w:sz w:val="24"/>
          <w:szCs w:val="24"/>
        </w:rPr>
        <w:t>（2）未经法定代表人签字或未盖供应商公章；</w:t>
      </w:r>
    </w:p>
    <w:p>
      <w:pPr>
        <w:adjustRightInd w:val="0"/>
        <w:snapToGrid w:val="0"/>
        <w:spacing w:line="360" w:lineRule="auto"/>
        <w:ind w:firstLine="480" w:firstLineChars="200"/>
        <w:rPr>
          <w:rFonts w:hAnsi="宋体"/>
          <w:color w:val="auto"/>
          <w:sz w:val="24"/>
          <w:szCs w:val="24"/>
        </w:rPr>
      </w:pPr>
      <w:r>
        <w:rPr>
          <w:rFonts w:hint="eastAsia" w:hAnsi="宋体"/>
          <w:color w:val="auto"/>
          <w:sz w:val="24"/>
          <w:szCs w:val="24"/>
        </w:rPr>
        <w:t>（3）未缴纳保证金；</w:t>
      </w:r>
    </w:p>
    <w:p>
      <w:pPr>
        <w:adjustRightInd w:val="0"/>
        <w:snapToGrid w:val="0"/>
        <w:spacing w:line="360" w:lineRule="auto"/>
        <w:ind w:firstLine="480" w:firstLineChars="200"/>
        <w:rPr>
          <w:rFonts w:hAnsi="宋体"/>
          <w:color w:val="auto"/>
          <w:sz w:val="24"/>
          <w:szCs w:val="24"/>
        </w:rPr>
      </w:pPr>
      <w:r>
        <w:rPr>
          <w:rFonts w:hint="eastAsia" w:hAnsi="宋体"/>
          <w:color w:val="auto"/>
          <w:sz w:val="24"/>
          <w:szCs w:val="24"/>
        </w:rPr>
        <w:t>（4）供应商针对同一项目递交两份或多份内容不同的响应文件，未书面声明哪一份有效的；</w:t>
      </w:r>
    </w:p>
    <w:p>
      <w:pPr>
        <w:adjustRightInd w:val="0"/>
        <w:snapToGrid w:val="0"/>
        <w:spacing w:line="360" w:lineRule="auto"/>
        <w:ind w:left="1440" w:hanging="1440" w:hangingChars="600"/>
        <w:rPr>
          <w:rFonts w:hAnsi="宋体"/>
          <w:color w:val="auto"/>
          <w:sz w:val="24"/>
          <w:szCs w:val="24"/>
        </w:rPr>
      </w:pPr>
      <w:r>
        <w:rPr>
          <w:rFonts w:hint="eastAsia" w:hAnsi="宋体"/>
          <w:color w:val="auto"/>
          <w:sz w:val="24"/>
          <w:szCs w:val="24"/>
        </w:rPr>
        <w:t xml:space="preserve">    （5）供应商在一份响应文件中，对同一项目有两个或多个报价的。</w:t>
      </w:r>
    </w:p>
    <w:p>
      <w:pPr>
        <w:adjustRightInd w:val="0"/>
        <w:snapToGrid w:val="0"/>
        <w:spacing w:line="360" w:lineRule="auto"/>
        <w:ind w:firstLine="480" w:firstLineChars="200"/>
        <w:rPr>
          <w:rFonts w:hAnsi="宋体"/>
          <w:color w:val="auto"/>
          <w:sz w:val="24"/>
          <w:szCs w:val="24"/>
        </w:rPr>
      </w:pPr>
      <w:r>
        <w:rPr>
          <w:rFonts w:hAnsi="宋体"/>
          <w:color w:val="auto"/>
          <w:sz w:val="24"/>
          <w:szCs w:val="24"/>
        </w:rPr>
        <w:t>10.</w:t>
      </w:r>
      <w:r>
        <w:rPr>
          <w:rFonts w:hint="eastAsia" w:hAnsi="宋体"/>
          <w:color w:val="auto"/>
          <w:sz w:val="24"/>
          <w:szCs w:val="24"/>
        </w:rPr>
        <w:t>4在初审的基础上，对已按规定递交了响应文件的</w:t>
      </w:r>
      <w:r>
        <w:rPr>
          <w:rFonts w:hAnsi="宋体"/>
          <w:color w:val="auto"/>
          <w:sz w:val="24"/>
          <w:szCs w:val="24"/>
          <w:lang w:val="zh-CN"/>
        </w:rPr>
        <w:t>供应商</w:t>
      </w:r>
      <w:r>
        <w:rPr>
          <w:rFonts w:hint="eastAsia" w:hAnsi="宋体"/>
          <w:color w:val="auto"/>
          <w:sz w:val="24"/>
          <w:szCs w:val="24"/>
        </w:rPr>
        <w:t>就本项目的技术、商务及售后服务等内容，谈判小组（评审委员会）所有成员与之谈判。</w:t>
      </w:r>
    </w:p>
    <w:p>
      <w:pPr>
        <w:pStyle w:val="5"/>
        <w:spacing w:before="0" w:after="0"/>
        <w:ind w:firstLine="482"/>
        <w:rPr>
          <w:color w:val="auto"/>
        </w:rPr>
      </w:pPr>
      <w:bookmarkStart w:id="157" w:name="_Toc209847062"/>
      <w:bookmarkStart w:id="158" w:name="_Toc430773921"/>
      <w:bookmarkStart w:id="159" w:name="_Toc534008378"/>
      <w:bookmarkStart w:id="160" w:name="_Toc532292598"/>
      <w:bookmarkStart w:id="161" w:name="_Toc531666025"/>
      <w:bookmarkStart w:id="162" w:name="_Toc532292516"/>
      <w:bookmarkStart w:id="163" w:name="_Toc531764916"/>
      <w:bookmarkStart w:id="164" w:name="_Toc532877847"/>
      <w:bookmarkStart w:id="165" w:name="_Toc532292796"/>
      <w:bookmarkStart w:id="166" w:name="_Toc101338351"/>
      <w:bookmarkStart w:id="167" w:name="_Toc531661844"/>
      <w:bookmarkStart w:id="168" w:name="_Toc101250633"/>
      <w:r>
        <w:rPr>
          <w:color w:val="auto"/>
        </w:rPr>
        <w:t>11</w:t>
      </w:r>
      <w:r>
        <w:rPr>
          <w:rFonts w:hint="eastAsia"/>
          <w:color w:val="auto"/>
        </w:rPr>
        <w:t>．最终报价</w:t>
      </w:r>
      <w:bookmarkEnd w:id="157"/>
      <w:bookmarkEnd w:id="158"/>
    </w:p>
    <w:p>
      <w:pPr>
        <w:pStyle w:val="41"/>
        <w:spacing w:after="0" w:line="360" w:lineRule="auto"/>
        <w:ind w:firstLine="480" w:firstLineChars="200"/>
        <w:rPr>
          <w:rFonts w:ascii="宋体" w:hAnsi="宋体"/>
          <w:color w:val="auto"/>
          <w:sz w:val="24"/>
        </w:rPr>
      </w:pPr>
      <w:r>
        <w:rPr>
          <w:rFonts w:ascii="宋体" w:hAnsi="宋体"/>
          <w:color w:val="auto"/>
          <w:sz w:val="24"/>
        </w:rPr>
        <w:t>11</w:t>
      </w:r>
      <w:r>
        <w:rPr>
          <w:rFonts w:hint="eastAsia" w:ascii="宋体" w:hAnsi="宋体"/>
          <w:color w:val="auto"/>
          <w:sz w:val="24"/>
        </w:rPr>
        <w:t>.1 谈判后，</w:t>
      </w:r>
      <w:r>
        <w:rPr>
          <w:rFonts w:ascii="宋体" w:hAnsi="宋体"/>
          <w:color w:val="auto"/>
          <w:sz w:val="24"/>
          <w:lang w:val="zh-CN"/>
        </w:rPr>
        <w:t>供应商</w:t>
      </w:r>
      <w:r>
        <w:rPr>
          <w:rFonts w:hint="eastAsia" w:ascii="宋体" w:hAnsi="宋体"/>
          <w:color w:val="auto"/>
          <w:sz w:val="24"/>
        </w:rPr>
        <w:t>须在谈判小组要求的时间内作出最终报价，该报价须</w:t>
      </w:r>
      <w:r>
        <w:rPr>
          <w:rFonts w:ascii="宋体" w:hAnsi="宋体"/>
          <w:color w:val="auto"/>
          <w:sz w:val="24"/>
          <w:lang w:val="zh-CN"/>
        </w:rPr>
        <w:t>供应商</w:t>
      </w:r>
      <w:r>
        <w:rPr>
          <w:rFonts w:hint="eastAsia" w:ascii="宋体" w:hAnsi="宋体"/>
          <w:color w:val="auto"/>
          <w:sz w:val="24"/>
          <w:lang w:val="zh-CN"/>
        </w:rPr>
        <w:t>的授权代表</w:t>
      </w:r>
      <w:r>
        <w:rPr>
          <w:rFonts w:hint="eastAsia" w:ascii="宋体" w:hAnsi="宋体"/>
          <w:color w:val="auto"/>
          <w:sz w:val="24"/>
        </w:rPr>
        <w:t>签字或盖章确认为有效。</w:t>
      </w:r>
    </w:p>
    <w:p>
      <w:pPr>
        <w:pStyle w:val="5"/>
        <w:spacing w:before="0" w:after="0"/>
        <w:ind w:firstLine="482"/>
        <w:rPr>
          <w:color w:val="auto"/>
        </w:rPr>
      </w:pPr>
      <w:bookmarkStart w:id="169" w:name="_Toc430773922"/>
      <w:bookmarkStart w:id="170" w:name="_Toc209847063"/>
      <w:r>
        <w:rPr>
          <w:rFonts w:hint="eastAsia"/>
          <w:color w:val="auto"/>
        </w:rPr>
        <w:t>1</w:t>
      </w:r>
      <w:r>
        <w:rPr>
          <w:color w:val="auto"/>
        </w:rPr>
        <w:t>2.</w:t>
      </w:r>
      <w:bookmarkEnd w:id="159"/>
      <w:bookmarkEnd w:id="160"/>
      <w:bookmarkEnd w:id="161"/>
      <w:bookmarkEnd w:id="162"/>
      <w:bookmarkEnd w:id="163"/>
      <w:bookmarkEnd w:id="164"/>
      <w:bookmarkEnd w:id="165"/>
      <w:bookmarkEnd w:id="166"/>
      <w:bookmarkEnd w:id="167"/>
      <w:bookmarkEnd w:id="168"/>
      <w:r>
        <w:rPr>
          <w:rFonts w:hint="eastAsia"/>
          <w:color w:val="auto"/>
        </w:rPr>
        <w:t>推荐成交候选供应商（详见第十二部分）</w:t>
      </w:r>
      <w:bookmarkEnd w:id="169"/>
      <w:bookmarkEnd w:id="170"/>
    </w:p>
    <w:p>
      <w:pPr>
        <w:pStyle w:val="5"/>
        <w:spacing w:before="0" w:after="0"/>
        <w:ind w:firstLine="482"/>
        <w:rPr>
          <w:color w:val="auto"/>
        </w:rPr>
      </w:pPr>
      <w:r>
        <w:rPr>
          <w:color w:val="auto"/>
        </w:rPr>
        <w:t>13.</w:t>
      </w:r>
      <w:r>
        <w:rPr>
          <w:rFonts w:hint="eastAsia"/>
          <w:color w:val="auto"/>
        </w:rPr>
        <w:t>确定成交供应商</w:t>
      </w:r>
    </w:p>
    <w:p>
      <w:pPr>
        <w:adjustRightInd w:val="0"/>
        <w:snapToGrid w:val="0"/>
        <w:spacing w:line="360" w:lineRule="auto"/>
        <w:ind w:firstLine="480" w:firstLineChars="200"/>
        <w:rPr>
          <w:rFonts w:hAnsi="宋体"/>
          <w:color w:val="auto"/>
          <w:sz w:val="24"/>
          <w:szCs w:val="24"/>
        </w:rPr>
      </w:pPr>
      <w:r>
        <w:rPr>
          <w:rFonts w:hAnsi="宋体"/>
          <w:color w:val="auto"/>
          <w:sz w:val="24"/>
          <w:szCs w:val="24"/>
        </w:rPr>
        <w:t>13</w:t>
      </w:r>
      <w:r>
        <w:rPr>
          <w:rFonts w:hint="eastAsia" w:hAnsi="宋体"/>
          <w:color w:val="auto"/>
          <w:sz w:val="24"/>
          <w:szCs w:val="24"/>
        </w:rPr>
        <w:t>.1 谈判小组完成评审后，采购代理机构2个工作日内将评审报告送采购人。</w:t>
      </w:r>
    </w:p>
    <w:p>
      <w:pPr>
        <w:adjustRightInd w:val="0"/>
        <w:snapToGrid w:val="0"/>
        <w:spacing w:line="360" w:lineRule="auto"/>
        <w:ind w:firstLine="480" w:firstLineChars="200"/>
        <w:rPr>
          <w:rFonts w:hAnsi="宋体"/>
          <w:color w:val="auto"/>
          <w:sz w:val="24"/>
          <w:szCs w:val="24"/>
        </w:rPr>
      </w:pPr>
      <w:r>
        <w:rPr>
          <w:rFonts w:hAnsi="宋体"/>
          <w:color w:val="auto"/>
          <w:sz w:val="24"/>
          <w:szCs w:val="24"/>
        </w:rPr>
        <w:t>13</w:t>
      </w:r>
      <w:r>
        <w:rPr>
          <w:rFonts w:hint="eastAsia" w:hAnsi="宋体"/>
          <w:color w:val="auto"/>
          <w:sz w:val="24"/>
          <w:szCs w:val="24"/>
        </w:rPr>
        <w:t>.3采购人在收到评审报告及有关资料后5个工作日内，按照评审报告中推荐的成交候选供应商顺序确定成交供应商。</w:t>
      </w:r>
    </w:p>
    <w:p>
      <w:pPr>
        <w:adjustRightInd w:val="0"/>
        <w:snapToGrid w:val="0"/>
        <w:spacing w:line="360" w:lineRule="auto"/>
        <w:rPr>
          <w:rFonts w:hAnsi="宋体"/>
          <w:color w:val="auto"/>
          <w:sz w:val="24"/>
          <w:szCs w:val="24"/>
        </w:rPr>
      </w:pPr>
      <w:r>
        <w:rPr>
          <w:rFonts w:hAnsi="宋体"/>
          <w:color w:val="auto"/>
          <w:sz w:val="24"/>
          <w:szCs w:val="24"/>
        </w:rPr>
        <w:t>13</w:t>
      </w:r>
      <w:r>
        <w:rPr>
          <w:rFonts w:hint="eastAsia" w:hAnsi="宋体"/>
          <w:color w:val="auto"/>
          <w:sz w:val="24"/>
          <w:szCs w:val="24"/>
        </w:rPr>
        <w:t>.4采购人确定成交供应商过程中，发现成交候选供应商有下列情形之一的，将不予确定其为成交供应商：</w:t>
      </w:r>
    </w:p>
    <w:p>
      <w:pPr>
        <w:adjustRightInd w:val="0"/>
        <w:snapToGrid w:val="0"/>
        <w:spacing w:line="360" w:lineRule="auto"/>
        <w:ind w:firstLine="480" w:firstLineChars="200"/>
        <w:rPr>
          <w:rFonts w:hAnsi="宋体"/>
          <w:color w:val="auto"/>
          <w:sz w:val="24"/>
          <w:szCs w:val="24"/>
        </w:rPr>
      </w:pPr>
      <w:r>
        <w:rPr>
          <w:rFonts w:hint="eastAsia" w:hAnsi="宋体"/>
          <w:color w:val="auto"/>
          <w:sz w:val="24"/>
          <w:szCs w:val="24"/>
        </w:rPr>
        <w:t>（1）成交候选供应商存在违法、违纪行为的；</w:t>
      </w:r>
    </w:p>
    <w:p>
      <w:pPr>
        <w:adjustRightInd w:val="0"/>
        <w:snapToGrid w:val="0"/>
        <w:spacing w:line="360" w:lineRule="auto"/>
        <w:ind w:firstLine="480" w:firstLineChars="200"/>
        <w:rPr>
          <w:rFonts w:hAnsi="宋体"/>
          <w:color w:val="auto"/>
          <w:sz w:val="24"/>
          <w:szCs w:val="24"/>
        </w:rPr>
      </w:pPr>
      <w:r>
        <w:rPr>
          <w:rFonts w:hint="eastAsia" w:hAnsi="宋体"/>
          <w:color w:val="auto"/>
          <w:sz w:val="24"/>
          <w:szCs w:val="24"/>
        </w:rPr>
        <w:t>（2）成交候选供应商因不可抗力、社会经济形势发生重大变化、破产、重组等原因确定无法履行采购合同的；</w:t>
      </w:r>
    </w:p>
    <w:p>
      <w:pPr>
        <w:adjustRightInd w:val="0"/>
        <w:snapToGrid w:val="0"/>
        <w:spacing w:line="360" w:lineRule="auto"/>
        <w:ind w:firstLine="480" w:firstLineChars="200"/>
        <w:rPr>
          <w:rFonts w:hAnsi="宋体"/>
          <w:color w:val="auto"/>
          <w:sz w:val="24"/>
          <w:szCs w:val="24"/>
        </w:rPr>
      </w:pPr>
      <w:r>
        <w:rPr>
          <w:rFonts w:hint="eastAsia" w:hAnsi="宋体"/>
          <w:color w:val="auto"/>
          <w:sz w:val="24"/>
          <w:szCs w:val="24"/>
        </w:rPr>
        <w:t>（3）成交候选供应商书面自愿放弃成交，且无其他非法目的的；</w:t>
      </w:r>
    </w:p>
    <w:p>
      <w:pPr>
        <w:adjustRightInd w:val="0"/>
        <w:snapToGrid w:val="0"/>
        <w:spacing w:line="360" w:lineRule="auto"/>
        <w:ind w:firstLine="480" w:firstLineChars="200"/>
        <w:rPr>
          <w:rFonts w:hAnsi="宋体"/>
          <w:color w:val="auto"/>
          <w:sz w:val="24"/>
          <w:szCs w:val="24"/>
        </w:rPr>
      </w:pPr>
      <w:r>
        <w:rPr>
          <w:rFonts w:hint="eastAsia" w:hAnsi="宋体"/>
          <w:color w:val="auto"/>
          <w:sz w:val="24"/>
          <w:szCs w:val="24"/>
        </w:rPr>
        <w:t>（4）其他不应确定成交供应商的情形。</w:t>
      </w:r>
    </w:p>
    <w:p>
      <w:pPr>
        <w:adjustRightInd w:val="0"/>
        <w:snapToGrid w:val="0"/>
        <w:spacing w:line="360" w:lineRule="auto"/>
        <w:ind w:firstLine="480" w:firstLineChars="200"/>
        <w:rPr>
          <w:rFonts w:hAnsi="宋体"/>
          <w:color w:val="auto"/>
          <w:sz w:val="24"/>
          <w:szCs w:val="24"/>
        </w:rPr>
      </w:pPr>
      <w:r>
        <w:rPr>
          <w:rFonts w:hint="eastAsia" w:hAnsi="宋体"/>
          <w:color w:val="auto"/>
          <w:sz w:val="24"/>
          <w:szCs w:val="24"/>
        </w:rPr>
        <w:t>采购人依法确定不出成交供应商的，应当重新组织采购。</w:t>
      </w:r>
    </w:p>
    <w:p>
      <w:pPr>
        <w:adjustRightInd w:val="0"/>
        <w:snapToGrid w:val="0"/>
        <w:spacing w:line="360" w:lineRule="auto"/>
        <w:ind w:firstLine="480" w:firstLineChars="200"/>
        <w:rPr>
          <w:color w:val="auto"/>
        </w:rPr>
      </w:pPr>
      <w:r>
        <w:rPr>
          <w:rFonts w:hint="eastAsia" w:hAnsi="宋体"/>
          <w:color w:val="auto"/>
          <w:sz w:val="24"/>
          <w:szCs w:val="24"/>
        </w:rPr>
        <w:t>成交候选供应商以本款第（3）项放弃成交的，应当说明理由，但其谈判保证金将被没收。</w:t>
      </w:r>
    </w:p>
    <w:p>
      <w:pPr>
        <w:pStyle w:val="4"/>
        <w:spacing w:before="0" w:after="0"/>
        <w:rPr>
          <w:color w:val="auto"/>
        </w:rPr>
      </w:pPr>
      <w:bookmarkStart w:id="171" w:name="_Toc101174145"/>
      <w:bookmarkStart w:id="172" w:name="_Toc101338357"/>
      <w:bookmarkStart w:id="173" w:name="_Toc209847064"/>
      <w:bookmarkStart w:id="174" w:name="_Toc101250639"/>
      <w:bookmarkStart w:id="175" w:name="_Toc430773923"/>
      <w:r>
        <w:rPr>
          <w:rFonts w:hint="eastAsia"/>
          <w:color w:val="auto"/>
        </w:rPr>
        <w:t>五、合同</w:t>
      </w:r>
      <w:bookmarkEnd w:id="171"/>
      <w:bookmarkEnd w:id="172"/>
      <w:bookmarkEnd w:id="173"/>
      <w:bookmarkEnd w:id="174"/>
      <w:r>
        <w:rPr>
          <w:rFonts w:hint="eastAsia"/>
          <w:color w:val="auto"/>
        </w:rPr>
        <w:t>的授予</w:t>
      </w:r>
      <w:bookmarkEnd w:id="175"/>
    </w:p>
    <w:p>
      <w:pPr>
        <w:pStyle w:val="5"/>
        <w:spacing w:before="0" w:after="0"/>
        <w:ind w:firstLine="482"/>
        <w:rPr>
          <w:color w:val="auto"/>
        </w:rPr>
      </w:pPr>
      <w:bookmarkStart w:id="176" w:name="_Toc101174146"/>
      <w:bookmarkStart w:id="177" w:name="_Toc101338358"/>
      <w:bookmarkStart w:id="178" w:name="_Toc209847065"/>
      <w:bookmarkStart w:id="179" w:name="_Toc101250640"/>
      <w:bookmarkStart w:id="180" w:name="_Toc430773924"/>
      <w:r>
        <w:rPr>
          <w:rFonts w:hint="eastAsia"/>
          <w:color w:val="auto"/>
        </w:rPr>
        <w:t>1</w:t>
      </w:r>
      <w:r>
        <w:rPr>
          <w:color w:val="auto"/>
        </w:rPr>
        <w:t>4</w:t>
      </w:r>
      <w:r>
        <w:rPr>
          <w:rFonts w:hint="eastAsia"/>
          <w:color w:val="auto"/>
        </w:rPr>
        <w:t>．</w:t>
      </w:r>
      <w:bookmarkEnd w:id="176"/>
      <w:bookmarkEnd w:id="177"/>
      <w:bookmarkEnd w:id="178"/>
      <w:bookmarkEnd w:id="179"/>
      <w:r>
        <w:rPr>
          <w:rFonts w:hint="eastAsia"/>
          <w:color w:val="auto"/>
        </w:rPr>
        <w:t>成交供应商确定标准</w:t>
      </w:r>
      <w:bookmarkEnd w:id="180"/>
    </w:p>
    <w:p>
      <w:pPr>
        <w:adjustRightInd w:val="0"/>
        <w:snapToGrid w:val="0"/>
        <w:spacing w:line="360" w:lineRule="auto"/>
        <w:ind w:firstLine="480" w:firstLineChars="200"/>
        <w:rPr>
          <w:rFonts w:hAnsi="宋体"/>
          <w:color w:val="auto"/>
          <w:sz w:val="24"/>
          <w:szCs w:val="24"/>
        </w:rPr>
      </w:pPr>
      <w:r>
        <w:rPr>
          <w:rFonts w:hint="eastAsia" w:hAnsi="宋体"/>
          <w:color w:val="auto"/>
          <w:sz w:val="24"/>
          <w:szCs w:val="24"/>
        </w:rPr>
        <w:t>1.合同将授予提供的货物/服务</w:t>
      </w:r>
      <w:r>
        <w:rPr>
          <w:rFonts w:hAnsi="宋体"/>
          <w:color w:val="auto"/>
          <w:sz w:val="24"/>
          <w:szCs w:val="24"/>
        </w:rPr>
        <w:t>符合采购需求，报价</w:t>
      </w:r>
      <w:r>
        <w:rPr>
          <w:rFonts w:hint="eastAsia" w:hAnsi="宋体"/>
          <w:color w:val="auto"/>
          <w:sz w:val="24"/>
          <w:szCs w:val="24"/>
        </w:rPr>
        <w:t>合理且</w:t>
      </w:r>
      <w:r>
        <w:rPr>
          <w:rFonts w:hAnsi="宋体"/>
          <w:color w:val="auto"/>
          <w:sz w:val="24"/>
          <w:szCs w:val="24"/>
        </w:rPr>
        <w:t>最低的</w:t>
      </w:r>
      <w:r>
        <w:rPr>
          <w:rFonts w:hint="eastAsia" w:hAnsi="宋体"/>
          <w:color w:val="auto"/>
          <w:sz w:val="24"/>
          <w:szCs w:val="24"/>
        </w:rPr>
        <w:t>合格</w:t>
      </w:r>
      <w:r>
        <w:rPr>
          <w:rFonts w:hAnsi="宋体"/>
          <w:color w:val="auto"/>
          <w:sz w:val="24"/>
          <w:szCs w:val="24"/>
        </w:rPr>
        <w:t>供应商</w:t>
      </w:r>
      <w:r>
        <w:rPr>
          <w:rFonts w:hint="eastAsia" w:hAnsi="宋体"/>
          <w:color w:val="auto"/>
          <w:sz w:val="24"/>
          <w:szCs w:val="24"/>
        </w:rPr>
        <w:t>。</w:t>
      </w:r>
    </w:p>
    <w:p>
      <w:pPr>
        <w:pStyle w:val="5"/>
        <w:spacing w:before="0" w:after="0"/>
        <w:ind w:firstLine="482"/>
        <w:rPr>
          <w:color w:val="auto"/>
        </w:rPr>
      </w:pPr>
      <w:bookmarkStart w:id="181" w:name="_Toc101174149"/>
      <w:bookmarkStart w:id="182" w:name="_Toc101338362"/>
      <w:bookmarkStart w:id="183" w:name="_Toc101250644"/>
      <w:bookmarkStart w:id="184" w:name="_Toc209847067"/>
      <w:bookmarkStart w:id="185" w:name="_Toc430773926"/>
      <w:r>
        <w:rPr>
          <w:rFonts w:hint="eastAsia"/>
          <w:color w:val="auto"/>
        </w:rPr>
        <w:t>1</w:t>
      </w:r>
      <w:r>
        <w:rPr>
          <w:color w:val="auto"/>
        </w:rPr>
        <w:t>5</w:t>
      </w:r>
      <w:r>
        <w:rPr>
          <w:rFonts w:hint="eastAsia"/>
          <w:color w:val="auto"/>
        </w:rPr>
        <w:t>．成交通知</w:t>
      </w:r>
      <w:bookmarkEnd w:id="181"/>
      <w:bookmarkEnd w:id="182"/>
      <w:bookmarkEnd w:id="183"/>
      <w:r>
        <w:rPr>
          <w:rFonts w:hint="eastAsia"/>
          <w:color w:val="auto"/>
        </w:rPr>
        <w:t>书</w:t>
      </w:r>
      <w:bookmarkEnd w:id="184"/>
      <w:bookmarkEnd w:id="185"/>
    </w:p>
    <w:p>
      <w:pPr>
        <w:adjustRightInd w:val="0"/>
        <w:snapToGrid w:val="0"/>
        <w:spacing w:line="360" w:lineRule="auto"/>
        <w:ind w:firstLine="480" w:firstLineChars="200"/>
        <w:rPr>
          <w:rFonts w:hAnsi="宋体"/>
          <w:color w:val="auto"/>
          <w:sz w:val="24"/>
          <w:szCs w:val="24"/>
        </w:rPr>
      </w:pPr>
      <w:r>
        <w:rPr>
          <w:rFonts w:hint="eastAsia" w:hAnsi="宋体"/>
          <w:color w:val="auto"/>
          <w:sz w:val="24"/>
          <w:szCs w:val="24"/>
        </w:rPr>
        <w:t>1</w:t>
      </w:r>
      <w:r>
        <w:rPr>
          <w:rFonts w:hAnsi="宋体"/>
          <w:color w:val="auto"/>
          <w:sz w:val="24"/>
          <w:szCs w:val="24"/>
        </w:rPr>
        <w:t>5.</w:t>
      </w:r>
      <w:r>
        <w:rPr>
          <w:rFonts w:hint="eastAsia" w:hAnsi="宋体"/>
          <w:color w:val="auto"/>
          <w:sz w:val="24"/>
          <w:szCs w:val="24"/>
        </w:rPr>
        <w:t>1采购人按货物/服务符合采购需求的合格供应商确定成交供应商，确定成交供应商后，采购代理机构在“</w:t>
      </w:r>
      <w:r>
        <w:rPr>
          <w:rFonts w:hint="eastAsia" w:hAnsi="宋体"/>
          <w:color w:val="auto"/>
          <w:sz w:val="24"/>
          <w:szCs w:val="24"/>
          <w:lang w:eastAsia="zh-CN"/>
        </w:rPr>
        <w:t>威远投资控股集团有限责任公司官网</w:t>
      </w:r>
      <w:r>
        <w:rPr>
          <w:rFonts w:hint="eastAsia" w:hAnsi="宋体"/>
          <w:color w:val="auto"/>
          <w:sz w:val="24"/>
          <w:szCs w:val="24"/>
        </w:rPr>
        <w:t>”上公告成交结果，由采购代理机构按照相关法律法规向成交供应商发出成交通知书。</w:t>
      </w:r>
    </w:p>
    <w:p>
      <w:pPr>
        <w:adjustRightInd w:val="0"/>
        <w:snapToGrid w:val="0"/>
        <w:spacing w:line="360" w:lineRule="auto"/>
        <w:ind w:firstLine="480" w:firstLineChars="200"/>
        <w:rPr>
          <w:rFonts w:hAnsi="宋体"/>
          <w:color w:val="auto"/>
          <w:sz w:val="24"/>
          <w:szCs w:val="24"/>
        </w:rPr>
      </w:pPr>
      <w:r>
        <w:rPr>
          <w:rFonts w:hint="eastAsia" w:hAnsi="宋体"/>
          <w:color w:val="auto"/>
          <w:sz w:val="24"/>
          <w:szCs w:val="24"/>
        </w:rPr>
        <w:t>1</w:t>
      </w:r>
      <w:r>
        <w:rPr>
          <w:rFonts w:hAnsi="宋体"/>
          <w:color w:val="auto"/>
          <w:sz w:val="24"/>
          <w:szCs w:val="24"/>
        </w:rPr>
        <w:t>5.</w:t>
      </w:r>
      <w:r>
        <w:rPr>
          <w:rFonts w:hint="eastAsia" w:hAnsi="宋体"/>
          <w:color w:val="auto"/>
          <w:sz w:val="24"/>
          <w:szCs w:val="24"/>
        </w:rPr>
        <w:t>2成交通知书将作为签订合同的依据。成交通知书对采购人和成交供应商均具有法律效力。成交通知书发出后，采购人改变成交结果或成交供应商无正当理由放弃成交项目的，应当依法承担相关责任。</w:t>
      </w:r>
    </w:p>
    <w:p>
      <w:pPr>
        <w:adjustRightInd w:val="0"/>
        <w:snapToGrid w:val="0"/>
        <w:spacing w:line="360" w:lineRule="auto"/>
        <w:ind w:firstLine="480" w:firstLineChars="200"/>
        <w:rPr>
          <w:rFonts w:hAnsi="宋体"/>
          <w:color w:val="auto"/>
          <w:sz w:val="24"/>
          <w:szCs w:val="24"/>
        </w:rPr>
      </w:pPr>
      <w:r>
        <w:rPr>
          <w:rFonts w:hint="eastAsia" w:hAnsi="宋体"/>
          <w:color w:val="auto"/>
          <w:sz w:val="24"/>
          <w:szCs w:val="24"/>
        </w:rPr>
        <w:t>1</w:t>
      </w:r>
      <w:r>
        <w:rPr>
          <w:rFonts w:hAnsi="宋体"/>
          <w:color w:val="auto"/>
          <w:sz w:val="24"/>
          <w:szCs w:val="24"/>
        </w:rPr>
        <w:t>5.</w:t>
      </w:r>
      <w:r>
        <w:rPr>
          <w:rFonts w:hint="eastAsia" w:hAnsi="宋体"/>
          <w:color w:val="auto"/>
          <w:sz w:val="24"/>
          <w:szCs w:val="24"/>
        </w:rPr>
        <w:t>3 采购人和采购代理机构不对成交或未成交原因作出解释，也不退还响应文件。</w:t>
      </w:r>
    </w:p>
    <w:p>
      <w:pPr>
        <w:pStyle w:val="5"/>
        <w:spacing w:before="0" w:after="0"/>
        <w:ind w:firstLine="482"/>
        <w:rPr>
          <w:color w:val="auto"/>
        </w:rPr>
      </w:pPr>
      <w:r>
        <w:rPr>
          <w:rFonts w:hint="eastAsia"/>
          <w:color w:val="auto"/>
        </w:rPr>
        <w:t>16.履约保证金</w:t>
      </w:r>
      <w:bookmarkStart w:id="186" w:name="_Toc101338364"/>
      <w:bookmarkStart w:id="187" w:name="_Toc101250646"/>
      <w:bookmarkStart w:id="188" w:name="_Toc101174151"/>
      <w:bookmarkStart w:id="189" w:name="_Toc209847069"/>
      <w:r>
        <w:rPr>
          <w:rFonts w:hint="eastAsia"/>
          <w:color w:val="auto"/>
        </w:rPr>
        <w:t>（实质性要求）（如适用）</w:t>
      </w:r>
    </w:p>
    <w:p>
      <w:pPr>
        <w:spacing w:line="360" w:lineRule="auto"/>
        <w:ind w:firstLine="480" w:firstLineChars="200"/>
        <w:rPr>
          <w:color w:val="auto"/>
          <w:sz w:val="24"/>
        </w:rPr>
      </w:pPr>
      <w:r>
        <w:rPr>
          <w:color w:val="auto"/>
          <w:sz w:val="24"/>
        </w:rPr>
        <w:t>16</w:t>
      </w:r>
      <w:r>
        <w:rPr>
          <w:rFonts w:hint="eastAsia"/>
          <w:color w:val="auto"/>
          <w:sz w:val="24"/>
        </w:rPr>
        <w:t>.1 成交供应商应在合同签订之前交纳谈判文件规定数额的履约保证金。</w:t>
      </w:r>
    </w:p>
    <w:p>
      <w:pPr>
        <w:spacing w:line="360" w:lineRule="auto"/>
        <w:ind w:firstLine="480" w:firstLineChars="200"/>
        <w:rPr>
          <w:rFonts w:hAnsi="宋体"/>
          <w:b/>
          <w:bCs/>
          <w:color w:val="auto"/>
          <w:sz w:val="24"/>
          <w:szCs w:val="24"/>
        </w:rPr>
      </w:pPr>
      <w:r>
        <w:rPr>
          <w:color w:val="auto"/>
          <w:sz w:val="24"/>
        </w:rPr>
        <w:t>16</w:t>
      </w:r>
      <w:r>
        <w:rPr>
          <w:rFonts w:hint="eastAsia"/>
          <w:color w:val="auto"/>
          <w:sz w:val="24"/>
        </w:rPr>
        <w:t>.2 如果成交供应商在规定的合同签订时间内，没有按照谈判文件的规定交纳履约保证金，且又无正当理由的，将视为放弃成交。</w:t>
      </w:r>
    </w:p>
    <w:p>
      <w:pPr>
        <w:pStyle w:val="5"/>
        <w:spacing w:before="0" w:after="0"/>
        <w:ind w:firstLine="482"/>
        <w:rPr>
          <w:color w:val="auto"/>
        </w:rPr>
      </w:pPr>
      <w:bookmarkStart w:id="190" w:name="_Toc430773927"/>
      <w:r>
        <w:rPr>
          <w:rFonts w:hint="eastAsia"/>
          <w:color w:val="auto"/>
        </w:rPr>
        <w:t>1</w:t>
      </w:r>
      <w:r>
        <w:rPr>
          <w:color w:val="auto"/>
        </w:rPr>
        <w:t>7</w:t>
      </w:r>
      <w:r>
        <w:rPr>
          <w:rFonts w:hint="eastAsia"/>
          <w:color w:val="auto"/>
        </w:rPr>
        <w:t>．签订合同</w:t>
      </w:r>
      <w:bookmarkEnd w:id="186"/>
      <w:bookmarkEnd w:id="187"/>
      <w:bookmarkEnd w:id="188"/>
      <w:bookmarkEnd w:id="189"/>
      <w:bookmarkEnd w:id="190"/>
    </w:p>
    <w:p>
      <w:pPr>
        <w:adjustRightInd w:val="0"/>
        <w:snapToGrid w:val="0"/>
        <w:spacing w:line="360" w:lineRule="auto"/>
        <w:ind w:firstLine="480" w:firstLineChars="200"/>
        <w:rPr>
          <w:rFonts w:hAnsi="宋体"/>
          <w:color w:val="auto"/>
          <w:sz w:val="24"/>
          <w:szCs w:val="24"/>
        </w:rPr>
      </w:pPr>
      <w:r>
        <w:rPr>
          <w:rFonts w:hint="eastAsia" w:hAnsi="宋体"/>
          <w:color w:val="auto"/>
          <w:sz w:val="24"/>
          <w:szCs w:val="24"/>
        </w:rPr>
        <w:t>1</w:t>
      </w:r>
      <w:r>
        <w:rPr>
          <w:rFonts w:hAnsi="宋体"/>
          <w:color w:val="auto"/>
          <w:sz w:val="24"/>
          <w:szCs w:val="24"/>
        </w:rPr>
        <w:t>7.</w:t>
      </w:r>
      <w:r>
        <w:rPr>
          <w:rFonts w:hint="eastAsia" w:hAnsi="宋体"/>
          <w:color w:val="auto"/>
          <w:sz w:val="24"/>
          <w:szCs w:val="24"/>
        </w:rPr>
        <w:t>1成交供应商与采购人应在成交通知书发出之日起三十日内在双方约定地点签定采购合同。逾期将取消成交资格并按相关规定处理。</w:t>
      </w:r>
    </w:p>
    <w:p>
      <w:pPr>
        <w:adjustRightInd w:val="0"/>
        <w:snapToGrid w:val="0"/>
        <w:spacing w:line="360" w:lineRule="auto"/>
        <w:ind w:firstLine="480" w:firstLineChars="200"/>
        <w:rPr>
          <w:rFonts w:hAnsi="宋体"/>
          <w:color w:val="auto"/>
          <w:sz w:val="24"/>
          <w:szCs w:val="24"/>
        </w:rPr>
      </w:pPr>
      <w:r>
        <w:rPr>
          <w:rFonts w:hAnsi="宋体"/>
          <w:color w:val="auto"/>
          <w:sz w:val="24"/>
          <w:szCs w:val="24"/>
        </w:rPr>
        <w:t>17.</w:t>
      </w:r>
      <w:r>
        <w:rPr>
          <w:rFonts w:hint="eastAsia" w:hAnsi="宋体"/>
          <w:color w:val="auto"/>
          <w:sz w:val="24"/>
          <w:szCs w:val="24"/>
        </w:rPr>
        <w:t>2谈判文件、成交供应商的响应文件及双方确认的澄清文件等，均为有法律约束力的经济合同组成的一部分。</w:t>
      </w:r>
    </w:p>
    <w:p>
      <w:pPr>
        <w:adjustRightInd w:val="0"/>
        <w:snapToGrid w:val="0"/>
        <w:spacing w:line="360" w:lineRule="auto"/>
        <w:ind w:firstLine="480" w:firstLineChars="200"/>
        <w:rPr>
          <w:rFonts w:hAnsi="宋体"/>
          <w:color w:val="auto"/>
          <w:sz w:val="24"/>
          <w:szCs w:val="24"/>
        </w:rPr>
      </w:pPr>
      <w:r>
        <w:rPr>
          <w:rFonts w:hAnsi="宋体"/>
          <w:color w:val="auto"/>
          <w:sz w:val="24"/>
          <w:szCs w:val="24"/>
        </w:rPr>
        <w:t>17</w:t>
      </w:r>
      <w:r>
        <w:rPr>
          <w:rFonts w:hint="eastAsia" w:hAnsi="宋体"/>
          <w:color w:val="auto"/>
          <w:sz w:val="24"/>
          <w:szCs w:val="24"/>
        </w:rPr>
        <w:t>.3成交供应商在合同签订之后三个工作日内，将签订的合同原件一份送至采购代理机构财务科室备案。</w:t>
      </w:r>
    </w:p>
    <w:p>
      <w:pPr>
        <w:adjustRightInd w:val="0"/>
        <w:snapToGrid w:val="0"/>
        <w:spacing w:line="360" w:lineRule="auto"/>
        <w:ind w:firstLine="480" w:firstLineChars="200"/>
        <w:rPr>
          <w:rFonts w:hAnsi="宋体" w:cs="宋体"/>
          <w:color w:val="auto"/>
          <w:sz w:val="24"/>
        </w:rPr>
      </w:pPr>
      <w:r>
        <w:rPr>
          <w:rFonts w:hAnsi="宋体"/>
          <w:color w:val="auto"/>
          <w:sz w:val="24"/>
          <w:szCs w:val="24"/>
        </w:rPr>
        <w:t>17</w:t>
      </w:r>
      <w:r>
        <w:rPr>
          <w:rFonts w:hint="eastAsia" w:hAnsi="宋体"/>
          <w:color w:val="auto"/>
          <w:sz w:val="24"/>
          <w:szCs w:val="24"/>
        </w:rPr>
        <w:t>.4成交供应商</w:t>
      </w:r>
      <w:r>
        <w:rPr>
          <w:rFonts w:hint="eastAsia" w:hAnsi="宋体" w:cs="宋体"/>
          <w:color w:val="auto"/>
          <w:sz w:val="24"/>
        </w:rPr>
        <w:t>在合同履行验收后三个工作日内，将采购人出具的验收书（一份）送采购代理机构财务科室。</w:t>
      </w:r>
    </w:p>
    <w:p>
      <w:pPr>
        <w:adjustRightInd w:val="0"/>
        <w:snapToGrid w:val="0"/>
        <w:spacing w:line="360" w:lineRule="auto"/>
        <w:ind w:firstLine="480" w:firstLineChars="200"/>
        <w:rPr>
          <w:rFonts w:hAnsi="宋体" w:cs="宋体"/>
          <w:color w:val="auto"/>
          <w:sz w:val="24"/>
        </w:rPr>
      </w:pPr>
      <w:r>
        <w:rPr>
          <w:rFonts w:hAnsi="宋体" w:cs="宋体"/>
          <w:color w:val="auto"/>
          <w:sz w:val="24"/>
        </w:rPr>
        <w:t>17</w:t>
      </w:r>
      <w:r>
        <w:rPr>
          <w:rFonts w:hint="eastAsia" w:hAnsi="宋体" w:cs="宋体"/>
          <w:color w:val="auto"/>
          <w:sz w:val="24"/>
        </w:rPr>
        <w:t>.5</w:t>
      </w:r>
      <w:r>
        <w:rPr>
          <w:rFonts w:hint="eastAsia" w:hAnsi="宋体"/>
          <w:color w:val="auto"/>
          <w:sz w:val="24"/>
          <w:szCs w:val="24"/>
        </w:rPr>
        <w:t>谈判文件</w:t>
      </w:r>
      <w:r>
        <w:rPr>
          <w:rFonts w:hAnsi="宋体"/>
          <w:color w:val="auto"/>
          <w:sz w:val="24"/>
          <w:szCs w:val="24"/>
        </w:rPr>
        <w:t>、</w:t>
      </w:r>
      <w:r>
        <w:rPr>
          <w:rFonts w:hint="eastAsia" w:hAnsi="宋体"/>
          <w:color w:val="auto"/>
          <w:sz w:val="24"/>
          <w:szCs w:val="24"/>
        </w:rPr>
        <w:t>成交供应商</w:t>
      </w:r>
      <w:r>
        <w:rPr>
          <w:rFonts w:hAnsi="宋体"/>
          <w:color w:val="auto"/>
          <w:sz w:val="24"/>
          <w:szCs w:val="24"/>
        </w:rPr>
        <w:t>提交的响应文件、谈判中的最终报价、</w:t>
      </w:r>
      <w:r>
        <w:rPr>
          <w:rFonts w:hint="eastAsia" w:hAnsi="宋体"/>
          <w:color w:val="auto"/>
          <w:sz w:val="24"/>
          <w:szCs w:val="24"/>
        </w:rPr>
        <w:t>成交供应商</w:t>
      </w:r>
      <w:r>
        <w:rPr>
          <w:rFonts w:hAnsi="宋体"/>
          <w:color w:val="auto"/>
          <w:sz w:val="24"/>
          <w:szCs w:val="24"/>
        </w:rPr>
        <w:t>承诺书、成交通知书等均成为有法律约束力的合同的组成内容。</w:t>
      </w:r>
    </w:p>
    <w:p>
      <w:pPr>
        <w:pStyle w:val="5"/>
        <w:spacing w:before="0" w:after="0"/>
        <w:ind w:firstLine="482"/>
        <w:rPr>
          <w:color w:val="auto"/>
        </w:rPr>
      </w:pPr>
      <w:bookmarkStart w:id="191" w:name="_Toc101338363"/>
      <w:bookmarkStart w:id="192" w:name="_Toc430773928"/>
      <w:bookmarkStart w:id="193" w:name="_Toc101174150"/>
      <w:bookmarkStart w:id="194" w:name="_Toc101250645"/>
      <w:bookmarkStart w:id="195" w:name="_Toc209847068"/>
      <w:r>
        <w:rPr>
          <w:rFonts w:hint="eastAsia"/>
          <w:color w:val="auto"/>
        </w:rPr>
        <w:t>1</w:t>
      </w:r>
      <w:r>
        <w:rPr>
          <w:color w:val="auto"/>
        </w:rPr>
        <w:t>8</w:t>
      </w:r>
      <w:r>
        <w:rPr>
          <w:rFonts w:hint="eastAsia"/>
          <w:color w:val="auto"/>
        </w:rPr>
        <w:t>．采购人增加合同标的权力</w:t>
      </w:r>
      <w:bookmarkEnd w:id="191"/>
      <w:bookmarkEnd w:id="192"/>
      <w:bookmarkEnd w:id="193"/>
      <w:bookmarkEnd w:id="194"/>
      <w:bookmarkEnd w:id="195"/>
    </w:p>
    <w:p>
      <w:pPr>
        <w:adjustRightInd w:val="0"/>
        <w:snapToGrid w:val="0"/>
        <w:spacing w:line="360" w:lineRule="auto"/>
        <w:ind w:firstLine="480" w:firstLineChars="200"/>
        <w:rPr>
          <w:rFonts w:hAnsi="宋体"/>
          <w:color w:val="auto"/>
          <w:sz w:val="24"/>
          <w:szCs w:val="24"/>
        </w:rPr>
      </w:pPr>
      <w:r>
        <w:rPr>
          <w:rFonts w:hint="eastAsia" w:hAnsi="宋体"/>
          <w:color w:val="auto"/>
          <w:sz w:val="24"/>
          <w:szCs w:val="24"/>
        </w:rPr>
        <w:t>采购合同履行过程中，采购人需要追加与合同标的相同的货物/服务的，在不改变合同其他条款的前提下，可以与成交供应商协商签订补充合同，但所有补充合同的采购金额不得超过原合同采购金额的百分之十。</w:t>
      </w:r>
    </w:p>
    <w:p>
      <w:pPr>
        <w:pStyle w:val="5"/>
        <w:spacing w:before="0" w:after="0"/>
        <w:ind w:firstLine="482"/>
        <w:rPr>
          <w:color w:val="auto"/>
        </w:rPr>
      </w:pPr>
      <w:bookmarkStart w:id="196" w:name="_Toc209847070"/>
      <w:bookmarkStart w:id="197" w:name="_Toc430773929"/>
      <w:bookmarkStart w:id="198" w:name="_Toc101338367"/>
      <w:bookmarkStart w:id="199" w:name="_Toc101250649"/>
      <w:r>
        <w:rPr>
          <w:rFonts w:hint="eastAsia"/>
          <w:color w:val="auto"/>
        </w:rPr>
        <w:t>1</w:t>
      </w:r>
      <w:r>
        <w:rPr>
          <w:color w:val="auto"/>
        </w:rPr>
        <w:t>9</w:t>
      </w:r>
      <w:r>
        <w:rPr>
          <w:rFonts w:hint="eastAsia"/>
          <w:color w:val="auto"/>
        </w:rPr>
        <w:t>．</w:t>
      </w:r>
      <w:bookmarkEnd w:id="196"/>
      <w:bookmarkEnd w:id="197"/>
      <w:bookmarkStart w:id="200" w:name="_Toc209847071"/>
      <w:bookmarkStart w:id="201" w:name="_Toc430773930"/>
      <w:r>
        <w:rPr>
          <w:rFonts w:hint="eastAsia"/>
          <w:color w:val="auto"/>
        </w:rPr>
        <w:t>合同分包（实质性要求）</w:t>
      </w:r>
    </w:p>
    <w:p>
      <w:pPr>
        <w:snapToGrid w:val="0"/>
        <w:spacing w:line="360" w:lineRule="auto"/>
        <w:ind w:firstLine="480" w:firstLineChars="200"/>
        <w:rPr>
          <w:rFonts w:hAnsi="宋体"/>
          <w:color w:val="auto"/>
          <w:sz w:val="24"/>
        </w:rPr>
      </w:pPr>
      <w:bookmarkStart w:id="202" w:name="_Toc217446067"/>
      <w:r>
        <w:rPr>
          <w:rFonts w:hAnsi="宋体"/>
          <w:color w:val="auto"/>
          <w:sz w:val="24"/>
        </w:rPr>
        <w:t>19</w:t>
      </w:r>
      <w:r>
        <w:rPr>
          <w:rFonts w:hint="eastAsia" w:hAnsi="宋体"/>
          <w:color w:val="auto"/>
          <w:sz w:val="24"/>
        </w:rPr>
        <w:t>.1 经采购人同意，成交供应商可以依法采取分包方式履行合同。这种要求应当在合同签订之前征得采购人同意，并且分包供应商履行的分包项目的品牌、规格型号及技术要求等，必须与成交的一致。</w:t>
      </w:r>
    </w:p>
    <w:p>
      <w:pPr>
        <w:snapToGrid w:val="0"/>
        <w:spacing w:line="360" w:lineRule="auto"/>
        <w:ind w:firstLine="480" w:firstLineChars="200"/>
        <w:rPr>
          <w:rFonts w:hAnsi="宋体"/>
          <w:color w:val="auto"/>
          <w:sz w:val="24"/>
        </w:rPr>
      </w:pPr>
      <w:r>
        <w:rPr>
          <w:rFonts w:hint="eastAsia" w:hAnsi="宋体"/>
          <w:color w:val="auto"/>
          <w:sz w:val="24"/>
        </w:rPr>
        <w:t>分包履行合同的部分应当为采购项目的非主体、非关键性工作，不属于成交供应商的主要合同义务。</w:t>
      </w:r>
    </w:p>
    <w:p>
      <w:pPr>
        <w:snapToGrid w:val="0"/>
        <w:spacing w:line="360" w:lineRule="auto"/>
        <w:ind w:firstLine="480" w:firstLineChars="200"/>
        <w:rPr>
          <w:rFonts w:hAnsi="宋体"/>
          <w:color w:val="auto"/>
          <w:sz w:val="24"/>
        </w:rPr>
      </w:pPr>
      <w:r>
        <w:rPr>
          <w:rFonts w:hAnsi="宋体"/>
          <w:color w:val="auto"/>
          <w:sz w:val="24"/>
        </w:rPr>
        <w:t>19</w:t>
      </w:r>
      <w:r>
        <w:rPr>
          <w:rFonts w:hint="eastAsia" w:hAnsi="宋体"/>
          <w:color w:val="auto"/>
          <w:sz w:val="24"/>
        </w:rPr>
        <w:t>.2 采购合同实行分包履行的，成交供应商就采购项目和分包项目向采购人负责，分包供应商就分包项目承担责任。</w:t>
      </w:r>
    </w:p>
    <w:bookmarkEnd w:id="202"/>
    <w:p>
      <w:pPr>
        <w:pStyle w:val="5"/>
        <w:spacing w:before="0" w:after="0"/>
        <w:ind w:firstLine="482"/>
        <w:rPr>
          <w:color w:val="auto"/>
        </w:rPr>
      </w:pPr>
      <w:r>
        <w:rPr>
          <w:color w:val="auto"/>
        </w:rPr>
        <w:t>20.</w:t>
      </w:r>
      <w:r>
        <w:rPr>
          <w:rFonts w:hint="eastAsia"/>
          <w:color w:val="auto"/>
        </w:rPr>
        <w:t>合同转包（实质性要求）</w:t>
      </w:r>
    </w:p>
    <w:p>
      <w:pPr>
        <w:snapToGrid w:val="0"/>
        <w:spacing w:line="360" w:lineRule="auto"/>
        <w:ind w:firstLine="540" w:firstLineChars="225"/>
        <w:rPr>
          <w:rFonts w:hAnsi="宋体"/>
          <w:color w:val="auto"/>
          <w:sz w:val="24"/>
        </w:rPr>
      </w:pPr>
      <w:r>
        <w:rPr>
          <w:rFonts w:hint="eastAsia" w:hAnsi="宋体"/>
          <w:color w:val="auto"/>
          <w:sz w:val="24"/>
        </w:rPr>
        <w:t>本采购项目严禁成交供应商将任何采购合同义务转包。本项目所称转包，是指成交供应商将采购合同义务转让给第三人，并退出现有采购合同当事人双方的权利义务关系，受让人（即第三人）成为采购合同的另一方当事人的行为。</w:t>
      </w:r>
    </w:p>
    <w:p>
      <w:pPr>
        <w:snapToGrid w:val="0"/>
        <w:spacing w:line="360" w:lineRule="auto"/>
        <w:ind w:firstLine="540" w:firstLineChars="225"/>
        <w:rPr>
          <w:rFonts w:hAnsi="宋体"/>
          <w:color w:val="auto"/>
          <w:sz w:val="24"/>
        </w:rPr>
      </w:pPr>
      <w:r>
        <w:rPr>
          <w:rFonts w:hint="eastAsia" w:hAnsi="宋体"/>
          <w:color w:val="auto"/>
          <w:sz w:val="24"/>
        </w:rPr>
        <w:t>成交供应商转包的，视同拒绝履行采购合同义务，将依法追究法律责任。</w:t>
      </w:r>
    </w:p>
    <w:p>
      <w:pPr>
        <w:pStyle w:val="5"/>
        <w:spacing w:before="0" w:after="0"/>
        <w:ind w:firstLine="482"/>
        <w:rPr>
          <w:color w:val="auto"/>
        </w:rPr>
      </w:pPr>
      <w:r>
        <w:rPr>
          <w:color w:val="auto"/>
        </w:rPr>
        <w:t>20</w:t>
      </w:r>
      <w:r>
        <w:rPr>
          <w:rFonts w:hint="eastAsia"/>
          <w:color w:val="auto"/>
        </w:rPr>
        <w:t>．</w:t>
      </w:r>
      <w:bookmarkEnd w:id="198"/>
      <w:bookmarkEnd w:id="199"/>
      <w:r>
        <w:rPr>
          <w:rFonts w:hint="eastAsia"/>
          <w:color w:val="auto"/>
        </w:rPr>
        <w:t>采购代理服务费</w:t>
      </w:r>
      <w:bookmarkEnd w:id="200"/>
      <w:bookmarkEnd w:id="201"/>
    </w:p>
    <w:p>
      <w:pPr>
        <w:widowControl/>
        <w:tabs>
          <w:tab w:val="left" w:pos="1290"/>
        </w:tabs>
        <w:autoSpaceDE w:val="0"/>
        <w:autoSpaceDN w:val="0"/>
        <w:adjustRightInd w:val="0"/>
        <w:snapToGrid w:val="0"/>
        <w:spacing w:line="360" w:lineRule="auto"/>
        <w:ind w:firstLine="480" w:firstLineChars="200"/>
        <w:textAlignment w:val="bottom"/>
        <w:rPr>
          <w:rFonts w:hAnsi="宋体"/>
          <w:color w:val="auto"/>
          <w:sz w:val="24"/>
          <w:szCs w:val="24"/>
        </w:rPr>
      </w:pPr>
      <w:r>
        <w:rPr>
          <w:rFonts w:hint="eastAsia" w:hAnsi="宋体"/>
          <w:color w:val="auto"/>
          <w:sz w:val="24"/>
          <w:szCs w:val="24"/>
        </w:rPr>
        <w:t>成交供应商在领取成交通知书前向采购代理机构交纳</w:t>
      </w:r>
      <w:r>
        <w:rPr>
          <w:rFonts w:hint="eastAsia" w:hAnsi="宋体"/>
          <w:color w:val="auto"/>
          <w:sz w:val="24"/>
          <w:szCs w:val="24"/>
          <w:lang w:val="zh-CN"/>
        </w:rPr>
        <w:t>招标代理服务费</w:t>
      </w:r>
      <w:r>
        <w:rPr>
          <w:rFonts w:hint="eastAsia" w:hAnsi="宋体"/>
          <w:color w:val="auto"/>
          <w:sz w:val="24"/>
          <w:szCs w:val="24"/>
        </w:rPr>
        <w:t>。</w:t>
      </w:r>
      <w:bookmarkStart w:id="203" w:name="_Toc209847072"/>
      <w:r>
        <w:rPr>
          <w:rFonts w:hint="eastAsia" w:hAnsi="宋体"/>
          <w:color w:val="auto"/>
          <w:sz w:val="24"/>
          <w:szCs w:val="24"/>
        </w:rPr>
        <w:t>代理服务费收取方式为：详见供应商谈判须知附表。</w:t>
      </w:r>
    </w:p>
    <w:p>
      <w:pPr>
        <w:pStyle w:val="5"/>
        <w:spacing w:before="0" w:after="0"/>
        <w:ind w:firstLine="482"/>
        <w:rPr>
          <w:color w:val="auto"/>
        </w:rPr>
      </w:pPr>
      <w:bookmarkStart w:id="204" w:name="_Toc430773931"/>
      <w:r>
        <w:rPr>
          <w:color w:val="auto"/>
        </w:rPr>
        <w:t>21</w:t>
      </w:r>
      <w:r>
        <w:rPr>
          <w:rFonts w:hint="eastAsia"/>
          <w:color w:val="auto"/>
        </w:rPr>
        <w:t>．</w:t>
      </w:r>
      <w:bookmarkEnd w:id="203"/>
      <w:bookmarkEnd w:id="204"/>
      <w:r>
        <w:rPr>
          <w:rFonts w:hint="eastAsia"/>
          <w:color w:val="auto"/>
        </w:rPr>
        <w:t>采购终止</w:t>
      </w:r>
    </w:p>
    <w:p>
      <w:pPr>
        <w:adjustRightInd w:val="0"/>
        <w:snapToGrid w:val="0"/>
        <w:spacing w:line="360" w:lineRule="auto"/>
        <w:ind w:firstLine="480" w:firstLineChars="200"/>
        <w:rPr>
          <w:rFonts w:hAnsi="宋体"/>
          <w:color w:val="auto"/>
          <w:sz w:val="24"/>
          <w:szCs w:val="24"/>
        </w:rPr>
      </w:pPr>
      <w:r>
        <w:rPr>
          <w:rFonts w:hint="eastAsia" w:hAnsi="宋体"/>
          <w:color w:val="auto"/>
          <w:sz w:val="24"/>
          <w:szCs w:val="24"/>
        </w:rPr>
        <w:t>出现下列情形之一的，采购人或者采购代理机构有权终止竞争性谈判采购活动，发布项目终止公告并说明理由，重新开展采购活动：</w:t>
      </w:r>
    </w:p>
    <w:p>
      <w:pPr>
        <w:adjustRightInd w:val="0"/>
        <w:snapToGrid w:val="0"/>
        <w:spacing w:line="360" w:lineRule="auto"/>
        <w:ind w:firstLine="480" w:firstLineChars="200"/>
        <w:rPr>
          <w:rFonts w:hAnsi="宋体"/>
          <w:color w:val="auto"/>
          <w:sz w:val="24"/>
          <w:szCs w:val="24"/>
        </w:rPr>
      </w:pPr>
      <w:r>
        <w:rPr>
          <w:rFonts w:hint="eastAsia" w:hAnsi="宋体"/>
          <w:color w:val="auto"/>
          <w:sz w:val="24"/>
          <w:szCs w:val="24"/>
        </w:rPr>
        <w:t>(1) 因情况变化，不再符合规定的竞争性谈判采购方式适用情形的；</w:t>
      </w:r>
    </w:p>
    <w:p>
      <w:pPr>
        <w:adjustRightInd w:val="0"/>
        <w:snapToGrid w:val="0"/>
        <w:spacing w:line="360" w:lineRule="auto"/>
        <w:ind w:firstLine="480" w:firstLineChars="200"/>
        <w:rPr>
          <w:rFonts w:hAnsi="宋体"/>
          <w:color w:val="auto"/>
          <w:sz w:val="24"/>
          <w:szCs w:val="24"/>
        </w:rPr>
      </w:pPr>
      <w:r>
        <w:rPr>
          <w:rFonts w:hint="eastAsia" w:hAnsi="宋体"/>
          <w:color w:val="auto"/>
          <w:sz w:val="24"/>
          <w:szCs w:val="24"/>
        </w:rPr>
        <w:t>(2)出现影响采购公正的违法、违规行为的；</w:t>
      </w:r>
    </w:p>
    <w:p>
      <w:pPr>
        <w:adjustRightInd w:val="0"/>
        <w:snapToGrid w:val="0"/>
        <w:spacing w:line="360" w:lineRule="auto"/>
        <w:ind w:firstLine="480" w:firstLineChars="200"/>
        <w:rPr>
          <w:rFonts w:hAnsi="宋体"/>
          <w:color w:val="auto"/>
          <w:sz w:val="24"/>
          <w:szCs w:val="24"/>
        </w:rPr>
      </w:pPr>
      <w:r>
        <w:rPr>
          <w:rFonts w:hint="eastAsia" w:hAnsi="宋体"/>
          <w:color w:val="auto"/>
          <w:sz w:val="24"/>
          <w:szCs w:val="24"/>
        </w:rPr>
        <w:t>(3) 除《政府采购非招标采购方式管理办法》第二十七条第二款规定的情形外，在采购过程中符合竞争要求的供应商或者报价未超过采购预算的供应商不足三家。</w:t>
      </w:r>
    </w:p>
    <w:p>
      <w:pPr>
        <w:adjustRightInd w:val="0"/>
        <w:snapToGrid w:val="0"/>
        <w:spacing w:line="360" w:lineRule="auto"/>
        <w:ind w:firstLine="480" w:firstLineChars="200"/>
        <w:rPr>
          <w:rFonts w:hAnsi="宋体"/>
          <w:color w:val="auto"/>
          <w:sz w:val="24"/>
          <w:szCs w:val="24"/>
        </w:rPr>
      </w:pPr>
      <w:r>
        <w:rPr>
          <w:rFonts w:hint="eastAsia" w:hAnsi="宋体"/>
          <w:color w:val="auto"/>
          <w:sz w:val="24"/>
          <w:szCs w:val="24"/>
        </w:rPr>
        <w:t>（四）法律法规规定的其他情形。</w:t>
      </w:r>
    </w:p>
    <w:p>
      <w:pPr>
        <w:pStyle w:val="4"/>
        <w:spacing w:before="0" w:after="0"/>
        <w:rPr>
          <w:color w:val="auto"/>
        </w:rPr>
      </w:pPr>
      <w:bookmarkStart w:id="205" w:name="_Toc430773932"/>
      <w:bookmarkStart w:id="206" w:name="_Toc209847073"/>
      <w:bookmarkStart w:id="207" w:name="_Toc101195998"/>
      <w:bookmarkStart w:id="208" w:name="_Toc101250653"/>
      <w:r>
        <w:rPr>
          <w:rFonts w:hint="eastAsia"/>
          <w:color w:val="auto"/>
        </w:rPr>
        <w:t>六、</w:t>
      </w:r>
      <w:bookmarkStart w:id="209" w:name="_Toc101250744"/>
      <w:bookmarkStart w:id="210" w:name="_Toc101338371"/>
      <w:r>
        <w:rPr>
          <w:rFonts w:hint="eastAsia"/>
          <w:color w:val="auto"/>
        </w:rPr>
        <w:t>质疑及投诉</w:t>
      </w:r>
      <w:bookmarkEnd w:id="205"/>
      <w:bookmarkEnd w:id="206"/>
      <w:bookmarkEnd w:id="209"/>
      <w:bookmarkEnd w:id="210"/>
    </w:p>
    <w:bookmarkEnd w:id="207"/>
    <w:bookmarkEnd w:id="208"/>
    <w:p>
      <w:pPr>
        <w:adjustRightInd w:val="0"/>
        <w:snapToGrid w:val="0"/>
        <w:spacing w:line="360" w:lineRule="auto"/>
        <w:ind w:firstLine="480" w:firstLineChars="200"/>
        <w:rPr>
          <w:rFonts w:hAnsi="宋体"/>
          <w:color w:val="auto"/>
          <w:sz w:val="24"/>
          <w:szCs w:val="24"/>
        </w:rPr>
      </w:pPr>
      <w:r>
        <w:rPr>
          <w:rFonts w:hint="eastAsia" w:hAnsi="宋体"/>
          <w:color w:val="auto"/>
          <w:sz w:val="24"/>
        </w:rPr>
        <w:t>质疑、投诉的接收和处理严格按照《中华人共和国政府采购法》、《中华人共和国政府采购法实施条例》、《政府采购供应商投诉处理办法》、《</w:t>
      </w:r>
      <w:r>
        <w:rPr>
          <w:rFonts w:hAnsi="宋体"/>
          <w:color w:val="auto"/>
          <w:sz w:val="24"/>
        </w:rPr>
        <w:t>财政部关于加强政府采购供应商投诉受理审查工作的通知</w:t>
      </w:r>
      <w:r>
        <w:rPr>
          <w:rFonts w:hint="eastAsia" w:hAnsi="宋体"/>
          <w:color w:val="auto"/>
          <w:sz w:val="24"/>
        </w:rPr>
        <w:t>》、《四川省政府采购供应商投诉处理工作规程》等相关规定办理。</w:t>
      </w:r>
      <w:r>
        <w:rPr>
          <w:rFonts w:hAnsi="宋体"/>
          <w:color w:val="auto"/>
          <w:sz w:val="24"/>
        </w:rPr>
        <w:t>供应商质疑</w:t>
      </w:r>
      <w:r>
        <w:rPr>
          <w:rFonts w:hint="eastAsia" w:hAnsi="宋体"/>
          <w:color w:val="auto"/>
          <w:sz w:val="24"/>
        </w:rPr>
        <w:t>向</w:t>
      </w:r>
      <w:r>
        <w:rPr>
          <w:rFonts w:hAnsi="宋体"/>
          <w:color w:val="auto"/>
          <w:sz w:val="24"/>
        </w:rPr>
        <w:t>采购代理机构</w:t>
      </w:r>
      <w:r>
        <w:rPr>
          <w:rFonts w:hint="eastAsia" w:hAnsi="宋体"/>
          <w:color w:val="auto"/>
          <w:sz w:val="24"/>
        </w:rPr>
        <w:t>提出并由</w:t>
      </w:r>
      <w:r>
        <w:rPr>
          <w:rFonts w:hAnsi="宋体"/>
          <w:color w:val="auto"/>
          <w:sz w:val="24"/>
        </w:rPr>
        <w:t>采购代理机构</w:t>
      </w:r>
      <w:r>
        <w:rPr>
          <w:rFonts w:hint="eastAsia" w:hAnsi="宋体"/>
          <w:color w:val="auto"/>
          <w:sz w:val="24"/>
        </w:rPr>
        <w:t>予以</w:t>
      </w:r>
      <w:r>
        <w:rPr>
          <w:rFonts w:hAnsi="宋体"/>
          <w:color w:val="auto"/>
          <w:sz w:val="24"/>
        </w:rPr>
        <w:t>答复</w:t>
      </w:r>
      <w:r>
        <w:rPr>
          <w:rFonts w:hint="eastAsia" w:hAnsi="宋体"/>
          <w:color w:val="auto"/>
          <w:sz w:val="24"/>
        </w:rPr>
        <w:t>。</w:t>
      </w:r>
    </w:p>
    <w:p>
      <w:pPr>
        <w:pStyle w:val="4"/>
        <w:spacing w:before="0" w:after="0"/>
        <w:rPr>
          <w:color w:val="auto"/>
        </w:rPr>
      </w:pPr>
      <w:bookmarkStart w:id="211" w:name="_Toc209847076"/>
      <w:bookmarkStart w:id="212" w:name="_Toc121812448"/>
      <w:bookmarkStart w:id="213" w:name="_Toc128378775"/>
      <w:bookmarkStart w:id="214" w:name="_Toc430773935"/>
      <w:r>
        <w:rPr>
          <w:rFonts w:hint="eastAsia"/>
          <w:color w:val="auto"/>
        </w:rPr>
        <w:t>七、保密</w:t>
      </w:r>
      <w:bookmarkEnd w:id="211"/>
      <w:bookmarkEnd w:id="212"/>
      <w:bookmarkEnd w:id="213"/>
      <w:r>
        <w:rPr>
          <w:rFonts w:hint="eastAsia"/>
          <w:color w:val="auto"/>
        </w:rPr>
        <w:t>条款</w:t>
      </w:r>
      <w:bookmarkEnd w:id="214"/>
    </w:p>
    <w:p>
      <w:pPr>
        <w:tabs>
          <w:tab w:val="left" w:pos="7665"/>
        </w:tabs>
        <w:spacing w:line="360" w:lineRule="auto"/>
        <w:ind w:firstLine="480" w:firstLineChars="200"/>
        <w:rPr>
          <w:rFonts w:hAnsi="宋体"/>
          <w:color w:val="auto"/>
          <w:sz w:val="24"/>
          <w:szCs w:val="24"/>
        </w:rPr>
      </w:pPr>
      <w:r>
        <w:rPr>
          <w:rFonts w:hint="eastAsia" w:hAnsi="宋体"/>
          <w:color w:val="auto"/>
          <w:sz w:val="24"/>
          <w:szCs w:val="24"/>
        </w:rPr>
        <w:t>1、有关购买谈判文件的供应商在任何情况下均不得透露给任何其他的购买谈判文件的人。</w:t>
      </w:r>
    </w:p>
    <w:p>
      <w:pPr>
        <w:tabs>
          <w:tab w:val="left" w:pos="7665"/>
        </w:tabs>
        <w:spacing w:line="360" w:lineRule="auto"/>
        <w:ind w:firstLine="480"/>
        <w:rPr>
          <w:rFonts w:hAnsi="宋体"/>
          <w:color w:val="auto"/>
          <w:sz w:val="24"/>
          <w:szCs w:val="24"/>
        </w:rPr>
      </w:pPr>
      <w:r>
        <w:rPr>
          <w:rFonts w:hint="eastAsia" w:hAnsi="宋体"/>
          <w:color w:val="auto"/>
          <w:sz w:val="24"/>
          <w:szCs w:val="24"/>
        </w:rPr>
        <w:t>2、有关响应文件的审查、澄清、评估和比较以及合同授予意向等情况都不得透露给任何供应商。</w:t>
      </w:r>
    </w:p>
    <w:p>
      <w:pPr>
        <w:tabs>
          <w:tab w:val="left" w:pos="7770"/>
        </w:tabs>
        <w:spacing w:line="360" w:lineRule="auto"/>
        <w:ind w:firstLine="480"/>
        <w:rPr>
          <w:rFonts w:hAnsi="宋体"/>
          <w:color w:val="auto"/>
          <w:sz w:val="24"/>
          <w:szCs w:val="24"/>
        </w:rPr>
      </w:pPr>
      <w:r>
        <w:rPr>
          <w:rFonts w:hint="eastAsia" w:hAnsi="宋体"/>
          <w:color w:val="auto"/>
          <w:sz w:val="24"/>
          <w:szCs w:val="24"/>
        </w:rPr>
        <w:t>3、供应商不得以任何方式干扰评审活动，否则其谈判无效并追究其法律责任。</w:t>
      </w:r>
    </w:p>
    <w:p>
      <w:pPr>
        <w:tabs>
          <w:tab w:val="left" w:pos="7770"/>
        </w:tabs>
        <w:spacing w:line="360" w:lineRule="auto"/>
        <w:ind w:firstLine="480"/>
        <w:rPr>
          <w:rFonts w:hAnsi="宋体"/>
          <w:color w:val="auto"/>
          <w:sz w:val="24"/>
          <w:szCs w:val="24"/>
        </w:rPr>
      </w:pPr>
      <w:r>
        <w:rPr>
          <w:rFonts w:hint="eastAsia" w:hAnsi="宋体"/>
          <w:color w:val="auto"/>
          <w:sz w:val="24"/>
          <w:szCs w:val="24"/>
        </w:rPr>
        <w:t>4、采购代理机构将指定专人负责评审过程中的全部联系工作。</w:t>
      </w:r>
    </w:p>
    <w:p>
      <w:pPr>
        <w:pStyle w:val="4"/>
        <w:spacing w:before="0" w:after="0"/>
        <w:rPr>
          <w:rFonts w:hint="eastAsia"/>
          <w:color w:val="auto"/>
        </w:rPr>
      </w:pPr>
      <w:bookmarkStart w:id="215" w:name="_Toc101338348"/>
      <w:bookmarkStart w:id="216" w:name="_Toc101250655"/>
      <w:bookmarkStart w:id="217" w:name="_Toc209847077"/>
      <w:bookmarkStart w:id="218" w:name="_Toc430773936"/>
    </w:p>
    <w:p>
      <w:pPr>
        <w:pStyle w:val="4"/>
        <w:spacing w:before="0" w:after="0"/>
        <w:rPr>
          <w:rFonts w:hint="eastAsia"/>
          <w:color w:val="auto"/>
        </w:rPr>
      </w:pPr>
    </w:p>
    <w:p>
      <w:pPr>
        <w:pStyle w:val="4"/>
        <w:spacing w:before="0" w:after="0"/>
        <w:rPr>
          <w:color w:val="auto"/>
        </w:rPr>
      </w:pPr>
      <w:r>
        <w:rPr>
          <w:rFonts w:hint="eastAsia"/>
          <w:color w:val="auto"/>
        </w:rPr>
        <w:t>八．腐败和欺诈行为</w:t>
      </w:r>
      <w:bookmarkEnd w:id="215"/>
      <w:bookmarkEnd w:id="216"/>
      <w:bookmarkEnd w:id="217"/>
      <w:r>
        <w:rPr>
          <w:rFonts w:hint="eastAsia"/>
          <w:color w:val="auto"/>
        </w:rPr>
        <w:t>的定义及责任</w:t>
      </w:r>
      <w:bookmarkEnd w:id="218"/>
    </w:p>
    <w:p>
      <w:pPr>
        <w:adjustRightInd w:val="0"/>
        <w:snapToGrid w:val="0"/>
        <w:spacing w:line="360" w:lineRule="auto"/>
        <w:ind w:firstLine="480" w:firstLineChars="200"/>
        <w:rPr>
          <w:rFonts w:hAnsi="宋体"/>
          <w:color w:val="auto"/>
          <w:sz w:val="24"/>
          <w:szCs w:val="24"/>
        </w:rPr>
      </w:pPr>
      <w:bookmarkStart w:id="219" w:name="_Toc101250656"/>
      <w:r>
        <w:rPr>
          <w:rFonts w:hint="eastAsia" w:hAnsi="宋体"/>
          <w:color w:val="auto"/>
          <w:sz w:val="24"/>
          <w:szCs w:val="24"/>
        </w:rPr>
        <w:t>1、定义</w:t>
      </w:r>
      <w:bookmarkEnd w:id="219"/>
    </w:p>
    <w:p>
      <w:pPr>
        <w:adjustRightInd w:val="0"/>
        <w:snapToGrid w:val="0"/>
        <w:spacing w:line="360" w:lineRule="auto"/>
        <w:ind w:firstLine="480" w:firstLineChars="200"/>
        <w:rPr>
          <w:rFonts w:hAnsi="宋体"/>
          <w:color w:val="auto"/>
          <w:sz w:val="24"/>
          <w:szCs w:val="24"/>
        </w:rPr>
      </w:pPr>
      <w:r>
        <w:rPr>
          <w:rFonts w:hint="eastAsia" w:hAnsi="宋体"/>
          <w:color w:val="auto"/>
          <w:sz w:val="24"/>
          <w:szCs w:val="24"/>
        </w:rPr>
        <w:t>（1）腐败行为：是指提供、给予、接受或索取任何有价值的东西来影响采购人或采购代理在谈判过程或合同实施过程中的行为。</w:t>
      </w:r>
    </w:p>
    <w:p>
      <w:pPr>
        <w:adjustRightInd w:val="0"/>
        <w:snapToGrid w:val="0"/>
        <w:spacing w:line="360" w:lineRule="auto"/>
        <w:ind w:firstLine="480" w:firstLineChars="200"/>
        <w:rPr>
          <w:rFonts w:hAnsi="宋体"/>
          <w:color w:val="auto"/>
          <w:sz w:val="24"/>
          <w:szCs w:val="24"/>
        </w:rPr>
      </w:pPr>
      <w:r>
        <w:rPr>
          <w:rFonts w:hint="eastAsia" w:hAnsi="宋体"/>
          <w:color w:val="auto"/>
          <w:sz w:val="24"/>
          <w:szCs w:val="24"/>
        </w:rPr>
        <w:t>（2）欺诈行为：是指为了影响谈判过程或合同实施过程而谎报事实，损害采购人或采购代理机构的利益，包括供应商之间串通报价（递交响应文件之前和之后），人为地使报价丧失竞争性，剥夺采购人从自由公开竞争所能获得的权益。</w:t>
      </w:r>
    </w:p>
    <w:p>
      <w:pPr>
        <w:adjustRightInd w:val="0"/>
        <w:snapToGrid w:val="0"/>
        <w:spacing w:line="360" w:lineRule="auto"/>
        <w:ind w:firstLine="480" w:firstLineChars="200"/>
        <w:rPr>
          <w:rFonts w:hAnsi="宋体"/>
          <w:color w:val="auto"/>
          <w:sz w:val="24"/>
          <w:szCs w:val="24"/>
        </w:rPr>
      </w:pPr>
      <w:bookmarkStart w:id="220" w:name="_Hlt101797239"/>
      <w:bookmarkEnd w:id="220"/>
      <w:bookmarkStart w:id="221" w:name="_Toc101250657"/>
      <w:r>
        <w:rPr>
          <w:rFonts w:hint="eastAsia" w:hAnsi="宋体"/>
          <w:color w:val="auto"/>
          <w:sz w:val="24"/>
          <w:szCs w:val="24"/>
        </w:rPr>
        <w:t>2、承担责任</w:t>
      </w:r>
      <w:bookmarkEnd w:id="221"/>
    </w:p>
    <w:p>
      <w:pPr>
        <w:tabs>
          <w:tab w:val="left" w:pos="7770"/>
        </w:tabs>
        <w:spacing w:line="360" w:lineRule="auto"/>
        <w:ind w:firstLine="480"/>
        <w:jc w:val="left"/>
        <w:rPr>
          <w:rFonts w:hAnsi="宋体"/>
          <w:color w:val="auto"/>
          <w:sz w:val="24"/>
          <w:szCs w:val="24"/>
        </w:rPr>
      </w:pPr>
      <w:r>
        <w:rPr>
          <w:rFonts w:hint="eastAsia" w:hAnsi="宋体"/>
          <w:color w:val="auto"/>
          <w:sz w:val="24"/>
          <w:szCs w:val="24"/>
        </w:rPr>
        <w:t>如果供应商在本项目竞争中有腐败或欺诈行为，不仅其响应文件将被拒绝，相关人员和单位还要承担相应的法律责任。</w:t>
      </w:r>
    </w:p>
    <w:p>
      <w:pPr>
        <w:widowControl/>
        <w:spacing w:line="360" w:lineRule="auto"/>
        <w:jc w:val="left"/>
        <w:rPr>
          <w:rFonts w:hAnsi="宋体"/>
          <w:color w:val="auto"/>
          <w:sz w:val="24"/>
          <w:szCs w:val="24"/>
        </w:rPr>
      </w:pPr>
      <w:r>
        <w:rPr>
          <w:rFonts w:hAnsi="宋体"/>
          <w:color w:val="auto"/>
          <w:sz w:val="24"/>
          <w:szCs w:val="24"/>
        </w:rPr>
        <w:br w:type="page"/>
      </w:r>
    </w:p>
    <w:p>
      <w:pPr>
        <w:spacing w:line="360" w:lineRule="auto"/>
        <w:rPr>
          <w:rFonts w:hAnsi="宋体"/>
          <w:color w:val="auto"/>
          <w:sz w:val="24"/>
          <w:szCs w:val="24"/>
        </w:rPr>
      </w:pPr>
    </w:p>
    <w:p>
      <w:pPr>
        <w:pStyle w:val="3"/>
        <w:spacing w:before="0" w:after="0" w:line="360" w:lineRule="auto"/>
        <w:rPr>
          <w:color w:val="auto"/>
        </w:rPr>
      </w:pPr>
      <w:bookmarkStart w:id="222" w:name="_Toc462929205"/>
      <w:bookmarkStart w:id="223" w:name="_Toc19943"/>
      <w:r>
        <w:rPr>
          <w:rFonts w:hint="eastAsia"/>
          <w:color w:val="auto"/>
        </w:rPr>
        <w:t>第三部分  采购需求及确定邀请参加采购活动的供应商数量和方式</w:t>
      </w:r>
      <w:bookmarkEnd w:id="222"/>
      <w:bookmarkEnd w:id="223"/>
    </w:p>
    <w:tbl>
      <w:tblPr>
        <w:tblStyle w:val="55"/>
        <w:tblpPr w:leftFromText="180" w:rightFromText="180" w:vertAnchor="text" w:horzAnchor="margin" w:tblpXSpec="center" w:tblpY="786"/>
        <w:tblOverlap w:val="never"/>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4395"/>
        <w:gridCol w:w="1593"/>
        <w:gridCol w:w="1575"/>
        <w:gridCol w:w="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 w:hRule="atLeast"/>
        </w:trPr>
        <w:tc>
          <w:tcPr>
            <w:tcW w:w="1696" w:type="dxa"/>
            <w:vAlign w:val="center"/>
          </w:tcPr>
          <w:p>
            <w:pPr>
              <w:tabs>
                <w:tab w:val="left" w:pos="7770"/>
              </w:tabs>
              <w:spacing w:line="360" w:lineRule="auto"/>
              <w:jc w:val="center"/>
              <w:rPr>
                <w:rFonts w:hAnsi="宋体"/>
                <w:b/>
                <w:color w:val="auto"/>
                <w:sz w:val="24"/>
                <w:szCs w:val="24"/>
              </w:rPr>
            </w:pPr>
            <w:r>
              <w:rPr>
                <w:rFonts w:hint="eastAsia" w:hAnsi="宋体"/>
                <w:b/>
                <w:color w:val="auto"/>
                <w:sz w:val="24"/>
                <w:szCs w:val="24"/>
              </w:rPr>
              <w:t>采购内容</w:t>
            </w:r>
          </w:p>
        </w:tc>
        <w:tc>
          <w:tcPr>
            <w:tcW w:w="4395" w:type="dxa"/>
            <w:vAlign w:val="center"/>
          </w:tcPr>
          <w:p>
            <w:pPr>
              <w:tabs>
                <w:tab w:val="left" w:pos="7770"/>
              </w:tabs>
              <w:spacing w:line="360" w:lineRule="auto"/>
              <w:jc w:val="center"/>
              <w:rPr>
                <w:rFonts w:hAnsi="宋体"/>
                <w:b/>
                <w:color w:val="auto"/>
                <w:sz w:val="24"/>
                <w:szCs w:val="24"/>
              </w:rPr>
            </w:pPr>
            <w:r>
              <w:rPr>
                <w:rFonts w:hint="eastAsia" w:hAnsi="宋体"/>
                <w:b/>
                <w:color w:val="auto"/>
                <w:sz w:val="24"/>
                <w:szCs w:val="24"/>
              </w:rPr>
              <w:t>邀请参加采购活动的供应商数量和方式</w:t>
            </w:r>
          </w:p>
        </w:tc>
        <w:tc>
          <w:tcPr>
            <w:tcW w:w="1593" w:type="dxa"/>
            <w:vAlign w:val="center"/>
          </w:tcPr>
          <w:p>
            <w:pPr>
              <w:tabs>
                <w:tab w:val="left" w:pos="7770"/>
              </w:tabs>
              <w:spacing w:line="360" w:lineRule="auto"/>
              <w:jc w:val="center"/>
              <w:rPr>
                <w:rFonts w:hAnsi="宋体"/>
                <w:b/>
                <w:color w:val="auto"/>
                <w:sz w:val="24"/>
                <w:szCs w:val="24"/>
              </w:rPr>
            </w:pPr>
            <w:r>
              <w:rPr>
                <w:rFonts w:hint="eastAsia" w:hAnsi="宋体"/>
                <w:b/>
                <w:color w:val="auto"/>
                <w:sz w:val="24"/>
                <w:szCs w:val="24"/>
              </w:rPr>
              <w:t>采购预算</w:t>
            </w:r>
          </w:p>
        </w:tc>
        <w:tc>
          <w:tcPr>
            <w:tcW w:w="1575" w:type="dxa"/>
            <w:vAlign w:val="center"/>
          </w:tcPr>
          <w:p>
            <w:pPr>
              <w:tabs>
                <w:tab w:val="left" w:pos="7770"/>
              </w:tabs>
              <w:spacing w:line="360" w:lineRule="auto"/>
              <w:jc w:val="center"/>
              <w:rPr>
                <w:rFonts w:hAnsi="宋体"/>
                <w:b/>
                <w:color w:val="auto"/>
                <w:sz w:val="24"/>
                <w:szCs w:val="24"/>
              </w:rPr>
            </w:pPr>
            <w:r>
              <w:rPr>
                <w:rFonts w:hint="eastAsia" w:hAnsi="宋体"/>
                <w:b/>
                <w:color w:val="auto"/>
                <w:sz w:val="24"/>
                <w:szCs w:val="24"/>
              </w:rPr>
              <w:t>最高限价</w:t>
            </w:r>
          </w:p>
        </w:tc>
        <w:tc>
          <w:tcPr>
            <w:tcW w:w="488" w:type="dxa"/>
            <w:vAlign w:val="center"/>
          </w:tcPr>
          <w:p>
            <w:pPr>
              <w:tabs>
                <w:tab w:val="left" w:pos="7770"/>
              </w:tabs>
              <w:spacing w:line="360" w:lineRule="auto"/>
              <w:jc w:val="center"/>
              <w:rPr>
                <w:rFonts w:hAnsi="宋体"/>
                <w:b/>
                <w:color w:val="auto"/>
                <w:sz w:val="24"/>
                <w:szCs w:val="24"/>
              </w:rPr>
            </w:pPr>
            <w:r>
              <w:rPr>
                <w:rFonts w:hAnsi="宋体"/>
                <w:b/>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1" w:hRule="atLeast"/>
        </w:trPr>
        <w:tc>
          <w:tcPr>
            <w:tcW w:w="1696" w:type="dxa"/>
            <w:vAlign w:val="center"/>
          </w:tcPr>
          <w:p>
            <w:pPr>
              <w:spacing w:line="360" w:lineRule="auto"/>
              <w:jc w:val="center"/>
              <w:rPr>
                <w:rFonts w:hAnsi="宋体"/>
                <w:color w:val="auto"/>
                <w:sz w:val="24"/>
                <w:szCs w:val="24"/>
              </w:rPr>
            </w:pPr>
            <w:r>
              <w:rPr>
                <w:rFonts w:hint="eastAsia" w:hAnsi="宋体"/>
                <w:color w:val="auto"/>
                <w:sz w:val="24"/>
                <w:szCs w:val="24"/>
                <w:lang w:eastAsia="zh-CN"/>
              </w:rPr>
              <w:t>办公家具</w:t>
            </w:r>
          </w:p>
        </w:tc>
        <w:tc>
          <w:tcPr>
            <w:tcW w:w="4395" w:type="dxa"/>
            <w:vAlign w:val="center"/>
          </w:tcPr>
          <w:p>
            <w:pPr>
              <w:tabs>
                <w:tab w:val="left" w:pos="7770"/>
              </w:tabs>
              <w:spacing w:line="360" w:lineRule="auto"/>
              <w:jc w:val="center"/>
              <w:rPr>
                <w:rFonts w:hAnsi="宋体"/>
                <w:color w:val="auto"/>
                <w:sz w:val="24"/>
                <w:szCs w:val="24"/>
              </w:rPr>
            </w:pPr>
            <w:r>
              <w:rPr>
                <w:rFonts w:hint="eastAsia" w:hAnsi="宋体"/>
                <w:color w:val="auto"/>
                <w:sz w:val="24"/>
                <w:szCs w:val="24"/>
              </w:rPr>
              <w:t>在</w:t>
            </w:r>
            <w:r>
              <w:rPr>
                <w:rFonts w:hint="eastAsia" w:hAnsi="宋体"/>
                <w:color w:val="auto"/>
                <w:sz w:val="24"/>
                <w:szCs w:val="24"/>
                <w:lang w:eastAsia="zh-CN"/>
              </w:rPr>
              <w:t>威远投资控股集团有限责任公司官网</w:t>
            </w:r>
            <w:r>
              <w:rPr>
                <w:rFonts w:hAnsi="宋体"/>
                <w:color w:val="auto"/>
                <w:sz w:val="24"/>
                <w:szCs w:val="24"/>
              </w:rPr>
              <w:t>发布公告邀请</w:t>
            </w:r>
            <w:r>
              <w:rPr>
                <w:rFonts w:hint="eastAsia" w:hAnsi="宋体"/>
                <w:color w:val="auto"/>
                <w:sz w:val="24"/>
                <w:szCs w:val="24"/>
              </w:rPr>
              <w:t>不少于三家</w:t>
            </w:r>
            <w:r>
              <w:rPr>
                <w:rFonts w:hAnsi="宋体"/>
                <w:color w:val="auto"/>
                <w:sz w:val="24"/>
                <w:szCs w:val="24"/>
              </w:rPr>
              <w:t>供应商</w:t>
            </w:r>
          </w:p>
        </w:tc>
        <w:tc>
          <w:tcPr>
            <w:tcW w:w="1593" w:type="dxa"/>
            <w:vAlign w:val="center"/>
          </w:tcPr>
          <w:p>
            <w:pPr>
              <w:tabs>
                <w:tab w:val="left" w:pos="7770"/>
              </w:tabs>
              <w:spacing w:line="360" w:lineRule="auto"/>
              <w:jc w:val="center"/>
              <w:rPr>
                <w:rFonts w:hAnsi="宋体"/>
                <w:color w:val="auto"/>
                <w:sz w:val="24"/>
                <w:szCs w:val="24"/>
              </w:rPr>
            </w:pPr>
            <w:r>
              <w:rPr>
                <w:rFonts w:hint="eastAsia" w:hAnsi="宋体"/>
                <w:color w:val="auto"/>
                <w:sz w:val="24"/>
                <w:szCs w:val="24"/>
                <w:lang w:val="en-US" w:eastAsia="zh-CN"/>
              </w:rPr>
              <w:t>78520.00</w:t>
            </w:r>
            <w:r>
              <w:rPr>
                <w:rFonts w:hAnsi="宋体"/>
                <w:color w:val="auto"/>
                <w:sz w:val="24"/>
                <w:szCs w:val="24"/>
              </w:rPr>
              <w:t>元</w:t>
            </w:r>
          </w:p>
        </w:tc>
        <w:tc>
          <w:tcPr>
            <w:tcW w:w="1575" w:type="dxa"/>
            <w:vAlign w:val="center"/>
          </w:tcPr>
          <w:p>
            <w:pPr>
              <w:tabs>
                <w:tab w:val="left" w:pos="7770"/>
              </w:tabs>
              <w:spacing w:line="360" w:lineRule="auto"/>
              <w:jc w:val="center"/>
              <w:rPr>
                <w:rFonts w:hAnsi="宋体"/>
                <w:color w:val="auto"/>
                <w:sz w:val="24"/>
                <w:szCs w:val="24"/>
              </w:rPr>
            </w:pPr>
            <w:r>
              <w:rPr>
                <w:rFonts w:hint="eastAsia" w:hAnsi="宋体"/>
                <w:color w:val="auto"/>
                <w:sz w:val="24"/>
                <w:szCs w:val="24"/>
                <w:lang w:val="en-US" w:eastAsia="zh-CN"/>
              </w:rPr>
              <w:t>78520.00</w:t>
            </w:r>
            <w:r>
              <w:rPr>
                <w:rFonts w:hAnsi="宋体"/>
                <w:color w:val="auto"/>
                <w:sz w:val="24"/>
                <w:szCs w:val="24"/>
              </w:rPr>
              <w:t>元</w:t>
            </w:r>
          </w:p>
        </w:tc>
        <w:tc>
          <w:tcPr>
            <w:tcW w:w="488" w:type="dxa"/>
            <w:vAlign w:val="center"/>
          </w:tcPr>
          <w:p>
            <w:pPr>
              <w:tabs>
                <w:tab w:val="left" w:pos="7770"/>
              </w:tabs>
              <w:spacing w:line="360" w:lineRule="auto"/>
              <w:jc w:val="center"/>
              <w:rPr>
                <w:rFonts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1" w:hRule="atLeast"/>
        </w:trPr>
        <w:tc>
          <w:tcPr>
            <w:tcW w:w="1696" w:type="dxa"/>
            <w:vAlign w:val="center"/>
          </w:tcPr>
          <w:p>
            <w:pPr>
              <w:spacing w:line="360" w:lineRule="auto"/>
              <w:jc w:val="center"/>
              <w:rPr>
                <w:rFonts w:hint="eastAsia" w:hAnsi="宋体"/>
                <w:color w:val="auto"/>
                <w:sz w:val="24"/>
                <w:szCs w:val="24"/>
                <w:lang w:eastAsia="zh-CN"/>
              </w:rPr>
            </w:pPr>
            <w:r>
              <w:rPr>
                <w:rFonts w:hint="eastAsia" w:hAnsi="宋体"/>
                <w:color w:val="auto"/>
                <w:sz w:val="24"/>
                <w:szCs w:val="24"/>
              </w:rPr>
              <w:t>连界镇污水处理厂化验室</w:t>
            </w:r>
            <w:r>
              <w:rPr>
                <w:rFonts w:hint="eastAsia" w:hAnsi="宋体"/>
                <w:color w:val="auto"/>
                <w:sz w:val="24"/>
                <w:szCs w:val="24"/>
                <w:lang w:eastAsia="zh-CN"/>
              </w:rPr>
              <w:t>布局设计、主要设备及器具和常规药剂采购</w:t>
            </w:r>
          </w:p>
        </w:tc>
        <w:tc>
          <w:tcPr>
            <w:tcW w:w="4395" w:type="dxa"/>
            <w:vAlign w:val="center"/>
          </w:tcPr>
          <w:p>
            <w:pPr>
              <w:tabs>
                <w:tab w:val="left" w:pos="7770"/>
              </w:tabs>
              <w:spacing w:line="360" w:lineRule="auto"/>
              <w:jc w:val="center"/>
              <w:rPr>
                <w:rFonts w:hint="eastAsia" w:hAnsi="宋体"/>
                <w:color w:val="auto"/>
                <w:sz w:val="24"/>
                <w:szCs w:val="24"/>
              </w:rPr>
            </w:pPr>
            <w:r>
              <w:rPr>
                <w:rFonts w:hint="eastAsia" w:hAnsi="宋体"/>
                <w:color w:val="auto"/>
                <w:sz w:val="24"/>
                <w:szCs w:val="24"/>
              </w:rPr>
              <w:t>在</w:t>
            </w:r>
            <w:r>
              <w:rPr>
                <w:rFonts w:hint="eastAsia" w:hAnsi="宋体"/>
                <w:color w:val="auto"/>
                <w:sz w:val="24"/>
                <w:szCs w:val="24"/>
                <w:lang w:eastAsia="zh-CN"/>
              </w:rPr>
              <w:t>威远投资控股集团有限责任公司官网</w:t>
            </w:r>
            <w:r>
              <w:rPr>
                <w:rFonts w:hAnsi="宋体"/>
                <w:color w:val="auto"/>
                <w:sz w:val="24"/>
                <w:szCs w:val="24"/>
              </w:rPr>
              <w:t>发布公告邀请</w:t>
            </w:r>
            <w:r>
              <w:rPr>
                <w:rFonts w:hint="eastAsia" w:hAnsi="宋体"/>
                <w:color w:val="auto"/>
                <w:sz w:val="24"/>
                <w:szCs w:val="24"/>
              </w:rPr>
              <w:t>不少于三家</w:t>
            </w:r>
            <w:r>
              <w:rPr>
                <w:rFonts w:hAnsi="宋体"/>
                <w:color w:val="auto"/>
                <w:sz w:val="24"/>
                <w:szCs w:val="24"/>
              </w:rPr>
              <w:t>供应商</w:t>
            </w:r>
          </w:p>
        </w:tc>
        <w:tc>
          <w:tcPr>
            <w:tcW w:w="1593" w:type="dxa"/>
            <w:vAlign w:val="center"/>
          </w:tcPr>
          <w:p>
            <w:pPr>
              <w:tabs>
                <w:tab w:val="left" w:pos="7770"/>
              </w:tabs>
              <w:spacing w:line="360" w:lineRule="auto"/>
              <w:jc w:val="center"/>
              <w:rPr>
                <w:rFonts w:hint="eastAsia" w:hAnsi="宋体"/>
                <w:color w:val="auto"/>
                <w:sz w:val="24"/>
                <w:szCs w:val="24"/>
                <w:lang w:val="en-US" w:eastAsia="zh-CN"/>
              </w:rPr>
            </w:pPr>
            <w:r>
              <w:rPr>
                <w:rFonts w:hint="eastAsia" w:hAnsi="宋体"/>
                <w:color w:val="auto"/>
                <w:sz w:val="24"/>
                <w:szCs w:val="24"/>
                <w:lang w:val="en-US" w:eastAsia="zh-CN"/>
              </w:rPr>
              <w:t>149000.00元</w:t>
            </w:r>
          </w:p>
        </w:tc>
        <w:tc>
          <w:tcPr>
            <w:tcW w:w="1575" w:type="dxa"/>
            <w:vAlign w:val="center"/>
          </w:tcPr>
          <w:p>
            <w:pPr>
              <w:tabs>
                <w:tab w:val="left" w:pos="7770"/>
              </w:tabs>
              <w:spacing w:line="360" w:lineRule="auto"/>
              <w:jc w:val="center"/>
              <w:rPr>
                <w:rFonts w:hint="eastAsia" w:hAnsi="宋体"/>
                <w:color w:val="auto"/>
                <w:sz w:val="24"/>
                <w:szCs w:val="24"/>
                <w:lang w:val="en-US" w:eastAsia="zh-CN"/>
              </w:rPr>
            </w:pPr>
            <w:r>
              <w:rPr>
                <w:rFonts w:hint="eastAsia" w:hAnsi="宋体"/>
                <w:color w:val="auto"/>
                <w:sz w:val="24"/>
                <w:szCs w:val="24"/>
                <w:lang w:val="en-US" w:eastAsia="zh-CN"/>
              </w:rPr>
              <w:t>149000.00元</w:t>
            </w:r>
          </w:p>
        </w:tc>
        <w:tc>
          <w:tcPr>
            <w:tcW w:w="488" w:type="dxa"/>
            <w:vAlign w:val="center"/>
          </w:tcPr>
          <w:p>
            <w:pPr>
              <w:tabs>
                <w:tab w:val="left" w:pos="7770"/>
              </w:tabs>
              <w:spacing w:line="360" w:lineRule="auto"/>
              <w:jc w:val="center"/>
              <w:rPr>
                <w:rFonts w:hAnsi="宋体"/>
                <w:color w:val="auto"/>
                <w:sz w:val="24"/>
                <w:szCs w:val="24"/>
              </w:rPr>
            </w:pPr>
          </w:p>
        </w:tc>
      </w:tr>
    </w:tbl>
    <w:p>
      <w:pPr>
        <w:spacing w:line="360" w:lineRule="auto"/>
        <w:rPr>
          <w:b/>
          <w:color w:val="auto"/>
          <w:kern w:val="44"/>
          <w:sz w:val="32"/>
          <w:szCs w:val="72"/>
        </w:rPr>
      </w:pPr>
    </w:p>
    <w:p>
      <w:pPr>
        <w:spacing w:line="360" w:lineRule="auto"/>
        <w:jc w:val="center"/>
        <w:rPr>
          <w:b/>
          <w:color w:val="auto"/>
          <w:kern w:val="44"/>
          <w:sz w:val="32"/>
          <w:szCs w:val="72"/>
        </w:rPr>
      </w:pPr>
    </w:p>
    <w:p>
      <w:pPr>
        <w:widowControl/>
        <w:spacing w:line="360" w:lineRule="auto"/>
        <w:jc w:val="left"/>
        <w:rPr>
          <w:b/>
          <w:color w:val="auto"/>
          <w:kern w:val="44"/>
          <w:sz w:val="32"/>
          <w:szCs w:val="72"/>
        </w:rPr>
      </w:pPr>
      <w:bookmarkStart w:id="224" w:name="_Toc462929206"/>
      <w:r>
        <w:rPr>
          <w:color w:val="auto"/>
          <w:szCs w:val="72"/>
        </w:rPr>
        <w:br w:type="page"/>
      </w:r>
    </w:p>
    <w:p>
      <w:pPr>
        <w:pStyle w:val="3"/>
        <w:spacing w:before="0" w:after="0" w:line="360" w:lineRule="auto"/>
        <w:rPr>
          <w:color w:val="auto"/>
        </w:rPr>
      </w:pPr>
      <w:bookmarkStart w:id="225" w:name="_Toc28996"/>
      <w:r>
        <w:rPr>
          <w:rFonts w:hint="eastAsia"/>
          <w:color w:val="auto"/>
        </w:rPr>
        <w:t xml:space="preserve">第四部分  </w:t>
      </w:r>
      <w:bookmarkEnd w:id="224"/>
      <w:r>
        <w:rPr>
          <w:rFonts w:hint="eastAsia"/>
          <w:color w:val="auto"/>
        </w:rPr>
        <w:t>供应商、货物、服务的资格条件要求</w:t>
      </w:r>
      <w:bookmarkEnd w:id="225"/>
    </w:p>
    <w:p>
      <w:pPr>
        <w:pStyle w:val="4"/>
        <w:spacing w:before="0" w:after="0"/>
        <w:rPr>
          <w:rFonts w:ascii="宋体" w:hAnsi="宋体" w:eastAsia="宋体"/>
          <w:bCs/>
          <w:color w:val="auto"/>
          <w:kern w:val="0"/>
          <w:sz w:val="24"/>
          <w:szCs w:val="24"/>
        </w:rPr>
      </w:pPr>
      <w:r>
        <w:rPr>
          <w:rFonts w:hint="eastAsia" w:ascii="宋体" w:hAnsi="宋体" w:eastAsia="宋体"/>
          <w:bCs/>
          <w:color w:val="auto"/>
          <w:kern w:val="0"/>
          <w:sz w:val="24"/>
          <w:szCs w:val="24"/>
        </w:rPr>
        <w:t>一、供应商、货物、服务的资格条件及其他类似效力要求</w:t>
      </w:r>
    </w:p>
    <w:p>
      <w:pPr>
        <w:tabs>
          <w:tab w:val="left" w:pos="780"/>
          <w:tab w:val="left" w:pos="3480"/>
        </w:tabs>
        <w:snapToGrid w:val="0"/>
        <w:spacing w:line="360" w:lineRule="auto"/>
        <w:rPr>
          <w:rFonts w:hAnsi="宋体"/>
          <w:b/>
          <w:bCs/>
          <w:color w:val="auto"/>
          <w:sz w:val="24"/>
          <w:szCs w:val="24"/>
        </w:rPr>
      </w:pPr>
      <w:r>
        <w:rPr>
          <w:rFonts w:hint="eastAsia" w:hAnsi="宋体"/>
          <w:b/>
          <w:bCs/>
          <w:color w:val="auto"/>
          <w:sz w:val="24"/>
          <w:szCs w:val="24"/>
        </w:rPr>
        <w:t>（一）资格要求：</w:t>
      </w:r>
    </w:p>
    <w:p>
      <w:pPr>
        <w:spacing w:line="360" w:lineRule="auto"/>
        <w:rPr>
          <w:rFonts w:hAnsi="宋体" w:cs="宋体"/>
          <w:b/>
          <w:bCs/>
          <w:color w:val="auto"/>
          <w:sz w:val="24"/>
          <w:szCs w:val="24"/>
        </w:rPr>
      </w:pPr>
      <w:r>
        <w:rPr>
          <w:rFonts w:hint="eastAsia" w:hAnsi="宋体" w:cs="宋体"/>
          <w:b/>
          <w:bCs/>
          <w:color w:val="auto"/>
          <w:sz w:val="24"/>
          <w:szCs w:val="24"/>
        </w:rPr>
        <w:t>1.供应商应具备《中华人民共和国政府采购法》第二十二条规定的下列条件：</w:t>
      </w:r>
    </w:p>
    <w:p>
      <w:pPr>
        <w:spacing w:line="360" w:lineRule="auto"/>
        <w:ind w:firstLine="720" w:firstLineChars="300"/>
        <w:rPr>
          <w:rFonts w:hint="eastAsia" w:hAnsi="宋体" w:eastAsia="宋体" w:cs="宋体"/>
          <w:color w:val="auto"/>
          <w:sz w:val="24"/>
          <w:szCs w:val="24"/>
          <w:lang w:val="en-US" w:eastAsia="zh-CN"/>
        </w:rPr>
      </w:pPr>
      <w:r>
        <w:rPr>
          <w:rFonts w:hint="eastAsia" w:hAnsi="宋体" w:cs="宋体"/>
          <w:color w:val="auto"/>
          <w:sz w:val="24"/>
          <w:szCs w:val="24"/>
        </w:rPr>
        <w:t>1）具有独立承担民事责任的能力；</w:t>
      </w:r>
      <w:r>
        <w:rPr>
          <w:rFonts w:hint="eastAsia" w:hAnsi="宋体" w:cs="宋体"/>
          <w:color w:val="auto"/>
          <w:sz w:val="24"/>
          <w:szCs w:val="24"/>
          <w:lang w:val="en-US" w:eastAsia="zh-CN"/>
        </w:rPr>
        <w:t>-</w:t>
      </w:r>
    </w:p>
    <w:p>
      <w:pPr>
        <w:spacing w:line="360" w:lineRule="auto"/>
        <w:ind w:firstLine="720" w:firstLineChars="300"/>
        <w:rPr>
          <w:rFonts w:hAnsi="宋体" w:cs="宋体"/>
          <w:color w:val="auto"/>
          <w:sz w:val="24"/>
          <w:szCs w:val="24"/>
        </w:rPr>
      </w:pPr>
      <w:r>
        <w:rPr>
          <w:rFonts w:hint="eastAsia" w:hAnsi="宋体" w:cs="宋体"/>
          <w:color w:val="auto"/>
          <w:sz w:val="24"/>
          <w:szCs w:val="24"/>
        </w:rPr>
        <w:t>2）具有良好的商业信誉和健全的财务会计制度；</w:t>
      </w:r>
    </w:p>
    <w:p>
      <w:pPr>
        <w:spacing w:line="360" w:lineRule="auto"/>
        <w:ind w:firstLine="720" w:firstLineChars="300"/>
        <w:rPr>
          <w:rFonts w:hAnsi="宋体" w:cs="宋体"/>
          <w:color w:val="auto"/>
          <w:sz w:val="24"/>
          <w:szCs w:val="24"/>
        </w:rPr>
      </w:pPr>
      <w:r>
        <w:rPr>
          <w:rFonts w:hint="eastAsia" w:hAnsi="宋体" w:cs="宋体"/>
          <w:color w:val="auto"/>
          <w:sz w:val="24"/>
          <w:szCs w:val="24"/>
        </w:rPr>
        <w:t>3）具有履行合同所必需的设备和专业技术能力；</w:t>
      </w:r>
    </w:p>
    <w:p>
      <w:pPr>
        <w:spacing w:line="360" w:lineRule="auto"/>
        <w:ind w:firstLine="720" w:firstLineChars="300"/>
        <w:rPr>
          <w:rFonts w:hAnsi="宋体" w:cs="宋体"/>
          <w:color w:val="auto"/>
          <w:sz w:val="24"/>
          <w:szCs w:val="24"/>
        </w:rPr>
      </w:pPr>
      <w:r>
        <w:rPr>
          <w:rFonts w:hint="eastAsia" w:hAnsi="宋体" w:cs="宋体"/>
          <w:color w:val="auto"/>
          <w:sz w:val="24"/>
          <w:szCs w:val="24"/>
        </w:rPr>
        <w:t>4）有依法缴纳税收和社会保障资金的良好记录；</w:t>
      </w:r>
    </w:p>
    <w:p>
      <w:pPr>
        <w:spacing w:line="360" w:lineRule="auto"/>
        <w:ind w:firstLine="720" w:firstLineChars="300"/>
        <w:rPr>
          <w:rFonts w:hAnsi="宋体" w:cs="宋体"/>
          <w:color w:val="auto"/>
          <w:sz w:val="24"/>
          <w:szCs w:val="24"/>
        </w:rPr>
      </w:pPr>
      <w:r>
        <w:rPr>
          <w:rFonts w:hint="eastAsia" w:hAnsi="宋体" w:cs="宋体"/>
          <w:color w:val="auto"/>
          <w:sz w:val="24"/>
          <w:szCs w:val="24"/>
        </w:rPr>
        <w:t>5）参加政府采购活动前三年内，在经营活动中没有重大违法记录；</w:t>
      </w:r>
    </w:p>
    <w:p>
      <w:pPr>
        <w:spacing w:line="360" w:lineRule="auto"/>
        <w:ind w:firstLine="720" w:firstLineChars="300"/>
        <w:rPr>
          <w:rFonts w:hint="eastAsia" w:hAnsi="宋体" w:cs="宋体"/>
          <w:color w:val="auto"/>
          <w:sz w:val="24"/>
          <w:szCs w:val="24"/>
        </w:rPr>
      </w:pPr>
      <w:r>
        <w:rPr>
          <w:rFonts w:hint="eastAsia" w:hAnsi="宋体" w:cs="宋体"/>
          <w:color w:val="auto"/>
          <w:sz w:val="24"/>
          <w:szCs w:val="24"/>
        </w:rPr>
        <w:t>6）法律、行政法规规定的其他条件；</w:t>
      </w:r>
    </w:p>
    <w:p>
      <w:pPr>
        <w:pStyle w:val="257"/>
        <w:ind w:firstLine="0" w:firstLineChars="0"/>
        <w:rPr>
          <w:b/>
          <w:color w:val="000000"/>
          <w:sz w:val="24"/>
        </w:rPr>
      </w:pPr>
      <w:r>
        <w:rPr>
          <w:rFonts w:hint="eastAsia" w:hAnsi="宋体" w:cs="宋体"/>
          <w:b/>
          <w:color w:val="000000"/>
          <w:sz w:val="24"/>
        </w:rPr>
        <w:t>2.根据采购项目提出的特</w:t>
      </w:r>
      <w:r>
        <w:rPr>
          <w:rFonts w:hint="eastAsia"/>
          <w:b/>
          <w:color w:val="000000"/>
          <w:sz w:val="24"/>
        </w:rPr>
        <w:t>殊条件：</w:t>
      </w:r>
    </w:p>
    <w:p>
      <w:pPr>
        <w:spacing w:line="360" w:lineRule="auto"/>
        <w:ind w:firstLine="720" w:firstLineChars="300"/>
        <w:rPr>
          <w:rFonts w:hint="eastAsia" w:hAnsi="宋体"/>
          <w:color w:val="000000"/>
          <w:sz w:val="24"/>
        </w:rPr>
      </w:pPr>
      <w:r>
        <w:rPr>
          <w:rFonts w:hint="eastAsia" w:hAnsi="宋体"/>
          <w:color w:val="000000"/>
          <w:sz w:val="24"/>
        </w:rPr>
        <w:t>1</w:t>
      </w:r>
      <w:r>
        <w:rPr>
          <w:rFonts w:hint="eastAsia" w:hAnsi="宋体"/>
          <w:color w:val="000000"/>
          <w:sz w:val="24"/>
          <w:lang w:eastAsia="zh-CN"/>
        </w:rPr>
        <w:t>）</w:t>
      </w:r>
      <w:r>
        <w:rPr>
          <w:rFonts w:hint="eastAsia" w:hAnsi="宋体"/>
          <w:color w:val="000000"/>
          <w:sz w:val="24"/>
        </w:rPr>
        <w:t>本项目参加采购活动的</w:t>
      </w:r>
      <w:r>
        <w:rPr>
          <w:rFonts w:hint="eastAsia" w:hAnsi="宋体"/>
          <w:color w:val="000000"/>
          <w:sz w:val="24"/>
          <w:lang w:eastAsia="zh-CN"/>
        </w:rPr>
        <w:t>供应商</w:t>
      </w:r>
      <w:r>
        <w:rPr>
          <w:rFonts w:hint="eastAsia" w:hAnsi="宋体"/>
          <w:color w:val="000000"/>
          <w:sz w:val="24"/>
        </w:rPr>
        <w:t>在前三年内不得具有行贿犯罪记录。</w:t>
      </w:r>
    </w:p>
    <w:p>
      <w:pPr>
        <w:spacing w:line="360" w:lineRule="auto"/>
        <w:rPr>
          <w:rFonts w:hint="eastAsia" w:hAnsi="宋体"/>
          <w:b/>
          <w:bCs/>
          <w:color w:val="auto"/>
          <w:sz w:val="24"/>
          <w:szCs w:val="24"/>
        </w:rPr>
      </w:pPr>
      <w:r>
        <w:rPr>
          <w:rFonts w:hint="eastAsia" w:hAnsi="宋体"/>
          <w:b/>
          <w:bCs/>
          <w:color w:val="auto"/>
          <w:sz w:val="24"/>
          <w:szCs w:val="24"/>
        </w:rPr>
        <w:t>（二）资质性要求：</w:t>
      </w:r>
      <w:r>
        <w:rPr>
          <w:rFonts w:hint="eastAsia" w:hAnsi="宋体"/>
          <w:b/>
          <w:bCs/>
          <w:color w:val="auto"/>
          <w:sz w:val="24"/>
          <w:szCs w:val="24"/>
          <w:lang w:eastAsia="zh-CN"/>
        </w:rPr>
        <w:t>无。</w:t>
      </w:r>
    </w:p>
    <w:p>
      <w:pPr>
        <w:numPr>
          <w:ilvl w:val="0"/>
          <w:numId w:val="2"/>
        </w:numPr>
        <w:spacing w:line="360" w:lineRule="auto"/>
        <w:rPr>
          <w:rFonts w:hint="eastAsia" w:hAnsi="宋体"/>
          <w:color w:val="auto"/>
          <w:sz w:val="24"/>
          <w:szCs w:val="24"/>
        </w:rPr>
      </w:pPr>
      <w:r>
        <w:rPr>
          <w:rFonts w:hint="eastAsia" w:hAnsi="宋体"/>
          <w:b/>
          <w:bCs/>
          <w:color w:val="auto"/>
          <w:sz w:val="24"/>
          <w:szCs w:val="24"/>
        </w:rPr>
        <w:t>其他类似效力要求：</w:t>
      </w:r>
      <w:r>
        <w:rPr>
          <w:rFonts w:hint="eastAsia" w:hAnsi="宋体"/>
          <w:color w:val="auto"/>
          <w:sz w:val="24"/>
          <w:szCs w:val="24"/>
        </w:rPr>
        <w:t>按本谈判文件要求交纳谈判保证金；供应商法定代表人参加或授权代表参加本次谈判活动的合法代表。</w:t>
      </w:r>
    </w:p>
    <w:p>
      <w:pPr>
        <w:spacing w:line="360" w:lineRule="auto"/>
        <w:ind w:left="723" w:hanging="723" w:hangingChars="300"/>
        <w:rPr>
          <w:rFonts w:hint="eastAsia" w:hAnsi="宋体"/>
          <w:b/>
          <w:bCs/>
          <w:color w:val="auto"/>
          <w:sz w:val="24"/>
          <w:szCs w:val="24"/>
        </w:rPr>
      </w:pPr>
    </w:p>
    <w:p>
      <w:pPr>
        <w:spacing w:line="360" w:lineRule="auto"/>
        <w:ind w:left="723" w:hanging="723" w:hangingChars="300"/>
        <w:rPr>
          <w:rFonts w:hint="eastAsia" w:hAnsi="宋体"/>
          <w:b/>
          <w:bCs/>
          <w:color w:val="auto"/>
          <w:sz w:val="24"/>
          <w:szCs w:val="24"/>
        </w:rPr>
      </w:pPr>
    </w:p>
    <w:p>
      <w:pPr>
        <w:spacing w:line="360" w:lineRule="auto"/>
        <w:ind w:left="723" w:hanging="723" w:hangingChars="300"/>
        <w:rPr>
          <w:rFonts w:hint="eastAsia" w:hAnsi="宋体"/>
          <w:b/>
          <w:bCs/>
          <w:color w:val="auto"/>
          <w:sz w:val="24"/>
          <w:szCs w:val="24"/>
        </w:rPr>
      </w:pPr>
    </w:p>
    <w:p>
      <w:pPr>
        <w:spacing w:line="360" w:lineRule="auto"/>
        <w:ind w:left="723" w:hanging="723" w:hangingChars="300"/>
        <w:rPr>
          <w:rFonts w:hint="eastAsia" w:hAnsi="宋体"/>
          <w:b/>
          <w:bCs/>
          <w:color w:val="auto"/>
          <w:sz w:val="24"/>
          <w:szCs w:val="24"/>
        </w:rPr>
      </w:pPr>
    </w:p>
    <w:p>
      <w:pPr>
        <w:spacing w:line="360" w:lineRule="auto"/>
        <w:ind w:left="723" w:hanging="723" w:hangingChars="300"/>
        <w:rPr>
          <w:rFonts w:hint="eastAsia" w:hAnsi="宋体"/>
          <w:b/>
          <w:bCs/>
          <w:color w:val="auto"/>
          <w:sz w:val="24"/>
          <w:szCs w:val="24"/>
        </w:rPr>
      </w:pPr>
    </w:p>
    <w:p>
      <w:pPr>
        <w:spacing w:line="360" w:lineRule="auto"/>
        <w:ind w:left="723" w:hanging="723" w:hangingChars="300"/>
        <w:rPr>
          <w:rFonts w:hint="eastAsia" w:hAnsi="宋体"/>
          <w:b/>
          <w:bCs/>
          <w:color w:val="auto"/>
          <w:sz w:val="24"/>
          <w:szCs w:val="24"/>
        </w:rPr>
      </w:pPr>
    </w:p>
    <w:p>
      <w:pPr>
        <w:spacing w:line="360" w:lineRule="auto"/>
        <w:ind w:left="723" w:hanging="723" w:hangingChars="300"/>
        <w:rPr>
          <w:rFonts w:hint="eastAsia" w:hAnsi="宋体"/>
          <w:b/>
          <w:bCs/>
          <w:color w:val="auto"/>
          <w:sz w:val="24"/>
          <w:szCs w:val="24"/>
        </w:rPr>
      </w:pPr>
    </w:p>
    <w:p>
      <w:pPr>
        <w:spacing w:line="360" w:lineRule="auto"/>
        <w:ind w:left="723" w:hanging="723" w:hangingChars="300"/>
        <w:rPr>
          <w:rFonts w:hint="eastAsia" w:hAnsi="宋体"/>
          <w:b/>
          <w:bCs/>
          <w:color w:val="auto"/>
          <w:sz w:val="24"/>
          <w:szCs w:val="24"/>
        </w:rPr>
      </w:pPr>
    </w:p>
    <w:p>
      <w:pPr>
        <w:spacing w:line="360" w:lineRule="auto"/>
        <w:ind w:left="723" w:hanging="723" w:hangingChars="300"/>
        <w:rPr>
          <w:rFonts w:hint="eastAsia" w:hAnsi="宋体"/>
          <w:b/>
          <w:bCs/>
          <w:color w:val="auto"/>
          <w:sz w:val="24"/>
          <w:szCs w:val="24"/>
        </w:rPr>
      </w:pPr>
    </w:p>
    <w:p>
      <w:pPr>
        <w:spacing w:line="360" w:lineRule="auto"/>
        <w:ind w:left="723" w:hanging="723" w:hangingChars="300"/>
        <w:rPr>
          <w:rFonts w:hint="eastAsia" w:hAnsi="宋体"/>
          <w:b/>
          <w:bCs/>
          <w:color w:val="auto"/>
          <w:sz w:val="24"/>
          <w:szCs w:val="24"/>
        </w:rPr>
      </w:pPr>
    </w:p>
    <w:p>
      <w:pPr>
        <w:spacing w:line="360" w:lineRule="auto"/>
        <w:ind w:left="723" w:hanging="723" w:hangingChars="300"/>
        <w:rPr>
          <w:rFonts w:hint="eastAsia" w:hAnsi="宋体"/>
          <w:b/>
          <w:bCs/>
          <w:color w:val="auto"/>
          <w:sz w:val="24"/>
          <w:szCs w:val="24"/>
        </w:rPr>
      </w:pPr>
    </w:p>
    <w:p>
      <w:pPr>
        <w:spacing w:line="360" w:lineRule="auto"/>
        <w:ind w:left="723" w:hanging="723" w:hangingChars="300"/>
        <w:rPr>
          <w:rFonts w:hint="eastAsia" w:hAnsi="宋体"/>
          <w:b/>
          <w:bCs/>
          <w:color w:val="auto"/>
          <w:sz w:val="24"/>
          <w:szCs w:val="24"/>
        </w:rPr>
      </w:pPr>
    </w:p>
    <w:p>
      <w:pPr>
        <w:spacing w:line="360" w:lineRule="auto"/>
        <w:ind w:left="723" w:hanging="723" w:hangingChars="300"/>
        <w:rPr>
          <w:rFonts w:hint="eastAsia" w:hAnsi="宋体"/>
          <w:b/>
          <w:bCs/>
          <w:color w:val="auto"/>
          <w:sz w:val="24"/>
          <w:szCs w:val="24"/>
        </w:rPr>
      </w:pPr>
    </w:p>
    <w:p>
      <w:pPr>
        <w:spacing w:line="360" w:lineRule="auto"/>
        <w:ind w:left="723" w:hanging="723" w:hangingChars="300"/>
        <w:rPr>
          <w:rFonts w:hint="eastAsia" w:hAnsi="宋体"/>
          <w:b/>
          <w:bCs/>
          <w:color w:val="auto"/>
          <w:sz w:val="24"/>
          <w:szCs w:val="24"/>
        </w:rPr>
      </w:pPr>
    </w:p>
    <w:p>
      <w:pPr>
        <w:spacing w:line="360" w:lineRule="auto"/>
        <w:ind w:left="723" w:hanging="723" w:hangingChars="300"/>
        <w:rPr>
          <w:rFonts w:hint="eastAsia" w:hAnsi="宋体"/>
          <w:b/>
          <w:bCs/>
          <w:color w:val="auto"/>
          <w:sz w:val="24"/>
          <w:szCs w:val="24"/>
        </w:rPr>
      </w:pPr>
    </w:p>
    <w:p>
      <w:pPr>
        <w:spacing w:line="360" w:lineRule="auto"/>
        <w:ind w:left="723" w:hanging="723" w:hangingChars="300"/>
        <w:rPr>
          <w:rFonts w:hAnsi="宋体"/>
          <w:b/>
          <w:bCs/>
          <w:color w:val="auto"/>
          <w:sz w:val="24"/>
          <w:szCs w:val="24"/>
        </w:rPr>
      </w:pPr>
      <w:r>
        <w:rPr>
          <w:rFonts w:hint="eastAsia" w:hAnsi="宋体"/>
          <w:b/>
          <w:bCs/>
          <w:color w:val="auto"/>
          <w:sz w:val="24"/>
          <w:szCs w:val="24"/>
        </w:rPr>
        <w:t>二、应当提供的货物或服务的资格条件及其他类似效力要求</w:t>
      </w:r>
    </w:p>
    <w:p>
      <w:pPr>
        <w:spacing w:line="360" w:lineRule="auto"/>
        <w:rPr>
          <w:rFonts w:hAnsi="宋体" w:cs="宋体"/>
          <w:b/>
          <w:bCs/>
          <w:color w:val="auto"/>
          <w:sz w:val="24"/>
          <w:highlight w:val="none"/>
        </w:rPr>
      </w:pPr>
      <w:r>
        <w:rPr>
          <w:rFonts w:hint="eastAsia" w:hAnsi="宋体"/>
          <w:b/>
          <w:bCs/>
          <w:color w:val="auto"/>
          <w:sz w:val="24"/>
          <w:szCs w:val="24"/>
          <w:highlight w:val="none"/>
        </w:rPr>
        <w:t>（一）资格要求：</w:t>
      </w:r>
      <w:r>
        <w:rPr>
          <w:rFonts w:hint="eastAsia" w:hAnsi="宋体"/>
          <w:b/>
          <w:bCs/>
          <w:color w:val="auto"/>
          <w:sz w:val="24"/>
          <w:szCs w:val="24"/>
          <w:highlight w:val="none"/>
          <w:lang w:eastAsia="zh-CN"/>
        </w:rPr>
        <w:t>无。</w:t>
      </w:r>
    </w:p>
    <w:p>
      <w:pPr>
        <w:spacing w:line="360" w:lineRule="auto"/>
        <w:rPr>
          <w:rFonts w:hint="eastAsia" w:hAnsi="宋体" w:eastAsia="宋体"/>
          <w:b/>
          <w:bCs/>
          <w:color w:val="auto"/>
          <w:sz w:val="24"/>
          <w:szCs w:val="24"/>
          <w:highlight w:val="none"/>
          <w:lang w:eastAsia="zh-CN"/>
        </w:rPr>
      </w:pPr>
      <w:r>
        <w:rPr>
          <w:rFonts w:hint="eastAsia" w:hAnsi="宋体"/>
          <w:b/>
          <w:bCs/>
          <w:color w:val="auto"/>
          <w:sz w:val="24"/>
          <w:szCs w:val="24"/>
          <w:highlight w:val="none"/>
        </w:rPr>
        <w:t>（二）资质性要求：</w:t>
      </w:r>
    </w:p>
    <w:p>
      <w:pPr>
        <w:spacing w:line="360" w:lineRule="auto"/>
        <w:rPr>
          <w:rFonts w:hAnsi="宋体"/>
          <w:color w:val="auto"/>
          <w:sz w:val="24"/>
          <w:szCs w:val="24"/>
        </w:rPr>
      </w:pPr>
      <w:r>
        <w:rPr>
          <w:rFonts w:hint="eastAsia" w:hAnsi="宋体"/>
          <w:b/>
          <w:bCs/>
          <w:color w:val="auto"/>
          <w:sz w:val="24"/>
          <w:szCs w:val="24"/>
          <w:highlight w:val="none"/>
        </w:rPr>
        <w:t>（三）其他类似效力要求：</w:t>
      </w:r>
      <w:r>
        <w:rPr>
          <w:rFonts w:hint="eastAsia"/>
          <w:b/>
          <w:bCs/>
          <w:color w:val="auto"/>
          <w:sz w:val="24"/>
          <w:highlight w:val="none"/>
          <w:lang w:eastAsia="zh-CN"/>
        </w:rPr>
        <w:t>无</w:t>
      </w:r>
      <w:r>
        <w:rPr>
          <w:rFonts w:hint="eastAsia" w:hAnsi="宋体"/>
          <w:b/>
          <w:bCs/>
          <w:color w:val="auto"/>
          <w:sz w:val="24"/>
          <w:szCs w:val="24"/>
          <w:highlight w:val="none"/>
        </w:rPr>
        <w:t>。</w:t>
      </w:r>
    </w:p>
    <w:p>
      <w:pPr>
        <w:spacing w:line="360" w:lineRule="auto"/>
        <w:rPr>
          <w:rFonts w:hAnsi="宋体"/>
          <w:color w:val="auto"/>
          <w:sz w:val="21"/>
          <w:szCs w:val="21"/>
        </w:rPr>
      </w:pPr>
      <w:r>
        <w:rPr>
          <w:rFonts w:hint="eastAsia" w:hAnsi="宋体"/>
          <w:color w:val="auto"/>
          <w:sz w:val="21"/>
          <w:szCs w:val="21"/>
        </w:rPr>
        <w:t>注：1、本项目确定供应商重大违法记录中较大数额罚款的金额标准为：</w:t>
      </w:r>
      <w:r>
        <w:rPr>
          <w:rFonts w:hAnsi="宋体"/>
          <w:color w:val="auto"/>
          <w:sz w:val="21"/>
          <w:szCs w:val="21"/>
        </w:rPr>
        <w:t>5</w:t>
      </w:r>
      <w:r>
        <w:rPr>
          <w:rFonts w:hint="eastAsia" w:hAnsi="宋体"/>
          <w:color w:val="auto"/>
          <w:sz w:val="21"/>
          <w:szCs w:val="21"/>
        </w:rPr>
        <w:t>万元。</w:t>
      </w:r>
    </w:p>
    <w:p>
      <w:pPr>
        <w:spacing w:line="360" w:lineRule="auto"/>
        <w:ind w:firstLine="420" w:firstLineChars="200"/>
        <w:rPr>
          <w:rFonts w:hAnsi="宋体"/>
          <w:color w:val="auto"/>
          <w:sz w:val="21"/>
          <w:szCs w:val="21"/>
        </w:rPr>
      </w:pPr>
      <w:r>
        <w:rPr>
          <w:rFonts w:hint="eastAsia" w:hAnsi="宋体"/>
          <w:color w:val="auto"/>
          <w:sz w:val="21"/>
          <w:szCs w:val="21"/>
        </w:rPr>
        <w:t>2、供应商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w:t>
      </w:r>
    </w:p>
    <w:p>
      <w:pPr>
        <w:widowControl/>
        <w:spacing w:line="360" w:lineRule="auto"/>
        <w:jc w:val="left"/>
        <w:rPr>
          <w:rFonts w:hAnsi="宋体"/>
          <w:b/>
          <w:color w:val="auto"/>
          <w:kern w:val="44"/>
          <w:sz w:val="32"/>
        </w:rPr>
      </w:pPr>
      <w:bookmarkStart w:id="226" w:name="_Toc462929207"/>
      <w:r>
        <w:rPr>
          <w:color w:val="auto"/>
        </w:rPr>
        <w:br w:type="page"/>
      </w:r>
    </w:p>
    <w:p>
      <w:pPr>
        <w:pStyle w:val="3"/>
        <w:spacing w:before="0" w:after="0" w:line="360" w:lineRule="auto"/>
        <w:rPr>
          <w:color w:val="auto"/>
        </w:rPr>
      </w:pPr>
      <w:bookmarkStart w:id="227" w:name="_Toc23404"/>
      <w:r>
        <w:rPr>
          <w:rFonts w:hint="eastAsia"/>
          <w:color w:val="auto"/>
        </w:rPr>
        <w:t>第五部分 供应商应当提供的资格证明材料</w:t>
      </w:r>
      <w:bookmarkEnd w:id="226"/>
      <w:bookmarkEnd w:id="227"/>
    </w:p>
    <w:p>
      <w:pPr>
        <w:spacing w:line="360" w:lineRule="auto"/>
        <w:jc w:val="left"/>
        <w:rPr>
          <w:rFonts w:hAnsi="宋体"/>
          <w:color w:val="auto"/>
          <w:sz w:val="24"/>
          <w:szCs w:val="24"/>
        </w:rPr>
      </w:pPr>
      <w:r>
        <w:rPr>
          <w:rFonts w:hint="eastAsia" w:hAnsi="宋体"/>
          <w:color w:val="auto"/>
          <w:sz w:val="24"/>
          <w:szCs w:val="24"/>
        </w:rPr>
        <w:t xml:space="preserve">    供应商必须按谈判文件中的要求提交相关证明文件，并作为其响应文件的一部分，以证明其有资格参加谈判和成交后有履行合同的能力。</w:t>
      </w:r>
    </w:p>
    <w:p>
      <w:pPr>
        <w:pStyle w:val="189"/>
        <w:spacing w:line="360" w:lineRule="auto"/>
        <w:rPr>
          <w:rFonts w:hAnsi="宋体"/>
          <w:b/>
          <w:bCs/>
          <w:color w:val="auto"/>
          <w:sz w:val="24"/>
          <w:szCs w:val="24"/>
        </w:rPr>
      </w:pPr>
      <w:r>
        <w:rPr>
          <w:rFonts w:hint="eastAsia" w:hAnsi="宋体"/>
          <w:b/>
          <w:bCs/>
          <w:color w:val="auto"/>
          <w:sz w:val="24"/>
          <w:szCs w:val="24"/>
        </w:rPr>
        <w:t>一、供应商应当提供的资格证明材料及其他类似效力要求的相关证明材料：</w:t>
      </w:r>
    </w:p>
    <w:p>
      <w:pPr>
        <w:pStyle w:val="189"/>
        <w:spacing w:line="360" w:lineRule="auto"/>
        <w:rPr>
          <w:rFonts w:hAnsi="宋体"/>
          <w:b/>
          <w:bCs/>
          <w:color w:val="auto"/>
          <w:sz w:val="24"/>
          <w:szCs w:val="24"/>
        </w:rPr>
      </w:pPr>
      <w:r>
        <w:rPr>
          <w:rFonts w:hint="eastAsia" w:hAnsi="宋体"/>
          <w:b/>
          <w:bCs/>
          <w:color w:val="auto"/>
          <w:sz w:val="24"/>
          <w:szCs w:val="24"/>
        </w:rPr>
        <w:t>（一）资格要求相关证明材料：</w:t>
      </w:r>
    </w:p>
    <w:p>
      <w:pPr>
        <w:spacing w:line="360" w:lineRule="auto"/>
        <w:rPr>
          <w:rFonts w:hint="eastAsia"/>
          <w:b/>
          <w:bCs/>
          <w:sz w:val="24"/>
        </w:rPr>
      </w:pPr>
      <w:r>
        <w:rPr>
          <w:rFonts w:hint="eastAsia"/>
          <w:b/>
          <w:bCs/>
          <w:sz w:val="24"/>
        </w:rPr>
        <w:t>1、具有独立承担民事责任的能力的证明材料：</w:t>
      </w:r>
    </w:p>
    <w:p>
      <w:pPr>
        <w:spacing w:line="360" w:lineRule="auto"/>
        <w:ind w:left="0" w:leftChars="0" w:firstLine="0" w:firstLineChars="0"/>
        <w:rPr>
          <w:rFonts w:hint="eastAsia" w:hAnsi="宋体"/>
          <w:sz w:val="24"/>
          <w:szCs w:val="24"/>
        </w:rPr>
      </w:pPr>
      <w:r>
        <w:rPr>
          <w:rFonts w:hint="eastAsia" w:hAnsi="宋体"/>
          <w:sz w:val="24"/>
          <w:szCs w:val="24"/>
        </w:rPr>
        <w:t>（1）</w:t>
      </w:r>
      <w:r>
        <w:rPr>
          <w:rFonts w:hint="eastAsia"/>
          <w:sz w:val="24"/>
        </w:rPr>
        <w:t>提供</w:t>
      </w:r>
      <w:r>
        <w:rPr>
          <w:rFonts w:hint="eastAsia" w:hAnsi="宋体"/>
          <w:sz w:val="24"/>
          <w:szCs w:val="24"/>
        </w:rPr>
        <w:t>营业执照副本复印件或提供新版“三证合一”带统一社会信用代码的营业执照（注：①发证机关有年检要求的，应按规定通过年检；②在有效期内；③具有独立法人资格；④复印件加盖公章；）；（2）组织机构代码证副本复印件（注：①发证机关有年检要求的，应按规定通过年检；②在有效期内；③复印件加盖公章；提供新版“三证合一”营业执照的无需提供）；（3）税务登记证副本复印件（注：①在有效期内；②复印件加盖公章；提供新版“三证合一”营业执照的无需提供）；</w:t>
      </w:r>
    </w:p>
    <w:p>
      <w:pPr>
        <w:pStyle w:val="257"/>
        <w:spacing w:line="300" w:lineRule="auto"/>
        <w:ind w:firstLine="0" w:firstLineChars="0"/>
        <w:rPr>
          <w:rFonts w:hint="eastAsia" w:ascii="宋体"/>
          <w:b/>
          <w:bCs/>
          <w:sz w:val="24"/>
        </w:rPr>
      </w:pPr>
      <w:r>
        <w:rPr>
          <w:rFonts w:hint="eastAsia" w:ascii="宋体" w:hAnsi="宋体"/>
          <w:b/>
          <w:bCs/>
          <w:sz w:val="24"/>
          <w:szCs w:val="24"/>
        </w:rPr>
        <w:t>2、</w:t>
      </w:r>
      <w:r>
        <w:rPr>
          <w:rFonts w:hint="eastAsia" w:ascii="宋体"/>
          <w:b/>
          <w:bCs/>
          <w:sz w:val="24"/>
        </w:rPr>
        <w:t>具有良好的商业信誉和健全的财务会计制度的证明材料：</w:t>
      </w:r>
    </w:p>
    <w:p>
      <w:pPr>
        <w:numPr>
          <w:ilvl w:val="0"/>
          <w:numId w:val="0"/>
        </w:numPr>
        <w:tabs>
          <w:tab w:val="left" w:pos="1134"/>
        </w:tabs>
        <w:spacing w:line="360" w:lineRule="auto"/>
        <w:outlineLvl w:val="5"/>
        <w:rPr>
          <w:rFonts w:hint="eastAsia" w:hAnsi="宋体"/>
          <w:color w:val="000000"/>
          <w:sz w:val="24"/>
        </w:rPr>
      </w:pPr>
      <w:r>
        <w:rPr>
          <w:rFonts w:hint="eastAsia" w:hAnsi="宋体"/>
          <w:color w:val="000000"/>
          <w:sz w:val="24"/>
        </w:rPr>
        <w:t>（1）</w:t>
      </w:r>
      <w:r>
        <w:rPr>
          <w:rFonts w:hint="eastAsia" w:hAnsi="宋体"/>
          <w:color w:val="000000"/>
          <w:sz w:val="24"/>
          <w:lang w:eastAsia="zh-CN"/>
        </w:rPr>
        <w:t>具有</w:t>
      </w:r>
      <w:r>
        <w:rPr>
          <w:rFonts w:hint="eastAsia" w:hAnsi="宋体"/>
          <w:color w:val="000000"/>
          <w:sz w:val="24"/>
        </w:rPr>
        <w:t>健全的财务会计制度（报价人可提供以下证明材料）：</w:t>
      </w:r>
    </w:p>
    <w:p>
      <w:pPr>
        <w:numPr>
          <w:ilvl w:val="0"/>
          <w:numId w:val="0"/>
        </w:numPr>
        <w:tabs>
          <w:tab w:val="left" w:pos="1134"/>
        </w:tabs>
        <w:spacing w:line="360" w:lineRule="auto"/>
        <w:ind w:left="360" w:leftChars="0"/>
        <w:outlineLvl w:val="5"/>
        <w:rPr>
          <w:rFonts w:hint="eastAsia" w:hAnsi="宋体"/>
          <w:color w:val="000000"/>
          <w:sz w:val="24"/>
          <w:lang w:val="zh-CN"/>
        </w:rPr>
      </w:pPr>
      <w:r>
        <w:rPr>
          <w:rFonts w:hint="eastAsia" w:hAnsi="宋体"/>
          <w:color w:val="000000"/>
          <w:sz w:val="24"/>
          <w:lang w:val="zh-CN"/>
        </w:rPr>
        <w:fldChar w:fldCharType="begin"/>
      </w:r>
      <w:r>
        <w:rPr>
          <w:rFonts w:hint="eastAsia" w:hAnsi="宋体"/>
          <w:color w:val="000000"/>
          <w:sz w:val="24"/>
          <w:lang w:val="zh-CN"/>
        </w:rPr>
        <w:instrText xml:space="preserve"> = 1 \* GB3 \* MERGEFORMAT </w:instrText>
      </w:r>
      <w:r>
        <w:rPr>
          <w:rFonts w:hint="eastAsia" w:hAnsi="宋体"/>
          <w:color w:val="000000"/>
          <w:sz w:val="24"/>
          <w:lang w:val="zh-CN"/>
        </w:rPr>
        <w:fldChar w:fldCharType="separate"/>
      </w:r>
      <w:r>
        <w:rPr>
          <w:rFonts w:hint="eastAsia" w:hAnsi="宋体"/>
          <w:color w:val="000000"/>
          <w:sz w:val="24"/>
          <w:lang w:val="zh-CN"/>
        </w:rPr>
        <w:t>①</w:t>
      </w:r>
      <w:r>
        <w:rPr>
          <w:rFonts w:hint="eastAsia" w:hAnsi="宋体"/>
          <w:color w:val="000000"/>
          <w:sz w:val="24"/>
          <w:lang w:val="zh-CN"/>
        </w:rPr>
        <w:fldChar w:fldCharType="end"/>
      </w:r>
      <w:r>
        <w:rPr>
          <w:rFonts w:hint="eastAsia" w:hAnsi="宋体"/>
          <w:color w:val="000000"/>
          <w:sz w:val="24"/>
          <w:lang w:val="zh-CN"/>
        </w:rPr>
        <w:t>供应商内部出具</w:t>
      </w:r>
      <w:r>
        <w:rPr>
          <w:rFonts w:hint="eastAsia" w:hAnsi="宋体"/>
          <w:color w:val="000000"/>
          <w:sz w:val="24"/>
          <w:lang w:val="en-US" w:eastAsia="zh-CN"/>
        </w:rPr>
        <w:t>2016年至递交响应文件截止时间任意一个月</w:t>
      </w:r>
      <w:r>
        <w:rPr>
          <w:rFonts w:hint="eastAsia" w:hAnsi="宋体"/>
          <w:color w:val="000000"/>
          <w:sz w:val="24"/>
          <w:lang w:val="zh-CN"/>
        </w:rPr>
        <w:t>（</w:t>
      </w:r>
      <w:r>
        <w:rPr>
          <w:rFonts w:hint="eastAsia" w:hAnsi="宋体"/>
          <w:color w:val="000000"/>
          <w:sz w:val="24"/>
        </w:rPr>
        <w:t>现金流量表、资产负债表、利润表</w:t>
      </w:r>
      <w:r>
        <w:rPr>
          <w:rFonts w:hint="eastAsia" w:hAnsi="宋体"/>
          <w:color w:val="000000"/>
          <w:sz w:val="24"/>
          <w:lang w:val="zh-CN"/>
        </w:rPr>
        <w:t>）或第三方机构出具</w:t>
      </w:r>
      <w:r>
        <w:rPr>
          <w:rFonts w:hint="eastAsia" w:hAnsi="宋体"/>
          <w:color w:val="000000"/>
          <w:sz w:val="24"/>
          <w:lang w:val="en-US" w:eastAsia="zh-CN"/>
        </w:rPr>
        <w:t>2016或2017年度审计报告</w:t>
      </w:r>
      <w:r>
        <w:rPr>
          <w:rFonts w:hint="eastAsia" w:hAnsi="宋体"/>
          <w:color w:val="000000"/>
          <w:sz w:val="24"/>
          <w:lang w:val="zh-CN"/>
        </w:rPr>
        <w:t>（复印件）或提供“</w:t>
      </w:r>
      <w:r>
        <w:rPr>
          <w:rFonts w:hint="eastAsia" w:hAnsi="宋体"/>
          <w:color w:val="000000"/>
          <w:sz w:val="24"/>
        </w:rPr>
        <w:t>良好的商业信誉和健全的财务会计制度”</w:t>
      </w:r>
      <w:r>
        <w:rPr>
          <w:rFonts w:hint="eastAsia" w:hAnsi="宋体"/>
          <w:color w:val="000000"/>
          <w:sz w:val="24"/>
          <w:lang w:val="zh-CN"/>
        </w:rPr>
        <w:t>承诺书【格式可自拟】；</w:t>
      </w:r>
    </w:p>
    <w:p>
      <w:pPr>
        <w:numPr>
          <w:ilvl w:val="0"/>
          <w:numId w:val="0"/>
        </w:numPr>
        <w:tabs>
          <w:tab w:val="left" w:pos="1134"/>
        </w:tabs>
        <w:spacing w:line="360" w:lineRule="auto"/>
        <w:ind w:left="360" w:leftChars="0"/>
        <w:outlineLvl w:val="5"/>
        <w:rPr>
          <w:rFonts w:hint="eastAsia" w:hAnsi="宋体"/>
          <w:color w:val="000000"/>
          <w:sz w:val="24"/>
        </w:rPr>
      </w:pPr>
      <w:r>
        <w:rPr>
          <w:rFonts w:hint="eastAsia" w:hAnsi="宋体"/>
          <w:color w:val="000000"/>
          <w:sz w:val="24"/>
          <w:lang w:val="zh-CN"/>
        </w:rPr>
        <w:fldChar w:fldCharType="begin"/>
      </w:r>
      <w:r>
        <w:rPr>
          <w:rFonts w:hint="eastAsia" w:hAnsi="宋体"/>
          <w:color w:val="000000"/>
          <w:sz w:val="24"/>
          <w:lang w:val="zh-CN"/>
        </w:rPr>
        <w:instrText xml:space="preserve"> = 2 \* GB3 \* MERGEFORMAT </w:instrText>
      </w:r>
      <w:r>
        <w:rPr>
          <w:rFonts w:hint="eastAsia" w:hAnsi="宋体"/>
          <w:color w:val="000000"/>
          <w:sz w:val="24"/>
          <w:lang w:val="zh-CN"/>
        </w:rPr>
        <w:fldChar w:fldCharType="separate"/>
      </w:r>
      <w:r>
        <w:rPr>
          <w:rFonts w:hint="eastAsia" w:hAnsi="宋体"/>
          <w:color w:val="000000"/>
          <w:sz w:val="24"/>
          <w:lang w:val="zh-CN"/>
        </w:rPr>
        <w:t>②</w:t>
      </w:r>
      <w:r>
        <w:rPr>
          <w:rFonts w:hint="eastAsia" w:hAnsi="宋体"/>
          <w:color w:val="000000"/>
          <w:sz w:val="24"/>
          <w:lang w:val="zh-CN"/>
        </w:rPr>
        <w:fldChar w:fldCharType="end"/>
      </w:r>
      <w:r>
        <w:rPr>
          <w:rFonts w:hint="eastAsia" w:hAnsi="宋体"/>
          <w:color w:val="000000"/>
          <w:sz w:val="24"/>
          <w:lang w:val="zh-CN"/>
        </w:rPr>
        <w:t>新成立公司（</w:t>
      </w:r>
      <w:r>
        <w:rPr>
          <w:rFonts w:hint="eastAsia" w:hAnsi="宋体"/>
          <w:color w:val="000000"/>
          <w:sz w:val="24"/>
        </w:rPr>
        <w:t>201</w:t>
      </w:r>
      <w:r>
        <w:rPr>
          <w:rFonts w:hint="eastAsia" w:hAnsi="宋体"/>
          <w:color w:val="000000"/>
          <w:sz w:val="24"/>
          <w:lang w:val="en-US" w:eastAsia="zh-CN"/>
        </w:rPr>
        <w:t>8</w:t>
      </w:r>
      <w:r>
        <w:rPr>
          <w:rFonts w:hint="eastAsia" w:hAnsi="宋体"/>
          <w:color w:val="000000"/>
          <w:sz w:val="24"/>
        </w:rPr>
        <w:t>年</w:t>
      </w:r>
      <w:r>
        <w:rPr>
          <w:rFonts w:hint="eastAsia" w:hAnsi="宋体"/>
          <w:color w:val="000000"/>
          <w:sz w:val="24"/>
          <w:lang w:val="en-US" w:eastAsia="zh-CN"/>
        </w:rPr>
        <w:t>1</w:t>
      </w:r>
      <w:r>
        <w:rPr>
          <w:rFonts w:hint="eastAsia" w:hAnsi="宋体"/>
          <w:color w:val="000000"/>
          <w:sz w:val="24"/>
        </w:rPr>
        <w:t>月1日以后注册登记，以营业执照注册时间为准）</w:t>
      </w:r>
      <w:r>
        <w:rPr>
          <w:rFonts w:hint="eastAsia" w:hAnsi="宋体"/>
          <w:color w:val="000000"/>
          <w:sz w:val="24"/>
          <w:lang w:val="zh-CN"/>
        </w:rPr>
        <w:t>提供在工商备案的公司章程或提供“</w:t>
      </w:r>
      <w:r>
        <w:rPr>
          <w:rFonts w:hint="eastAsia" w:hAnsi="宋体"/>
          <w:color w:val="000000"/>
          <w:sz w:val="24"/>
        </w:rPr>
        <w:t>良好的商业信誉和健全的财务会计制度”</w:t>
      </w:r>
      <w:r>
        <w:rPr>
          <w:rFonts w:hint="eastAsia" w:hAnsi="宋体"/>
          <w:color w:val="000000"/>
          <w:sz w:val="24"/>
          <w:lang w:val="zh-CN"/>
        </w:rPr>
        <w:t>承诺书【格式可自拟】</w:t>
      </w:r>
      <w:r>
        <w:rPr>
          <w:rFonts w:hint="eastAsia" w:hAnsi="宋体"/>
          <w:color w:val="000000"/>
          <w:sz w:val="24"/>
        </w:rPr>
        <w:t>。</w:t>
      </w:r>
    </w:p>
    <w:p>
      <w:pPr>
        <w:numPr>
          <w:ilvl w:val="0"/>
          <w:numId w:val="0"/>
        </w:numPr>
        <w:tabs>
          <w:tab w:val="left" w:pos="1134"/>
        </w:tabs>
        <w:spacing w:line="360" w:lineRule="auto"/>
        <w:outlineLvl w:val="5"/>
        <w:rPr>
          <w:rFonts w:hint="eastAsia"/>
          <w:lang w:val="zh-CN"/>
        </w:rPr>
      </w:pPr>
      <w:r>
        <w:rPr>
          <w:rFonts w:hint="eastAsia" w:hAnsi="宋体"/>
          <w:color w:val="000000"/>
          <w:sz w:val="24"/>
          <w:lang w:val="zh-CN"/>
        </w:rPr>
        <w:t>（</w:t>
      </w:r>
      <w:r>
        <w:rPr>
          <w:rFonts w:hint="eastAsia" w:hAnsi="宋体"/>
          <w:color w:val="000000"/>
          <w:sz w:val="24"/>
          <w:lang w:val="en-US" w:eastAsia="zh-CN"/>
        </w:rPr>
        <w:t>2</w:t>
      </w:r>
      <w:r>
        <w:rPr>
          <w:rFonts w:hint="eastAsia" w:hAnsi="宋体"/>
          <w:color w:val="000000"/>
          <w:sz w:val="24"/>
          <w:lang w:val="zh-CN"/>
        </w:rPr>
        <w:t>）具有良好的商业信誉可提供承诺书原件【格式可自拟】。</w:t>
      </w:r>
    </w:p>
    <w:p>
      <w:pPr>
        <w:tabs>
          <w:tab w:val="left" w:pos="1134"/>
        </w:tabs>
        <w:spacing w:line="360" w:lineRule="auto"/>
        <w:rPr>
          <w:rFonts w:hAnsi="宋体"/>
          <w:b/>
          <w:color w:val="auto"/>
          <w:sz w:val="24"/>
          <w:szCs w:val="24"/>
        </w:rPr>
      </w:pPr>
      <w:r>
        <w:rPr>
          <w:rFonts w:hint="eastAsia" w:hAnsi="宋体"/>
          <w:b/>
          <w:color w:val="auto"/>
          <w:sz w:val="24"/>
          <w:szCs w:val="24"/>
          <w:lang w:val="en-US" w:eastAsia="zh-CN"/>
        </w:rPr>
        <w:t>3</w:t>
      </w:r>
      <w:r>
        <w:rPr>
          <w:rFonts w:hAnsi="宋体"/>
          <w:b/>
          <w:color w:val="auto"/>
          <w:sz w:val="24"/>
          <w:szCs w:val="24"/>
        </w:rPr>
        <w:t>.</w:t>
      </w:r>
      <w:r>
        <w:rPr>
          <w:rFonts w:hint="eastAsia" w:hAnsi="宋体"/>
          <w:b/>
          <w:color w:val="auto"/>
          <w:sz w:val="24"/>
          <w:szCs w:val="24"/>
        </w:rPr>
        <w:t>具有履行合同所必须的设备和专业技术能力的证明材料：</w:t>
      </w:r>
    </w:p>
    <w:p>
      <w:pPr>
        <w:tabs>
          <w:tab w:val="left" w:pos="1134"/>
        </w:tabs>
        <w:spacing w:line="360" w:lineRule="auto"/>
        <w:rPr>
          <w:rFonts w:hAnsi="宋体"/>
          <w:color w:val="auto"/>
          <w:sz w:val="24"/>
          <w:szCs w:val="24"/>
        </w:rPr>
      </w:pPr>
      <w:r>
        <w:rPr>
          <w:rFonts w:hint="eastAsia" w:hAnsi="宋体"/>
          <w:color w:val="auto"/>
          <w:sz w:val="24"/>
          <w:szCs w:val="24"/>
        </w:rPr>
        <w:t>（1）供应商自行提供相关证明材料或提供承诺函。</w:t>
      </w:r>
    </w:p>
    <w:p>
      <w:pPr>
        <w:tabs>
          <w:tab w:val="left" w:pos="1134"/>
        </w:tabs>
        <w:spacing w:line="360" w:lineRule="auto"/>
        <w:rPr>
          <w:rFonts w:hAnsi="宋体"/>
          <w:b/>
          <w:color w:val="auto"/>
          <w:sz w:val="24"/>
          <w:szCs w:val="24"/>
        </w:rPr>
      </w:pPr>
      <w:r>
        <w:rPr>
          <w:rFonts w:hint="eastAsia" w:hAnsi="宋体"/>
          <w:b/>
          <w:color w:val="auto"/>
          <w:sz w:val="24"/>
          <w:szCs w:val="24"/>
        </w:rPr>
        <w:t>4.有依法缴纳社会保障资金和税收的良好记录：</w:t>
      </w:r>
    </w:p>
    <w:p>
      <w:pPr>
        <w:spacing w:line="360" w:lineRule="auto"/>
        <w:rPr>
          <w:rFonts w:hint="eastAsia" w:hAnsi="宋体"/>
          <w:sz w:val="24"/>
          <w:szCs w:val="24"/>
        </w:rPr>
      </w:pPr>
      <w:r>
        <w:rPr>
          <w:rFonts w:hint="eastAsia" w:hAnsi="宋体"/>
          <w:sz w:val="24"/>
          <w:szCs w:val="24"/>
        </w:rPr>
        <w:t>（1</w:t>
      </w:r>
      <w:r>
        <w:rPr>
          <w:rFonts w:hint="eastAsia" w:hAnsi="宋体"/>
          <w:color w:val="auto"/>
          <w:sz w:val="24"/>
          <w:szCs w:val="24"/>
        </w:rPr>
        <w:t>）</w:t>
      </w:r>
      <w:r>
        <w:rPr>
          <w:rFonts w:hint="eastAsia" w:hAnsi="宋体"/>
          <w:b w:val="0"/>
          <w:bCs/>
          <w:color w:val="auto"/>
          <w:sz w:val="24"/>
          <w:szCs w:val="24"/>
        </w:rPr>
        <w:t>201</w:t>
      </w:r>
      <w:r>
        <w:rPr>
          <w:rFonts w:hint="eastAsia" w:hAnsi="宋体"/>
          <w:b w:val="0"/>
          <w:bCs/>
          <w:color w:val="auto"/>
          <w:sz w:val="24"/>
          <w:szCs w:val="24"/>
          <w:lang w:val="en-US" w:eastAsia="zh-CN"/>
        </w:rPr>
        <w:t>6</w:t>
      </w:r>
      <w:r>
        <w:rPr>
          <w:rFonts w:hint="eastAsia" w:hAnsi="宋体"/>
          <w:b w:val="0"/>
          <w:bCs/>
          <w:color w:val="auto"/>
          <w:sz w:val="24"/>
          <w:szCs w:val="24"/>
        </w:rPr>
        <w:t>年至响应文件递交截止时间任意</w:t>
      </w:r>
      <w:r>
        <w:rPr>
          <w:rFonts w:hint="eastAsia" w:hAnsi="宋体"/>
          <w:b w:val="0"/>
          <w:bCs/>
          <w:color w:val="auto"/>
          <w:sz w:val="24"/>
          <w:szCs w:val="24"/>
          <w:lang w:eastAsia="zh-CN"/>
        </w:rPr>
        <w:t>一</w:t>
      </w:r>
      <w:r>
        <w:rPr>
          <w:rFonts w:hint="eastAsia" w:hAnsi="宋体"/>
          <w:b w:val="0"/>
          <w:bCs/>
          <w:color w:val="auto"/>
          <w:sz w:val="24"/>
          <w:szCs w:val="24"/>
        </w:rPr>
        <w:t>个月缴纳社保的银行电子回单或社保部门出具的社保缴纳证明材料复印件</w:t>
      </w:r>
      <w:r>
        <w:rPr>
          <w:rFonts w:hint="eastAsia" w:hAnsi="宋体"/>
          <w:sz w:val="24"/>
          <w:szCs w:val="24"/>
        </w:rPr>
        <w:t>（依法不需要缴纳社会保障资金的供应商，应提供相应文件证明其依法不需要缴纳社会保障资金</w:t>
      </w:r>
      <w:r>
        <w:rPr>
          <w:rFonts w:hint="eastAsia" w:hAnsi="宋体"/>
          <w:sz w:val="24"/>
          <w:szCs w:val="24"/>
          <w:lang w:eastAsia="zh-CN"/>
        </w:rPr>
        <w:t>）。</w:t>
      </w:r>
    </w:p>
    <w:p>
      <w:pPr>
        <w:spacing w:line="360" w:lineRule="auto"/>
        <w:rPr>
          <w:rFonts w:hint="eastAsia" w:hAnsi="宋体" w:eastAsia="宋体"/>
          <w:sz w:val="24"/>
          <w:szCs w:val="24"/>
          <w:lang w:eastAsia="zh-CN"/>
        </w:rPr>
      </w:pPr>
      <w:r>
        <w:rPr>
          <w:rFonts w:hint="eastAsia" w:hAnsi="宋体"/>
          <w:b w:val="0"/>
          <w:bCs/>
          <w:color w:val="auto"/>
          <w:sz w:val="24"/>
          <w:szCs w:val="24"/>
        </w:rPr>
        <w:t>（2）201</w:t>
      </w:r>
      <w:r>
        <w:rPr>
          <w:rFonts w:hint="eastAsia" w:hAnsi="宋体"/>
          <w:b w:val="0"/>
          <w:bCs/>
          <w:color w:val="auto"/>
          <w:sz w:val="24"/>
          <w:szCs w:val="24"/>
          <w:lang w:val="en-US" w:eastAsia="zh-CN"/>
        </w:rPr>
        <w:t>6</w:t>
      </w:r>
      <w:r>
        <w:rPr>
          <w:rFonts w:hint="eastAsia" w:hAnsi="宋体"/>
          <w:b w:val="0"/>
          <w:bCs/>
          <w:color w:val="auto"/>
          <w:sz w:val="24"/>
          <w:szCs w:val="24"/>
        </w:rPr>
        <w:t>年至响应</w:t>
      </w:r>
      <w:r>
        <w:rPr>
          <w:rFonts w:hint="eastAsia" w:hAnsi="宋体"/>
          <w:b w:val="0"/>
          <w:bCs/>
          <w:sz w:val="24"/>
          <w:szCs w:val="24"/>
        </w:rPr>
        <w:t>文件</w:t>
      </w:r>
      <w:r>
        <w:rPr>
          <w:rFonts w:hint="eastAsia" w:hAnsi="宋体"/>
          <w:sz w:val="24"/>
          <w:szCs w:val="24"/>
        </w:rPr>
        <w:t>递交截止时间任意</w:t>
      </w:r>
      <w:r>
        <w:rPr>
          <w:rFonts w:hint="eastAsia" w:hAnsi="宋体"/>
          <w:sz w:val="24"/>
          <w:szCs w:val="24"/>
          <w:lang w:eastAsia="zh-CN"/>
        </w:rPr>
        <w:t>一</w:t>
      </w:r>
      <w:r>
        <w:rPr>
          <w:rFonts w:hint="eastAsia" w:hAnsi="宋体"/>
          <w:sz w:val="24"/>
          <w:szCs w:val="24"/>
        </w:rPr>
        <w:t>个月缴纳税收的银行电子回单或税收部门出具的纳税或完税缴纳证明材料复印件</w:t>
      </w:r>
      <w:r>
        <w:rPr>
          <w:rFonts w:hint="eastAsia" w:hAnsi="宋体"/>
          <w:b w:val="0"/>
          <w:bCs/>
          <w:color w:val="auto"/>
          <w:sz w:val="24"/>
          <w:szCs w:val="24"/>
        </w:rPr>
        <w:t>（依法免税的供应商，应提供相应文件证明其依法免税）</w:t>
      </w:r>
      <w:r>
        <w:rPr>
          <w:rFonts w:hint="eastAsia" w:hAnsi="宋体"/>
          <w:b w:val="0"/>
          <w:bCs/>
          <w:color w:val="auto"/>
          <w:sz w:val="24"/>
          <w:szCs w:val="24"/>
          <w:lang w:eastAsia="zh-CN"/>
        </w:rPr>
        <w:t>。</w:t>
      </w:r>
    </w:p>
    <w:p>
      <w:pPr>
        <w:tabs>
          <w:tab w:val="left" w:pos="1134"/>
        </w:tabs>
        <w:spacing w:line="360" w:lineRule="auto"/>
        <w:outlineLvl w:val="5"/>
        <w:rPr>
          <w:rFonts w:hAnsi="宋体"/>
          <w:b/>
          <w:color w:val="auto"/>
          <w:sz w:val="24"/>
        </w:rPr>
      </w:pPr>
      <w:r>
        <w:rPr>
          <w:rFonts w:hint="eastAsia" w:hAnsi="宋体"/>
          <w:b/>
          <w:color w:val="auto"/>
          <w:sz w:val="24"/>
        </w:rPr>
        <w:t xml:space="preserve">5.参加政府采购活动前三年内，在经营活动中没有重大违法记录提供以下证明材料： </w:t>
      </w:r>
    </w:p>
    <w:p>
      <w:pPr>
        <w:tabs>
          <w:tab w:val="left" w:pos="1080"/>
        </w:tabs>
        <w:spacing w:line="360" w:lineRule="auto"/>
        <w:rPr>
          <w:rFonts w:hAnsi="宋体"/>
          <w:bCs/>
          <w:color w:val="auto"/>
          <w:sz w:val="24"/>
        </w:rPr>
      </w:pPr>
      <w:r>
        <w:rPr>
          <w:rFonts w:hint="eastAsia" w:hAnsi="宋体"/>
          <w:color w:val="auto"/>
          <w:sz w:val="24"/>
          <w:szCs w:val="24"/>
        </w:rPr>
        <w:t>（1）供应商参加政府采购活动前三年内，在经营活动中没有重大违法记录</w:t>
      </w:r>
      <w:r>
        <w:rPr>
          <w:rFonts w:hint="eastAsia" w:hAnsi="宋体" w:cs="宋体"/>
          <w:color w:val="auto"/>
          <w:sz w:val="24"/>
        </w:rPr>
        <w:t>（提供声明函原件）</w:t>
      </w:r>
      <w:r>
        <w:rPr>
          <w:rFonts w:hint="eastAsia" w:hAnsi="宋体"/>
          <w:bCs/>
          <w:color w:val="auto"/>
          <w:sz w:val="24"/>
        </w:rPr>
        <w:t>。</w:t>
      </w:r>
    </w:p>
    <w:p>
      <w:pPr>
        <w:tabs>
          <w:tab w:val="left" w:pos="1134"/>
        </w:tabs>
        <w:spacing w:line="360" w:lineRule="auto"/>
        <w:rPr>
          <w:rFonts w:hint="eastAsia" w:hAnsi="宋体"/>
          <w:b/>
          <w:color w:val="auto"/>
          <w:sz w:val="24"/>
        </w:rPr>
      </w:pPr>
      <w:r>
        <w:rPr>
          <w:rFonts w:hAnsi="宋体"/>
          <w:b/>
          <w:color w:val="auto"/>
          <w:sz w:val="24"/>
        </w:rPr>
        <w:t>6</w:t>
      </w:r>
      <w:r>
        <w:rPr>
          <w:rFonts w:hint="eastAsia" w:hAnsi="宋体"/>
          <w:b/>
          <w:color w:val="auto"/>
          <w:sz w:val="24"/>
        </w:rPr>
        <w:t>.本项目参加政府采购活动的供应商在前三年内不得具有行贿犯罪记录：</w:t>
      </w:r>
    </w:p>
    <w:p>
      <w:pPr>
        <w:tabs>
          <w:tab w:val="left" w:pos="1134"/>
        </w:tabs>
        <w:spacing w:line="360" w:lineRule="auto"/>
        <w:rPr>
          <w:rFonts w:hAnsi="宋体"/>
          <w:b/>
          <w:color w:val="auto"/>
          <w:sz w:val="24"/>
          <w:szCs w:val="24"/>
        </w:rPr>
      </w:pPr>
      <w:r>
        <w:rPr>
          <w:rFonts w:hint="eastAsia" w:hAnsi="宋体"/>
          <w:color w:val="auto"/>
          <w:sz w:val="24"/>
        </w:rPr>
        <w:t>（本项目参加采购活动的供应商、法定代表人/主要负责人在前三年内不得具有行贿犯罪记录；可以在响应文件中进行承诺，成交后提交公司注册地或项目所在地人民检察院出具行贿犯罪记录查询结果给采购人。</w:t>
      </w:r>
      <w:r>
        <w:rPr>
          <w:rFonts w:hint="eastAsia" w:hAnsi="宋体"/>
          <w:bCs/>
          <w:color w:val="auto"/>
          <w:sz w:val="24"/>
        </w:rPr>
        <w:t>）</w:t>
      </w:r>
    </w:p>
    <w:p>
      <w:pPr>
        <w:tabs>
          <w:tab w:val="left" w:pos="1080"/>
        </w:tabs>
        <w:spacing w:line="360" w:lineRule="auto"/>
        <w:ind w:left="1282" w:leftChars="1" w:hanging="1279" w:hangingChars="531"/>
        <w:rPr>
          <w:rFonts w:hAnsi="宋体"/>
          <w:b/>
          <w:bCs/>
          <w:color w:val="auto"/>
          <w:sz w:val="24"/>
        </w:rPr>
      </w:pPr>
      <w:r>
        <w:rPr>
          <w:rFonts w:hint="eastAsia" w:hAnsi="宋体"/>
          <w:b/>
          <w:bCs/>
          <w:color w:val="auto"/>
          <w:sz w:val="24"/>
          <w:szCs w:val="24"/>
        </w:rPr>
        <w:t>（</w:t>
      </w:r>
      <w:r>
        <w:rPr>
          <w:rFonts w:hint="eastAsia" w:hAnsi="宋体"/>
          <w:b/>
          <w:bCs/>
          <w:color w:val="auto"/>
          <w:sz w:val="24"/>
          <w:szCs w:val="24"/>
          <w:lang w:eastAsia="zh-CN"/>
        </w:rPr>
        <w:t>二</w:t>
      </w:r>
      <w:r>
        <w:rPr>
          <w:rFonts w:hint="eastAsia" w:hAnsi="宋体"/>
          <w:b/>
          <w:bCs/>
          <w:color w:val="auto"/>
          <w:sz w:val="24"/>
          <w:szCs w:val="24"/>
        </w:rPr>
        <w:t>）其他类似效力要求相关证明材料：</w:t>
      </w:r>
    </w:p>
    <w:p>
      <w:pPr>
        <w:tabs>
          <w:tab w:val="left" w:pos="1080"/>
        </w:tabs>
        <w:spacing w:line="360" w:lineRule="auto"/>
        <w:rPr>
          <w:rFonts w:hAnsi="宋体"/>
          <w:color w:val="auto"/>
          <w:sz w:val="24"/>
        </w:rPr>
      </w:pPr>
      <w:r>
        <w:rPr>
          <w:rFonts w:hint="eastAsia" w:hAnsi="宋体"/>
          <w:color w:val="auto"/>
          <w:sz w:val="24"/>
        </w:rPr>
        <w:t>（1）法定代表人身份证复印件或护照复印件［注：①法定代表人身份证复印件（在有效期内、两面均应复印）或护照复印件（法定代表人为外籍人士的，按此提供）；②复印件加盖公章]。</w:t>
      </w:r>
    </w:p>
    <w:p>
      <w:pPr>
        <w:tabs>
          <w:tab w:val="left" w:pos="1080"/>
        </w:tabs>
        <w:spacing w:line="360" w:lineRule="auto"/>
        <w:rPr>
          <w:rFonts w:hAnsi="宋体"/>
          <w:color w:val="auto"/>
          <w:sz w:val="24"/>
        </w:rPr>
      </w:pPr>
      <w:r>
        <w:rPr>
          <w:rFonts w:hint="eastAsia" w:hAnsi="宋体"/>
          <w:color w:val="auto"/>
          <w:sz w:val="24"/>
        </w:rPr>
        <w:t>（2）授权代表身份证复印件（身份证两面均应复印）（注：①在有效期内；②复印件加盖公章；③由供应商法定代表人签署所有响应文件并参加谈判的，则可不提供）。</w:t>
      </w:r>
    </w:p>
    <w:p>
      <w:pPr>
        <w:tabs>
          <w:tab w:val="left" w:pos="1080"/>
        </w:tabs>
        <w:spacing w:line="360" w:lineRule="auto"/>
        <w:rPr>
          <w:rFonts w:hAnsi="宋体"/>
          <w:color w:val="auto"/>
          <w:sz w:val="24"/>
        </w:rPr>
      </w:pPr>
      <w:r>
        <w:rPr>
          <w:rFonts w:hint="eastAsia" w:hAnsi="宋体"/>
          <w:color w:val="auto"/>
          <w:sz w:val="24"/>
        </w:rPr>
        <w:t>（3）法定代表人授权书原件（法定代表人不参与谈判而委托授权代表参与适用）或法定代表人身份证明原件（法定代表人参与而非委托授权代表参与适用）。</w:t>
      </w:r>
    </w:p>
    <w:p>
      <w:pPr>
        <w:tabs>
          <w:tab w:val="left" w:pos="1080"/>
        </w:tabs>
        <w:spacing w:line="360" w:lineRule="auto"/>
        <w:rPr>
          <w:rFonts w:hAnsi="宋体"/>
          <w:color w:val="auto"/>
          <w:sz w:val="24"/>
        </w:rPr>
      </w:pPr>
      <w:r>
        <w:rPr>
          <w:rFonts w:hint="eastAsia" w:hAnsi="宋体"/>
          <w:color w:val="auto"/>
          <w:sz w:val="24"/>
        </w:rPr>
        <w:t>（4）保证金交纳凭证复印件（注：复印件）。</w:t>
      </w:r>
    </w:p>
    <w:p>
      <w:pPr>
        <w:spacing w:line="240" w:lineRule="auto"/>
        <w:ind w:left="723" w:hanging="723" w:hangingChars="300"/>
        <w:jc w:val="left"/>
        <w:rPr>
          <w:rFonts w:hAnsi="宋体"/>
          <w:b/>
          <w:bCs/>
          <w:color w:val="auto"/>
          <w:sz w:val="24"/>
          <w:szCs w:val="24"/>
        </w:rPr>
      </w:pPr>
      <w:r>
        <w:rPr>
          <w:rFonts w:hint="eastAsia" w:hAnsi="宋体"/>
          <w:b/>
          <w:bCs/>
          <w:color w:val="auto"/>
          <w:sz w:val="24"/>
          <w:szCs w:val="24"/>
        </w:rPr>
        <w:t>二、应当提供的货物/服务的资格条件及其他类似效力要求</w:t>
      </w:r>
    </w:p>
    <w:p>
      <w:pPr>
        <w:snapToGrid w:val="0"/>
        <w:spacing w:line="240" w:lineRule="auto"/>
        <w:jc w:val="left"/>
        <w:rPr>
          <w:rFonts w:hAnsi="宋体"/>
          <w:b/>
          <w:bCs/>
          <w:color w:val="auto"/>
          <w:sz w:val="24"/>
          <w:szCs w:val="24"/>
        </w:rPr>
      </w:pPr>
      <w:r>
        <w:rPr>
          <w:rFonts w:hint="eastAsia" w:hAnsi="宋体"/>
          <w:b/>
          <w:bCs/>
          <w:color w:val="auto"/>
          <w:sz w:val="24"/>
          <w:szCs w:val="24"/>
        </w:rPr>
        <w:t>（一）资格要求相关证明材料：</w:t>
      </w:r>
      <w:r>
        <w:rPr>
          <w:rFonts w:hint="eastAsia" w:hAnsi="宋体"/>
          <w:b/>
          <w:bCs/>
          <w:color w:val="auto"/>
          <w:sz w:val="24"/>
          <w:szCs w:val="24"/>
          <w:lang w:eastAsia="zh-CN"/>
        </w:rPr>
        <w:t>无</w:t>
      </w:r>
      <w:r>
        <w:rPr>
          <w:rFonts w:hint="eastAsia"/>
          <w:bCs/>
          <w:color w:val="auto"/>
          <w:sz w:val="24"/>
        </w:rPr>
        <w:t>。</w:t>
      </w:r>
    </w:p>
    <w:p>
      <w:pPr>
        <w:spacing w:line="360" w:lineRule="auto"/>
        <w:rPr>
          <w:rFonts w:hint="eastAsia" w:hAnsi="宋体" w:eastAsia="宋体"/>
          <w:b/>
          <w:bCs/>
          <w:color w:val="auto"/>
          <w:sz w:val="24"/>
          <w:szCs w:val="24"/>
          <w:lang w:eastAsia="zh-CN"/>
        </w:rPr>
      </w:pPr>
      <w:r>
        <w:rPr>
          <w:rFonts w:hint="eastAsia" w:hAnsi="宋体"/>
          <w:b/>
          <w:bCs/>
          <w:color w:val="auto"/>
          <w:sz w:val="24"/>
          <w:szCs w:val="24"/>
        </w:rPr>
        <w:t>（二）资质性要求相关证明材料：</w:t>
      </w:r>
      <w:r>
        <w:rPr>
          <w:rFonts w:hint="eastAsia" w:hAnsi="宋体"/>
          <w:b/>
          <w:bCs/>
          <w:color w:val="auto"/>
          <w:sz w:val="24"/>
          <w:szCs w:val="24"/>
          <w:lang w:eastAsia="zh-CN"/>
        </w:rPr>
        <w:t>无。</w:t>
      </w:r>
    </w:p>
    <w:p>
      <w:pPr>
        <w:spacing w:line="360" w:lineRule="auto"/>
        <w:rPr>
          <w:rFonts w:hint="eastAsia" w:hAnsi="宋体" w:eastAsia="宋体"/>
          <w:b/>
          <w:bCs/>
          <w:color w:val="auto"/>
          <w:sz w:val="24"/>
          <w:szCs w:val="24"/>
          <w:lang w:eastAsia="zh-CN"/>
        </w:rPr>
        <w:sectPr>
          <w:footerReference r:id="rId8" w:type="default"/>
          <w:pgSz w:w="11907" w:h="16840"/>
          <w:pgMar w:top="1440" w:right="1797" w:bottom="1101" w:left="1797" w:header="851" w:footer="850" w:gutter="0"/>
          <w:pgNumType w:fmt="decimal"/>
          <w:cols w:space="720" w:num="1"/>
          <w:docGrid w:linePitch="312" w:charSpace="0"/>
        </w:sectPr>
      </w:pPr>
      <w:r>
        <w:rPr>
          <w:rFonts w:hint="eastAsia" w:hAnsi="宋体"/>
          <w:b/>
          <w:bCs/>
          <w:color w:val="auto"/>
          <w:sz w:val="24"/>
          <w:szCs w:val="24"/>
        </w:rPr>
        <w:t>（三）其他类似效力要求相关证明材料</w:t>
      </w:r>
      <w:r>
        <w:rPr>
          <w:rFonts w:hint="eastAsia" w:hAnsi="宋体"/>
          <w:b/>
          <w:bCs/>
          <w:color w:val="auto"/>
          <w:sz w:val="24"/>
          <w:szCs w:val="24"/>
          <w:lang w:eastAsia="zh-CN"/>
        </w:rPr>
        <w:t>：无。</w:t>
      </w:r>
    </w:p>
    <w:p>
      <w:pPr>
        <w:pStyle w:val="3"/>
        <w:spacing w:before="0" w:after="0" w:line="360" w:lineRule="auto"/>
        <w:jc w:val="both"/>
        <w:rPr>
          <w:color w:val="auto"/>
        </w:rPr>
      </w:pPr>
      <w:bookmarkStart w:id="228" w:name="_Toc430773947"/>
      <w:bookmarkStart w:id="229" w:name="_Toc209847097"/>
      <w:bookmarkStart w:id="230" w:name="_Toc1516"/>
      <w:bookmarkStart w:id="231" w:name="_Toc462929208"/>
      <w:r>
        <w:rPr>
          <w:rFonts w:hint="eastAsia"/>
          <w:color w:val="auto"/>
        </w:rPr>
        <w:t xml:space="preserve">第六部分 </w:t>
      </w:r>
      <w:bookmarkEnd w:id="228"/>
      <w:bookmarkEnd w:id="229"/>
      <w:r>
        <w:rPr>
          <w:rFonts w:hint="eastAsia"/>
          <w:color w:val="auto"/>
        </w:rPr>
        <w:t xml:space="preserve"> 采购项目一般技术、服务和商务要求</w:t>
      </w:r>
      <w:bookmarkEnd w:id="230"/>
      <w:bookmarkEnd w:id="231"/>
    </w:p>
    <w:p>
      <w:pPr>
        <w:numPr>
          <w:ilvl w:val="0"/>
          <w:numId w:val="0"/>
        </w:numPr>
        <w:rPr>
          <w:rFonts w:hint="eastAsia" w:hAnsi="宋体"/>
          <w:b/>
          <w:bCs/>
          <w:sz w:val="24"/>
          <w:lang w:eastAsia="zh-CN"/>
        </w:rPr>
      </w:pPr>
      <w:bookmarkStart w:id="232" w:name="_Toc462929209"/>
      <w:r>
        <w:rPr>
          <w:rFonts w:hint="eastAsia" w:hAnsi="宋体" w:cs="宋体"/>
          <w:b/>
          <w:bCs/>
          <w:color w:val="auto"/>
          <w:sz w:val="24"/>
          <w:szCs w:val="24"/>
        </w:rPr>
        <w:t>一、</w:t>
      </w:r>
      <w:r>
        <w:rPr>
          <w:rFonts w:hint="eastAsia" w:hAnsi="宋体"/>
          <w:b/>
          <w:bCs/>
          <w:sz w:val="24"/>
          <w:lang w:eastAsia="zh-CN"/>
        </w:rPr>
        <w:t>采购清单</w:t>
      </w:r>
    </w:p>
    <w:p>
      <w:pPr>
        <w:pStyle w:val="2"/>
      </w:pPr>
      <w:r>
        <w:rPr>
          <w:rFonts w:hint="eastAsia" w:hAnsi="宋体"/>
          <w:b/>
          <w:bCs/>
          <w:sz w:val="24"/>
          <w:lang w:eastAsia="zh-CN"/>
        </w:rPr>
        <w:t>第一个包：办公家具</w:t>
      </w:r>
    </w:p>
    <w:tbl>
      <w:tblPr>
        <w:tblStyle w:val="55"/>
        <w:tblW w:w="1387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51"/>
        <w:gridCol w:w="2042"/>
        <w:gridCol w:w="1593"/>
        <w:gridCol w:w="692"/>
        <w:gridCol w:w="86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75"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品名</w:t>
            </w:r>
          </w:p>
        </w:tc>
        <w:tc>
          <w:tcPr>
            <w:tcW w:w="2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图片</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规格</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数量（张）</w:t>
            </w:r>
          </w:p>
        </w:tc>
        <w:tc>
          <w:tcPr>
            <w:tcW w:w="86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ahoma" w:hAnsi="Tahoma" w:eastAsia="Tahoma" w:cs="Tahoma"/>
                <w:i w:val="0"/>
                <w:color w:val="000000"/>
                <w:sz w:val="22"/>
                <w:szCs w:val="22"/>
                <w:u w:val="none"/>
              </w:rPr>
            </w:pPr>
            <w:r>
              <w:rPr>
                <w:rFonts w:hint="eastAsia" w:ascii="宋体" w:hAnsi="宋体" w:eastAsia="宋体" w:cs="宋体"/>
                <w:i w:val="0"/>
                <w:color w:val="000000"/>
                <w:kern w:val="0"/>
                <w:sz w:val="22"/>
                <w:szCs w:val="22"/>
                <w:u w:val="none"/>
                <w:lang w:val="en-US" w:eastAsia="zh-CN" w:bidi="ar"/>
              </w:rPr>
              <w:t>材质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1.4电脑桌</w:t>
            </w:r>
          </w:p>
        </w:tc>
        <w:tc>
          <w:tcPr>
            <w:tcW w:w="2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drawing>
                <wp:inline distT="0" distB="0" distL="114300" distR="114300">
                  <wp:extent cx="1123950" cy="714375"/>
                  <wp:effectExtent l="0" t="0" r="0" b="9525"/>
                  <wp:docPr id="22" name="图片 1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8" descr="IMG_256"/>
                          <pic:cNvPicPr>
                            <a:picLocks noChangeAspect="1"/>
                          </pic:cNvPicPr>
                        </pic:nvPicPr>
                        <pic:blipFill>
                          <a:blip r:embed="rId12"/>
                          <a:stretch>
                            <a:fillRect/>
                          </a:stretch>
                        </pic:blipFill>
                        <pic:spPr>
                          <a:xfrm>
                            <a:off x="0" y="0"/>
                            <a:ext cx="1123950" cy="714375"/>
                          </a:xfrm>
                          <a:prstGeom prst="rect">
                            <a:avLst/>
                          </a:prstGeom>
                          <a:noFill/>
                          <a:ln w="9525">
                            <a:noFill/>
                          </a:ln>
                        </pic:spPr>
                      </pic:pic>
                    </a:graphicData>
                  </a:graphic>
                </wp:inline>
              </w:drawing>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1400*700*760</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10张</w:t>
            </w:r>
          </w:p>
        </w:tc>
        <w:tc>
          <w:tcPr>
            <w:tcW w:w="86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2"/>
                <w:szCs w:val="22"/>
                <w:u w:val="none"/>
              </w:rPr>
            </w:pPr>
            <w:r>
              <w:rPr>
                <w:rFonts w:hint="eastAsia" w:ascii="宋体" w:hAnsi="宋体" w:eastAsia="宋体" w:cs="宋体"/>
                <w:i w:val="0"/>
                <w:color w:val="000000"/>
                <w:kern w:val="0"/>
                <w:sz w:val="22"/>
                <w:szCs w:val="22"/>
                <w:u w:val="none"/>
                <w:lang w:val="en-US" w:eastAsia="zh-CN" w:bidi="ar"/>
              </w:rPr>
              <w:t>进口优质胡桃木纹贴面，木皮纹路自然清晰；采用广西三元AA级优质环保密度纤维板,密度高达700KG/m3以上，木材为干燥率低于10%含水率;采用台湾“大宝” 绿色环保哑光聚脂漆,台面经过9道工序精心处理,台面光亮平整, 油漆无颗粒,无气泡,无渣点,颜色均匀、硬度高。德国BMB五金配件，门</w:t>
            </w:r>
            <w:r>
              <w:rPr>
                <w:rFonts w:hint="eastAsia" w:ascii="宋体" w:hAnsi="宋体" w:eastAsia="宋体" w:cs="宋体"/>
                <w:i w:val="0"/>
                <w:color w:val="auto"/>
                <w:kern w:val="0"/>
                <w:sz w:val="22"/>
                <w:szCs w:val="22"/>
                <w:u w:val="none"/>
                <w:lang w:val="en-US" w:eastAsia="zh-CN" w:bidi="ar"/>
              </w:rPr>
              <w:t>铰易滑动，载重力强，噪声小等优点。符合国际环保标准(</w:t>
            </w:r>
            <w:r>
              <w:rPr>
                <w:rStyle w:val="298"/>
                <w:color w:val="auto"/>
                <w:lang w:val="en-US" w:eastAsia="zh-CN" w:bidi="ar"/>
              </w:rPr>
              <w:t>台面实心厚度60MM毫米)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1"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1.3床</w:t>
            </w:r>
          </w:p>
        </w:tc>
        <w:tc>
          <w:tcPr>
            <w:tcW w:w="2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drawing>
                <wp:inline distT="0" distB="0" distL="114300" distR="114300">
                  <wp:extent cx="1076325" cy="800100"/>
                  <wp:effectExtent l="0" t="0" r="9525" b="0"/>
                  <wp:docPr id="34" name="图片 19"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19" descr="IMG_257"/>
                          <pic:cNvPicPr>
                            <a:picLocks noChangeAspect="1"/>
                          </pic:cNvPicPr>
                        </pic:nvPicPr>
                        <pic:blipFill>
                          <a:blip r:embed="rId13"/>
                          <a:stretch>
                            <a:fillRect/>
                          </a:stretch>
                        </pic:blipFill>
                        <pic:spPr>
                          <a:xfrm>
                            <a:off x="0" y="0"/>
                            <a:ext cx="1076325" cy="800100"/>
                          </a:xfrm>
                          <a:prstGeom prst="rect">
                            <a:avLst/>
                          </a:prstGeom>
                          <a:noFill/>
                          <a:ln w="9525">
                            <a:noFill/>
                          </a:ln>
                        </pic:spPr>
                      </pic:pic>
                    </a:graphicData>
                  </a:graphic>
                </wp:inline>
              </w:drawing>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1300*2000*430</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1张</w:t>
            </w:r>
          </w:p>
        </w:tc>
        <w:tc>
          <w:tcPr>
            <w:tcW w:w="86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2"/>
                <w:szCs w:val="22"/>
                <w:u w:val="none"/>
              </w:rPr>
            </w:pPr>
            <w:r>
              <w:rPr>
                <w:rFonts w:hint="eastAsia" w:ascii="宋体" w:hAnsi="宋体" w:eastAsia="宋体" w:cs="宋体"/>
                <w:i w:val="0"/>
                <w:color w:val="000000"/>
                <w:kern w:val="0"/>
                <w:sz w:val="22"/>
                <w:szCs w:val="22"/>
                <w:u w:val="none"/>
                <w:lang w:val="en-US" w:eastAsia="zh-CN" w:bidi="ar"/>
              </w:rPr>
              <w:t>全柏实木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61"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1.3床垫</w:t>
            </w:r>
          </w:p>
        </w:tc>
        <w:tc>
          <w:tcPr>
            <w:tcW w:w="2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drawing>
                <wp:inline distT="0" distB="0" distL="114300" distR="114300">
                  <wp:extent cx="714375" cy="800100"/>
                  <wp:effectExtent l="0" t="0" r="9525" b="0"/>
                  <wp:docPr id="21" name="图片 20"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0" descr="IMG_258"/>
                          <pic:cNvPicPr>
                            <a:picLocks noChangeAspect="1"/>
                          </pic:cNvPicPr>
                        </pic:nvPicPr>
                        <pic:blipFill>
                          <a:blip r:embed="rId14"/>
                          <a:stretch>
                            <a:fillRect/>
                          </a:stretch>
                        </pic:blipFill>
                        <pic:spPr>
                          <a:xfrm>
                            <a:off x="0" y="0"/>
                            <a:ext cx="714375" cy="800100"/>
                          </a:xfrm>
                          <a:prstGeom prst="rect">
                            <a:avLst/>
                          </a:prstGeom>
                          <a:noFill/>
                          <a:ln w="9525">
                            <a:noFill/>
                          </a:ln>
                        </pic:spPr>
                      </pic:pic>
                    </a:graphicData>
                  </a:graphic>
                </wp:inline>
              </w:drawing>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1300*2000</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1张</w:t>
            </w:r>
          </w:p>
        </w:tc>
        <w:tc>
          <w:tcPr>
            <w:tcW w:w="86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2"/>
                <w:szCs w:val="22"/>
                <w:u w:val="none"/>
              </w:rPr>
            </w:pPr>
            <w:r>
              <w:rPr>
                <w:rFonts w:hint="eastAsia" w:ascii="宋体" w:hAnsi="宋体" w:eastAsia="宋体" w:cs="宋体"/>
                <w:i w:val="0"/>
                <w:color w:val="000000"/>
                <w:kern w:val="0"/>
                <w:sz w:val="22"/>
                <w:szCs w:val="22"/>
                <w:u w:val="none"/>
                <w:lang w:val="en-US" w:eastAsia="zh-CN" w:bidi="ar"/>
              </w:rPr>
              <w:t>棕+布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06"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办公椅子</w:t>
            </w:r>
          </w:p>
        </w:tc>
        <w:tc>
          <w:tcPr>
            <w:tcW w:w="2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drawing>
                <wp:inline distT="0" distB="0" distL="114300" distR="114300">
                  <wp:extent cx="676275" cy="704850"/>
                  <wp:effectExtent l="0" t="0" r="9525" b="0"/>
                  <wp:docPr id="23" name="图片 21"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1" descr="IMG_259"/>
                          <pic:cNvPicPr>
                            <a:picLocks noChangeAspect="1"/>
                          </pic:cNvPicPr>
                        </pic:nvPicPr>
                        <pic:blipFill>
                          <a:blip r:embed="rId15"/>
                          <a:stretch>
                            <a:fillRect/>
                          </a:stretch>
                        </pic:blipFill>
                        <pic:spPr>
                          <a:xfrm>
                            <a:off x="0" y="0"/>
                            <a:ext cx="676275" cy="704850"/>
                          </a:xfrm>
                          <a:prstGeom prst="rect">
                            <a:avLst/>
                          </a:prstGeom>
                          <a:noFill/>
                          <a:ln w="9525">
                            <a:noFill/>
                          </a:ln>
                        </pic:spPr>
                      </pic:pic>
                    </a:graphicData>
                  </a:graphic>
                </wp:inline>
              </w:drawing>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厂标</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13张</w:t>
            </w:r>
          </w:p>
        </w:tc>
        <w:tc>
          <w:tcPr>
            <w:tcW w:w="86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2"/>
                <w:szCs w:val="22"/>
                <w:u w:val="none"/>
              </w:rPr>
            </w:pPr>
            <w:r>
              <w:rPr>
                <w:rFonts w:hint="eastAsia" w:ascii="宋体" w:hAnsi="宋体" w:eastAsia="宋体" w:cs="宋体"/>
                <w:i w:val="0"/>
                <w:color w:val="000000"/>
                <w:kern w:val="0"/>
                <w:sz w:val="22"/>
                <w:szCs w:val="22"/>
                <w:u w:val="none"/>
                <w:lang w:val="en-US" w:eastAsia="zh-CN" w:bidi="ar"/>
              </w:rPr>
              <w:t>广州钢架+网（高靠）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26"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文件柜</w:t>
            </w:r>
          </w:p>
        </w:tc>
        <w:tc>
          <w:tcPr>
            <w:tcW w:w="2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drawing>
                <wp:inline distT="0" distB="0" distL="114300" distR="114300">
                  <wp:extent cx="771525" cy="1276350"/>
                  <wp:effectExtent l="0" t="0" r="9525" b="0"/>
                  <wp:docPr id="19" name="图片 22"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22" descr="IMG_260"/>
                          <pic:cNvPicPr>
                            <a:picLocks noChangeAspect="1"/>
                          </pic:cNvPicPr>
                        </pic:nvPicPr>
                        <pic:blipFill>
                          <a:blip r:embed="rId16"/>
                          <a:stretch>
                            <a:fillRect/>
                          </a:stretch>
                        </pic:blipFill>
                        <pic:spPr>
                          <a:xfrm>
                            <a:off x="0" y="0"/>
                            <a:ext cx="771525" cy="1276350"/>
                          </a:xfrm>
                          <a:prstGeom prst="rect">
                            <a:avLst/>
                          </a:prstGeom>
                          <a:noFill/>
                          <a:ln w="9525">
                            <a:noFill/>
                          </a:ln>
                        </pic:spPr>
                      </pic:pic>
                    </a:graphicData>
                  </a:graphic>
                </wp:inline>
              </w:drawing>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1800*860*400</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5组</w:t>
            </w:r>
          </w:p>
        </w:tc>
        <w:tc>
          <w:tcPr>
            <w:tcW w:w="86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i w:val="0"/>
                <w:color w:val="000000"/>
                <w:kern w:val="0"/>
                <w:sz w:val="22"/>
                <w:szCs w:val="22"/>
                <w:u w:val="none"/>
                <w:lang w:val="en-US" w:eastAsia="zh-CN" w:bidi="ar"/>
              </w:rPr>
              <w:t>采用0.6mm优质SPCC冷轧钢，进口环氧聚酯粉汽车烤气，保用10年不退色，不掉色，不生锈。易开易锁的“忘通”锁。钥匙上必须有编号钢印，文件柜底部，隔板下面必须加筋，使文件柜每层承重60Kg以上，更牢固，更安全。所有颜色与原产品无大的色差,所有锁具必须同下，方便以后好维修。颜色：进口亚光色。</w:t>
            </w:r>
            <w:r>
              <w:rPr>
                <w:rFonts w:hint="eastAsia" w:ascii="宋体" w:hAnsi="宋体" w:eastAsia="宋体" w:cs="宋体"/>
                <w:b/>
                <w:i w:val="0"/>
                <w:color w:val="000000"/>
                <w:kern w:val="0"/>
                <w:sz w:val="24"/>
                <w:szCs w:val="24"/>
                <w:u w:val="none"/>
                <w:lang w:val="en-US" w:eastAsia="zh-CN" w:bidi="ar"/>
              </w:rPr>
              <w:drawing>
                <wp:inline distT="0" distB="0" distL="114300" distR="114300">
                  <wp:extent cx="561975" cy="685800"/>
                  <wp:effectExtent l="0" t="0" r="9525" b="0"/>
                  <wp:docPr id="20" name="图片 23"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3" descr="IMG_261"/>
                          <pic:cNvPicPr>
                            <a:picLocks noChangeAspect="1"/>
                          </pic:cNvPicPr>
                        </pic:nvPicPr>
                        <pic:blipFill>
                          <a:blip r:embed="rId17"/>
                          <a:stretch>
                            <a:fillRect/>
                          </a:stretch>
                        </pic:blipFill>
                        <pic:spPr>
                          <a:xfrm>
                            <a:off x="0" y="0"/>
                            <a:ext cx="561975" cy="685800"/>
                          </a:xfrm>
                          <a:prstGeom prst="rect">
                            <a:avLst/>
                          </a:prstGeom>
                          <a:noFill/>
                          <a:ln w="9525">
                            <a:noFill/>
                          </a:ln>
                        </pic:spPr>
                      </pic:pic>
                    </a:graphicData>
                  </a:graphic>
                </wp:inline>
              </w:drawing>
            </w:r>
            <w:r>
              <w:rPr>
                <w:rFonts w:hint="eastAsia" w:ascii="宋体" w:hAnsi="宋体" w:eastAsia="宋体" w:cs="宋体"/>
                <w:b/>
                <w:i w:val="0"/>
                <w:color w:val="000000"/>
                <w:kern w:val="0"/>
                <w:sz w:val="24"/>
                <w:szCs w:val="24"/>
                <w:u w:val="none"/>
                <w:lang w:val="en-US" w:eastAsia="zh-CN" w:bidi="ar"/>
              </w:rPr>
              <w:drawing>
                <wp:inline distT="0" distB="0" distL="114300" distR="114300">
                  <wp:extent cx="619125" cy="676275"/>
                  <wp:effectExtent l="0" t="0" r="9525" b="9525"/>
                  <wp:docPr id="18" name="图片 24"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24" descr="IMG_262"/>
                          <pic:cNvPicPr>
                            <a:picLocks noChangeAspect="1"/>
                          </pic:cNvPicPr>
                        </pic:nvPicPr>
                        <pic:blipFill>
                          <a:blip r:embed="rId18"/>
                          <a:stretch>
                            <a:fillRect/>
                          </a:stretch>
                        </pic:blipFill>
                        <pic:spPr>
                          <a:xfrm>
                            <a:off x="0" y="0"/>
                            <a:ext cx="619125" cy="676275"/>
                          </a:xfrm>
                          <a:prstGeom prst="rect">
                            <a:avLst/>
                          </a:prstGeom>
                          <a:noFill/>
                          <a:ln w="9525">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1"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书柜</w:t>
            </w:r>
          </w:p>
        </w:tc>
        <w:tc>
          <w:tcPr>
            <w:tcW w:w="2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drawing>
                <wp:inline distT="0" distB="0" distL="114300" distR="114300">
                  <wp:extent cx="876300" cy="1590675"/>
                  <wp:effectExtent l="0" t="0" r="0" b="9525"/>
                  <wp:docPr id="31" name="图片 25"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25" descr="IMG_263"/>
                          <pic:cNvPicPr>
                            <a:picLocks noChangeAspect="1"/>
                          </pic:cNvPicPr>
                        </pic:nvPicPr>
                        <pic:blipFill>
                          <a:blip r:embed="rId19"/>
                          <a:stretch>
                            <a:fillRect/>
                          </a:stretch>
                        </pic:blipFill>
                        <pic:spPr>
                          <a:xfrm>
                            <a:off x="0" y="0"/>
                            <a:ext cx="876300" cy="1590675"/>
                          </a:xfrm>
                          <a:prstGeom prst="rect">
                            <a:avLst/>
                          </a:prstGeom>
                          <a:noFill/>
                          <a:ln w="9525">
                            <a:noFill/>
                          </a:ln>
                        </pic:spPr>
                      </pic:pic>
                    </a:graphicData>
                  </a:graphic>
                </wp:inline>
              </w:drawing>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1800*860*400</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2组</w:t>
            </w:r>
          </w:p>
        </w:tc>
        <w:tc>
          <w:tcPr>
            <w:tcW w:w="86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06"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上下铺床</w:t>
            </w:r>
          </w:p>
        </w:tc>
        <w:tc>
          <w:tcPr>
            <w:tcW w:w="2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drawing>
                <wp:inline distT="0" distB="0" distL="114300" distR="114300">
                  <wp:extent cx="1133475" cy="847725"/>
                  <wp:effectExtent l="0" t="0" r="9525" b="9525"/>
                  <wp:docPr id="30" name="图片 26"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26" descr="IMG_264"/>
                          <pic:cNvPicPr>
                            <a:picLocks noChangeAspect="1"/>
                          </pic:cNvPicPr>
                        </pic:nvPicPr>
                        <pic:blipFill>
                          <a:blip r:embed="rId20"/>
                          <a:stretch>
                            <a:fillRect/>
                          </a:stretch>
                        </pic:blipFill>
                        <pic:spPr>
                          <a:xfrm>
                            <a:off x="0" y="0"/>
                            <a:ext cx="1133475" cy="847725"/>
                          </a:xfrm>
                          <a:prstGeom prst="rect">
                            <a:avLst/>
                          </a:prstGeom>
                          <a:noFill/>
                          <a:ln w="9525">
                            <a:noFill/>
                          </a:ln>
                        </pic:spPr>
                      </pic:pic>
                    </a:graphicData>
                  </a:graphic>
                </wp:inline>
              </w:drawing>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2000*2000*900</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4套</w:t>
            </w:r>
          </w:p>
        </w:tc>
        <w:tc>
          <w:tcPr>
            <w:tcW w:w="86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2"/>
                <w:szCs w:val="22"/>
                <w:u w:val="none"/>
              </w:rPr>
            </w:pPr>
            <w:r>
              <w:rPr>
                <w:rFonts w:hint="eastAsia" w:ascii="宋体" w:hAnsi="宋体" w:eastAsia="宋体" w:cs="宋体"/>
                <w:i w:val="0"/>
                <w:color w:val="000000"/>
                <w:kern w:val="0"/>
                <w:sz w:val="22"/>
                <w:szCs w:val="22"/>
                <w:u w:val="none"/>
                <w:lang w:val="en-US" w:eastAsia="zh-CN" w:bidi="ar"/>
              </w:rPr>
              <w:t>采用1.2mm优质SPCC冷轧钢，进口环氧聚酯粉汽车烤气，保用10年不退色，不掉色，不生锈。易开易锁的“品牌”锁。钥匙上必须有编号钢印，文件柜底部，隔板下面必须加筋，使文件柜每层承重60Kg以上，更牢固，更安全。所有颜色与原产品无大的色差,所有锁具必须同下，方便以后好维修。颜色：进口亚光色。立柱：50*35，厚度1.5mm床档36mm*52mm 厚度2.0mm  .床横条：26.5*26.5mm厚度1.5mm.床爬梯：外挂式，采用26.5mm*26.5mm的1.5mm厚度2.0mm优质SPCC冷轧钢，带塑胶板。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2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0.9床垫</w:t>
            </w:r>
          </w:p>
        </w:tc>
        <w:tc>
          <w:tcPr>
            <w:tcW w:w="2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drawing>
                <wp:inline distT="0" distB="0" distL="114300" distR="114300">
                  <wp:extent cx="571500" cy="542925"/>
                  <wp:effectExtent l="0" t="0" r="0" b="9525"/>
                  <wp:docPr id="32" name="图片 27"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27" descr="IMG_265"/>
                          <pic:cNvPicPr>
                            <a:picLocks noChangeAspect="1"/>
                          </pic:cNvPicPr>
                        </pic:nvPicPr>
                        <pic:blipFill>
                          <a:blip r:embed="rId21"/>
                          <a:stretch>
                            <a:fillRect/>
                          </a:stretch>
                        </pic:blipFill>
                        <pic:spPr>
                          <a:xfrm>
                            <a:off x="0" y="0"/>
                            <a:ext cx="571500" cy="542925"/>
                          </a:xfrm>
                          <a:prstGeom prst="rect">
                            <a:avLst/>
                          </a:prstGeom>
                          <a:noFill/>
                          <a:ln w="9525">
                            <a:noFill/>
                          </a:ln>
                        </pic:spPr>
                      </pic:pic>
                    </a:graphicData>
                  </a:graphic>
                </wp:inline>
              </w:drawing>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2000*900</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8张</w:t>
            </w:r>
          </w:p>
        </w:tc>
        <w:tc>
          <w:tcPr>
            <w:tcW w:w="86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2"/>
                <w:szCs w:val="22"/>
                <w:u w:val="none"/>
              </w:rPr>
            </w:pPr>
            <w:r>
              <w:rPr>
                <w:lang w:val="en-US" w:eastAsia="zh-CN" w:bidi="ar"/>
              </w:rPr>
              <w:t>棕</w:t>
            </w:r>
            <w:r>
              <w:rPr>
                <w:rStyle w:val="297"/>
                <w:lang w:val="en-US" w:eastAsia="zh-CN" w:bidi="ar"/>
              </w:rPr>
              <w:t>+</w:t>
            </w:r>
            <w:r>
              <w:rPr>
                <w:lang w:val="en-US" w:eastAsia="zh-CN" w:bidi="ar"/>
              </w:rPr>
              <w:t>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16"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1.6班台</w:t>
            </w:r>
          </w:p>
        </w:tc>
        <w:tc>
          <w:tcPr>
            <w:tcW w:w="2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drawing>
                <wp:inline distT="0" distB="0" distL="114300" distR="114300">
                  <wp:extent cx="1276350" cy="990600"/>
                  <wp:effectExtent l="0" t="0" r="0" b="0"/>
                  <wp:docPr id="28" name="图片 28"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IMG_266"/>
                          <pic:cNvPicPr>
                            <a:picLocks noChangeAspect="1"/>
                          </pic:cNvPicPr>
                        </pic:nvPicPr>
                        <pic:blipFill>
                          <a:blip r:embed="rId22"/>
                          <a:stretch>
                            <a:fillRect/>
                          </a:stretch>
                        </pic:blipFill>
                        <pic:spPr>
                          <a:xfrm>
                            <a:off x="0" y="0"/>
                            <a:ext cx="1276350" cy="990600"/>
                          </a:xfrm>
                          <a:prstGeom prst="rect">
                            <a:avLst/>
                          </a:prstGeom>
                          <a:noFill/>
                          <a:ln w="9525">
                            <a:noFill/>
                          </a:ln>
                        </pic:spPr>
                      </pic:pic>
                    </a:graphicData>
                  </a:graphic>
                </wp:inline>
              </w:drawing>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1600*800*760</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1张</w:t>
            </w:r>
          </w:p>
        </w:tc>
        <w:tc>
          <w:tcPr>
            <w:tcW w:w="86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2"/>
                <w:szCs w:val="22"/>
                <w:u w:val="none"/>
              </w:rPr>
            </w:pPr>
            <w:r>
              <w:rPr>
                <w:rFonts w:hint="eastAsia" w:ascii="宋体" w:hAnsi="宋体" w:eastAsia="宋体" w:cs="宋体"/>
                <w:i w:val="0"/>
                <w:color w:val="000000"/>
                <w:kern w:val="0"/>
                <w:sz w:val="22"/>
                <w:szCs w:val="22"/>
                <w:u w:val="none"/>
                <w:lang w:val="en-US" w:eastAsia="zh-CN" w:bidi="ar"/>
              </w:rPr>
              <w:t>进口优质胡桃木纹贴面，木皮纹路自然清晰；采用广西三元AA级优质环保密度纤维板,密度高达700KG/m3以上，木材为干燥率低于10%含水率;采用台湾“大宝” 绿色环保哑光聚脂漆,台面经过9道工序精心处理,台面光亮平整, 油漆无颗粒,无气泡,无渣点,颜色均匀、硬度高。德国BMB五金配件，门铰易滑动，载重力强，噪声小等优点。符合国际环保标准(台面实心厚度60MM毫米)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55"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三人沙发</w:t>
            </w:r>
          </w:p>
        </w:tc>
        <w:tc>
          <w:tcPr>
            <w:tcW w:w="2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drawing>
                <wp:inline distT="0" distB="0" distL="114300" distR="114300">
                  <wp:extent cx="990600" cy="895350"/>
                  <wp:effectExtent l="0" t="0" r="0" b="0"/>
                  <wp:docPr id="29" name="图片 29"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IMG_267"/>
                          <pic:cNvPicPr>
                            <a:picLocks noChangeAspect="1"/>
                          </pic:cNvPicPr>
                        </pic:nvPicPr>
                        <pic:blipFill>
                          <a:blip r:embed="rId23"/>
                          <a:stretch>
                            <a:fillRect/>
                          </a:stretch>
                        </pic:blipFill>
                        <pic:spPr>
                          <a:xfrm>
                            <a:off x="0" y="0"/>
                            <a:ext cx="990600" cy="895350"/>
                          </a:xfrm>
                          <a:prstGeom prst="rect">
                            <a:avLst/>
                          </a:prstGeom>
                          <a:noFill/>
                          <a:ln w="9525">
                            <a:noFill/>
                          </a:ln>
                        </pic:spPr>
                      </pic:pic>
                    </a:graphicData>
                  </a:graphic>
                </wp:inline>
              </w:drawing>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厂标</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1张</w:t>
            </w:r>
          </w:p>
        </w:tc>
        <w:tc>
          <w:tcPr>
            <w:tcW w:w="8694" w:type="dxa"/>
            <w:vMerge w:val="restart"/>
            <w:tcBorders>
              <w:top w:val="single" w:color="000000" w:sz="4" w:space="0"/>
              <w:left w:val="single" w:color="000000" w:sz="4" w:space="0"/>
              <w:right w:val="single" w:color="000000" w:sz="4" w:space="0"/>
            </w:tcBorders>
            <w:shd w:val="clear" w:color="auto" w:fill="auto"/>
            <w:vAlign w:val="center"/>
          </w:tcPr>
          <w:p>
            <w:pPr>
              <w:jc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国产一级韩皮，皮面经液态浸色及防潮、防污等工艺处理，光泽度好，透气性强，柔软且富于韧性，弓形脚架，内衬45#高密度PU成型发泡海绵，根据人体工学原理设计，坐感舒适。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61"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1.2双层茶几</w:t>
            </w:r>
          </w:p>
        </w:tc>
        <w:tc>
          <w:tcPr>
            <w:tcW w:w="2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drawing>
                <wp:inline distT="0" distB="0" distL="114300" distR="114300">
                  <wp:extent cx="1162050" cy="571500"/>
                  <wp:effectExtent l="0" t="0" r="0" b="0"/>
                  <wp:docPr id="33" name="图片 30"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0" descr="IMG_268"/>
                          <pic:cNvPicPr>
                            <a:picLocks noChangeAspect="1"/>
                          </pic:cNvPicPr>
                        </pic:nvPicPr>
                        <pic:blipFill>
                          <a:blip r:embed="rId24"/>
                          <a:stretch>
                            <a:fillRect/>
                          </a:stretch>
                        </pic:blipFill>
                        <pic:spPr>
                          <a:xfrm>
                            <a:off x="0" y="0"/>
                            <a:ext cx="1162050" cy="571500"/>
                          </a:xfrm>
                          <a:prstGeom prst="rect">
                            <a:avLst/>
                          </a:prstGeom>
                          <a:noFill/>
                          <a:ln w="9525">
                            <a:noFill/>
                          </a:ln>
                        </pic:spPr>
                      </pic:pic>
                    </a:graphicData>
                  </a:graphic>
                </wp:inline>
              </w:drawing>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1200*600*450</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1张</w:t>
            </w:r>
          </w:p>
        </w:tc>
        <w:tc>
          <w:tcPr>
            <w:tcW w:w="8694"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36"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定制9.2会议桌</w:t>
            </w:r>
          </w:p>
        </w:tc>
        <w:tc>
          <w:tcPr>
            <w:tcW w:w="2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drawing>
                <wp:inline distT="0" distB="0" distL="114300" distR="114300">
                  <wp:extent cx="1266825" cy="609600"/>
                  <wp:effectExtent l="0" t="0" r="9525" b="0"/>
                  <wp:docPr id="26" name="图片 31"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31" descr="IMG_269"/>
                          <pic:cNvPicPr>
                            <a:picLocks noChangeAspect="1"/>
                          </pic:cNvPicPr>
                        </pic:nvPicPr>
                        <pic:blipFill>
                          <a:blip r:embed="rId25"/>
                          <a:stretch>
                            <a:fillRect/>
                          </a:stretch>
                        </pic:blipFill>
                        <pic:spPr>
                          <a:xfrm>
                            <a:off x="0" y="0"/>
                            <a:ext cx="1266825" cy="609600"/>
                          </a:xfrm>
                          <a:prstGeom prst="rect">
                            <a:avLst/>
                          </a:prstGeom>
                          <a:noFill/>
                          <a:ln w="9525">
                            <a:noFill/>
                          </a:ln>
                        </pic:spPr>
                      </pic:pic>
                    </a:graphicData>
                  </a:graphic>
                </wp:inline>
              </w:drawing>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9200*2300*780</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1张</w:t>
            </w:r>
          </w:p>
        </w:tc>
        <w:tc>
          <w:tcPr>
            <w:tcW w:w="86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进口优质胡桃木皮贴面，木皮纹路自然清晰；采用广西三元AA级优质环保密度纤维板,密度高达700KG/m3以上，木材为干燥率低于10%含水率;采用台湾“大宝” 绿色环保哑光聚脂漆,台面经过9道工序精心处理,台面光亮平整, 油漆无颗粒,无气泡,无渣点,颜色均匀、硬度高。德国BMB五金配件，门铰易滑动，载重力强，噪声小等优点。符合国际环保标准(台面实心厚度60MM毫米)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31"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主席椅</w:t>
            </w:r>
          </w:p>
        </w:tc>
        <w:tc>
          <w:tcPr>
            <w:tcW w:w="2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drawing>
                <wp:inline distT="0" distB="0" distL="114300" distR="114300">
                  <wp:extent cx="1104900" cy="1038225"/>
                  <wp:effectExtent l="0" t="0" r="0" b="9525"/>
                  <wp:docPr id="25" name="图片 32" descr="IMG_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32" descr="IMG_270"/>
                          <pic:cNvPicPr>
                            <a:picLocks noChangeAspect="1"/>
                          </pic:cNvPicPr>
                        </pic:nvPicPr>
                        <pic:blipFill>
                          <a:blip r:embed="rId26"/>
                          <a:stretch>
                            <a:fillRect/>
                          </a:stretch>
                        </pic:blipFill>
                        <pic:spPr>
                          <a:xfrm>
                            <a:off x="0" y="0"/>
                            <a:ext cx="1104900" cy="1038225"/>
                          </a:xfrm>
                          <a:prstGeom prst="rect">
                            <a:avLst/>
                          </a:prstGeom>
                          <a:noFill/>
                          <a:ln w="9525">
                            <a:noFill/>
                          </a:ln>
                        </pic:spPr>
                      </pic:pic>
                    </a:graphicData>
                  </a:graphic>
                </wp:inline>
              </w:drawing>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厂标</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20张</w:t>
            </w:r>
          </w:p>
        </w:tc>
        <w:tc>
          <w:tcPr>
            <w:tcW w:w="8694" w:type="dxa"/>
            <w:vMerge w:val="restart"/>
            <w:tcBorders>
              <w:top w:val="single" w:color="000000" w:sz="4" w:space="0"/>
              <w:left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2"/>
                <w:szCs w:val="22"/>
                <w:u w:val="none"/>
              </w:rPr>
            </w:pPr>
            <w:r>
              <w:rPr>
                <w:rFonts w:hint="eastAsia" w:ascii="宋体" w:hAnsi="宋体" w:eastAsia="宋体" w:cs="宋体"/>
                <w:i w:val="0"/>
                <w:color w:val="000000"/>
                <w:kern w:val="0"/>
                <w:sz w:val="22"/>
                <w:szCs w:val="22"/>
                <w:u w:val="none"/>
                <w:lang w:val="en-US" w:eastAsia="zh-CN" w:bidi="ar"/>
              </w:rPr>
              <w:t>国产一级韩皮，皮面经液态浸色及防潮、防污等工艺处理，光泽度好，透气性强，柔软且富于韧性，弓形脚架，内衬45#高密度PU成型发泡海绵，根据人体工学原理设计，坐感舒适。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81"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会议椅</w:t>
            </w:r>
          </w:p>
        </w:tc>
        <w:tc>
          <w:tcPr>
            <w:tcW w:w="2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drawing>
                <wp:inline distT="0" distB="0" distL="114300" distR="114300">
                  <wp:extent cx="571500" cy="790575"/>
                  <wp:effectExtent l="0" t="0" r="0" b="9525"/>
                  <wp:docPr id="27" name="图片 33" descr="IMG_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33" descr="IMG_271"/>
                          <pic:cNvPicPr>
                            <a:picLocks noChangeAspect="1"/>
                          </pic:cNvPicPr>
                        </pic:nvPicPr>
                        <pic:blipFill>
                          <a:blip r:embed="rId27"/>
                          <a:stretch>
                            <a:fillRect/>
                          </a:stretch>
                        </pic:blipFill>
                        <pic:spPr>
                          <a:xfrm>
                            <a:off x="0" y="0"/>
                            <a:ext cx="571500" cy="790575"/>
                          </a:xfrm>
                          <a:prstGeom prst="rect">
                            <a:avLst/>
                          </a:prstGeom>
                          <a:noFill/>
                          <a:ln w="9525">
                            <a:noFill/>
                          </a:ln>
                        </pic:spPr>
                      </pic:pic>
                    </a:graphicData>
                  </a:graphic>
                </wp:inline>
              </w:drawing>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厂标</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10张</w:t>
            </w:r>
          </w:p>
        </w:tc>
        <w:tc>
          <w:tcPr>
            <w:tcW w:w="8694"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91"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茶水柜</w:t>
            </w:r>
          </w:p>
        </w:tc>
        <w:tc>
          <w:tcPr>
            <w:tcW w:w="2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drawing>
                <wp:inline distT="0" distB="0" distL="114300" distR="114300">
                  <wp:extent cx="695325" cy="742950"/>
                  <wp:effectExtent l="0" t="0" r="9525" b="0"/>
                  <wp:docPr id="24" name="图片 34" descr="IMG_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34" descr="IMG_272"/>
                          <pic:cNvPicPr>
                            <a:picLocks noChangeAspect="1"/>
                          </pic:cNvPicPr>
                        </pic:nvPicPr>
                        <pic:blipFill>
                          <a:blip r:embed="rId28"/>
                          <a:stretch>
                            <a:fillRect/>
                          </a:stretch>
                        </pic:blipFill>
                        <pic:spPr>
                          <a:xfrm>
                            <a:off x="0" y="0"/>
                            <a:ext cx="695325" cy="742950"/>
                          </a:xfrm>
                          <a:prstGeom prst="rect">
                            <a:avLst/>
                          </a:prstGeom>
                          <a:noFill/>
                          <a:ln w="9525">
                            <a:noFill/>
                          </a:ln>
                        </pic:spPr>
                      </pic:pic>
                    </a:graphicData>
                  </a:graphic>
                </wp:inline>
              </w:drawing>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800*400*850</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2组</w:t>
            </w:r>
          </w:p>
        </w:tc>
        <w:tc>
          <w:tcPr>
            <w:tcW w:w="86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2"/>
                <w:szCs w:val="22"/>
                <w:u w:val="none"/>
              </w:rPr>
            </w:pPr>
            <w:r>
              <w:rPr>
                <w:rFonts w:hint="eastAsia" w:ascii="宋体" w:hAnsi="宋体" w:eastAsia="宋体" w:cs="宋体"/>
                <w:i w:val="0"/>
                <w:color w:val="000000"/>
                <w:kern w:val="0"/>
                <w:sz w:val="22"/>
                <w:szCs w:val="22"/>
                <w:u w:val="none"/>
                <w:lang w:val="en-US" w:eastAsia="zh-CN" w:bidi="ar"/>
              </w:rPr>
              <w:t>进口优质胡桃木纹贴面，木皮纹路自然清晰；采用广西三元AA级优质环保密度纤维板,密度高达700KG/m3以上，木材为干燥率低于10%含水率;采用台湾“大宝” 绿色环保哑光聚脂漆,台面经过9道工序精心处理,台面光亮平整, 油漆无颗粒,无气泡,无渣点,颜色均匀、硬度高。德国BMB五金配件，门铰易滑动，载重力强，噪声小等优点。符合国际环保标准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1" w:hRule="atLeast"/>
        </w:trPr>
        <w:tc>
          <w:tcPr>
            <w:tcW w:w="1387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b/>
                <w:bCs/>
                <w:i w:val="0"/>
                <w:color w:val="000000"/>
                <w:kern w:val="0"/>
                <w:sz w:val="28"/>
                <w:szCs w:val="28"/>
                <w:u w:val="none"/>
                <w:lang w:val="en-US" w:eastAsia="zh-CN" w:bidi="ar"/>
              </w:rPr>
              <w:t>合计78520.00元整</w:t>
            </w:r>
          </w:p>
        </w:tc>
      </w:tr>
    </w:tbl>
    <w:p>
      <w:pPr>
        <w:rPr>
          <w:rFonts w:hAnsi="宋体"/>
          <w:b/>
          <w:bCs/>
          <w:sz w:val="24"/>
        </w:rPr>
        <w:sectPr>
          <w:footerReference r:id="rId9" w:type="default"/>
          <w:pgSz w:w="16838" w:h="11906" w:orient="landscape"/>
          <w:pgMar w:top="1797" w:right="1440" w:bottom="1797" w:left="1440" w:header="851" w:footer="992" w:gutter="0"/>
          <w:pgNumType w:fmt="decimal"/>
          <w:cols w:space="0" w:num="1"/>
          <w:rtlGutter w:val="0"/>
          <w:docGrid w:linePitch="312" w:charSpace="0"/>
        </w:sectPr>
      </w:pPr>
      <w:r>
        <w:rPr>
          <w:rFonts w:hAnsi="宋体"/>
          <w:b/>
          <w:bCs/>
          <w:sz w:val="24"/>
        </w:rPr>
        <w:br w:type="page"/>
      </w:r>
    </w:p>
    <w:p>
      <w:pPr>
        <w:ind w:firstLine="723" w:firstLineChars="300"/>
        <w:jc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一、化验室布局设计</w:t>
      </w:r>
    </w:p>
    <w:tbl>
      <w:tblPr>
        <w:tblStyle w:val="55"/>
        <w:tblpPr w:leftFromText="180" w:rightFromText="180" w:vertAnchor="page" w:horzAnchor="page" w:tblpX="694" w:tblpY="2148"/>
        <w:tblOverlap w:val="never"/>
        <w:tblW w:w="107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93"/>
        <w:gridCol w:w="1958"/>
        <w:gridCol w:w="1432"/>
        <w:gridCol w:w="1170"/>
        <w:gridCol w:w="825"/>
        <w:gridCol w:w="49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09" w:hRule="atLeast"/>
        </w:trPr>
        <w:tc>
          <w:tcPr>
            <w:tcW w:w="3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1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名称</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规格</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数量</w:t>
            </w:r>
          </w:p>
        </w:tc>
        <w:tc>
          <w:tcPr>
            <w:tcW w:w="4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3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天平台</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900*600*800</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4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Q型钢木结构,钢架采用40*60*2.0mm优质冷轧钢管，台面为δ40MM花岗石台面,三级减震式设计.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1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试验台</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1500*750*850</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米</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4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C-frame型钢木结构,台面采用优质δ12.7mm实芯理化板台面, 边缘加厚.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1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药品柜</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900*450*1800</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4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铝木结构,上玻璃门下木门，上下各配两层木制活动层板.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1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高温台</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2450*800*600</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米</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2.45</w:t>
            </w:r>
          </w:p>
        </w:tc>
        <w:tc>
          <w:tcPr>
            <w:tcW w:w="4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C-frame型钢木结构,台面采用δ20大理石台面铰链：优质自闭式铰链。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1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器皿柜</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900*450*1800</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4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铝木结构,上下玻璃门，上下各配两层抗倍特层板冲孔.铝合金包边，带接水盘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1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试验台</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3000*750*850</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米</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4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C-frame型钢木结构,台面采用优质δ12.7mm实芯理化板台面, 边缘加厚.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7" w:hRule="atLeast"/>
        </w:trPr>
        <w:tc>
          <w:tcPr>
            <w:tcW w:w="3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1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水盆水龙头</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500*400*300</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4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PP材质，水龙头铜管壁，陶瓷阀芯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1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试验台</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4750*750*850</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米</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4.75</w:t>
            </w:r>
          </w:p>
        </w:tc>
        <w:tc>
          <w:tcPr>
            <w:tcW w:w="4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C-frame型钢木结构,台面采用优质δ12.7mm实芯理化板台面, 边缘加厚.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1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中央台</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3250*1500*850*2</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米</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w:t>
            </w:r>
          </w:p>
        </w:tc>
        <w:tc>
          <w:tcPr>
            <w:tcW w:w="4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C-frame型钢木结构,台面采用优质δ12.7mm实芯理化板台面, 边缘加厚.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3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1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试剂架</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2500*300*700*2</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米</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4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铝玻结构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7" w:hRule="atLeast"/>
        </w:trPr>
        <w:tc>
          <w:tcPr>
            <w:tcW w:w="3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1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水盆水龙头</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500*400*300</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4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PP材质，水龙头铜管壁，陶瓷阀芯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2" w:hRule="atLeast"/>
        </w:trPr>
        <w:tc>
          <w:tcPr>
            <w:tcW w:w="3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1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滴水架</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500*400</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4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PP材质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11" w:hRule="atLeast"/>
        </w:trPr>
        <w:tc>
          <w:tcPr>
            <w:tcW w:w="3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1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通风柜</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1500*800*2350</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4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全钢结构，台面为δ12.7mm实芯理化板,边缘加厚，台面沿口倒圆角处理；柜体：侧板为1.5MM冷轧钢板；视窗：6mm厚安全防爆玻璃导流板、内衬板：采用6MM厚抗倍特板。配漏电开关及30W日光灯二支，带控制面板。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3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1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电子调风阀</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Φ250</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4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PP材料外壳，电子元件.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2" w:hRule="atLeast"/>
        </w:trPr>
        <w:tc>
          <w:tcPr>
            <w:tcW w:w="3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1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通风系统</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标准</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4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离心风机，弯头PVC，PVC管道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2" w:hRule="atLeast"/>
        </w:trPr>
        <w:tc>
          <w:tcPr>
            <w:tcW w:w="3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w:t>
            </w:r>
          </w:p>
        </w:tc>
        <w:tc>
          <w:tcPr>
            <w:tcW w:w="1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实验凳</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标准</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4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西皮凳面，五星脚，气动升降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4" w:hRule="atLeast"/>
        </w:trPr>
        <w:tc>
          <w:tcPr>
            <w:tcW w:w="3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w:t>
            </w:r>
          </w:p>
        </w:tc>
        <w:tc>
          <w:tcPr>
            <w:tcW w:w="1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插座盒</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标准</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4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优质钢板折弯焊接成梯形盒，经酸洗磷化，静电喷涂环氧树脂，配品牌插座，带2.5平方铜线</w:t>
            </w:r>
          </w:p>
        </w:tc>
      </w:tr>
    </w:tbl>
    <w:p>
      <w:pPr>
        <w:pStyle w:val="2"/>
      </w:pPr>
    </w:p>
    <w:p>
      <w:pPr>
        <w:numPr>
          <w:ilvl w:val="0"/>
          <w:numId w:val="3"/>
        </w:numPr>
        <w:tabs>
          <w:tab w:val="left" w:pos="3868"/>
        </w:tabs>
        <w:jc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化验室主要设备</w:t>
      </w:r>
    </w:p>
    <w:tbl>
      <w:tblPr>
        <w:tblStyle w:val="55"/>
        <w:tblW w:w="10455" w:type="dxa"/>
        <w:tblInd w:w="-9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945"/>
        <w:gridCol w:w="5682"/>
        <w:gridCol w:w="1518"/>
        <w:gridCol w:w="1230"/>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序号</w:t>
            </w:r>
          </w:p>
        </w:tc>
        <w:tc>
          <w:tcPr>
            <w:tcW w:w="5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名称</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规格</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单位</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5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可调六联电炉</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6ｘ300W</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组</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5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电热恒温干燥箱</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5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电热恒温培养箱</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5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电热蒸馏水器</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5L/h</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5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电热恒温水浴锅</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2KW</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5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紫外可见分光光度计</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190nm-900nm</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5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全自动电子天平</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1/10000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5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托盘天平</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color w:val="000000"/>
                <w:sz w:val="24"/>
                <w:szCs w:val="24"/>
                <w:u w:val="none"/>
              </w:rPr>
            </w:pPr>
            <w:r>
              <w:rPr>
                <w:rFonts w:hint="eastAsia" w:ascii="Times New Roman" w:hAnsi="Times New Roman" w:eastAsia="宋体" w:cs="Times New Roman"/>
                <w:i w:val="0"/>
                <w:color w:val="000000"/>
                <w:sz w:val="24"/>
                <w:szCs w:val="24"/>
                <w:u w:val="none"/>
                <w:lang w:eastAsia="zh-CN"/>
              </w:rPr>
              <w:t>标准</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5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冰箱</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180L</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5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高倍显微镜</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100倍</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5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电动六联搅拌机</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同步</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5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高压蒸汽消毒器</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50HJ</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5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节能</w:t>
            </w:r>
            <w:r>
              <w:rPr>
                <w:rFonts w:hint="eastAsia" w:ascii="宋体" w:hAnsi="宋体" w:eastAsia="宋体" w:cs="宋体"/>
                <w:i w:val="0"/>
                <w:color w:val="000000"/>
                <w:kern w:val="0"/>
                <w:sz w:val="24"/>
                <w:szCs w:val="24"/>
                <w:u w:val="none"/>
                <w:lang w:val="en-US" w:eastAsia="zh-CN" w:bidi="ar"/>
              </w:rPr>
              <w:t>COD恒温加热器</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JH-12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5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便携式溶解氧仪</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val="0"/>
                <w:bCs/>
                <w:i w:val="0"/>
                <w:color w:val="000000"/>
                <w:kern w:val="0"/>
                <w:sz w:val="24"/>
                <w:szCs w:val="24"/>
                <w:u w:val="none"/>
                <w:lang w:val="en-US" w:eastAsia="zh-CN" w:bidi="ar"/>
              </w:rPr>
              <w:t>0-20mg/L</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bl>
    <w:p>
      <w:pPr>
        <w:numPr>
          <w:ilvl w:val="0"/>
          <w:numId w:val="3"/>
        </w:numPr>
        <w:tabs>
          <w:tab w:val="left" w:pos="3868"/>
        </w:tabs>
        <w:ind w:left="0" w:leftChars="0" w:firstLine="0" w:firstLineChars="0"/>
        <w:jc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化验室主要器具</w:t>
      </w:r>
    </w:p>
    <w:tbl>
      <w:tblPr>
        <w:tblStyle w:val="55"/>
        <w:tblW w:w="10425" w:type="dxa"/>
        <w:tblInd w:w="-97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915"/>
        <w:gridCol w:w="5697"/>
        <w:gridCol w:w="1518"/>
        <w:gridCol w:w="1230"/>
        <w:gridCol w:w="10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5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仪器名称</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型号规格</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数量</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w:t>
            </w:r>
          </w:p>
        </w:tc>
        <w:tc>
          <w:tcPr>
            <w:tcW w:w="56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细口试剂瓶（白色）</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1000ml</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6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500ml</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6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250ml</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6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125ml</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w:t>
            </w:r>
          </w:p>
        </w:tc>
        <w:tc>
          <w:tcPr>
            <w:tcW w:w="56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细口试剂瓶（棕色）</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1000ml</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6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500ml</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6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250ml</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6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125ml</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w:t>
            </w:r>
          </w:p>
        </w:tc>
        <w:tc>
          <w:tcPr>
            <w:tcW w:w="56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容量瓶（白色）</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1000ml</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6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500ml</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6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250ml</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6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100ml</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4</w:t>
            </w:r>
          </w:p>
        </w:tc>
        <w:tc>
          <w:tcPr>
            <w:tcW w:w="56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容量瓶（棕色）</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1000ml</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6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500ml</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6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250ml</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6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100ml</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w:t>
            </w:r>
          </w:p>
        </w:tc>
        <w:tc>
          <w:tcPr>
            <w:tcW w:w="56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具塞磨口广口瓶</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250ml</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6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1000ml</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6</w:t>
            </w:r>
          </w:p>
        </w:tc>
        <w:tc>
          <w:tcPr>
            <w:tcW w:w="5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溶氧瓶</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250ml</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7</w:t>
            </w:r>
          </w:p>
        </w:tc>
        <w:tc>
          <w:tcPr>
            <w:tcW w:w="5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胶头滴管</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r>
              <w:rPr>
                <w:rFonts w:hint="eastAsia" w:ascii="Times New Roman" w:hAnsi="Times New Roman" w:eastAsia="宋体" w:cs="Times New Roman"/>
                <w:i w:val="0"/>
                <w:color w:val="000000"/>
                <w:sz w:val="24"/>
                <w:szCs w:val="24"/>
                <w:u w:val="none"/>
                <w:lang w:eastAsia="zh-CN"/>
              </w:rPr>
              <w:t>标准</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8</w:t>
            </w:r>
          </w:p>
        </w:tc>
        <w:tc>
          <w:tcPr>
            <w:tcW w:w="5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锥形瓶</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500ml</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9</w:t>
            </w:r>
          </w:p>
        </w:tc>
        <w:tc>
          <w:tcPr>
            <w:tcW w:w="5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酸式滴定管（白色）</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50ml</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6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酸式滴定管（棕色）</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25ml</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6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50ml</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w:t>
            </w:r>
          </w:p>
        </w:tc>
        <w:tc>
          <w:tcPr>
            <w:tcW w:w="56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碱式滴定管</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25ml</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6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50ml</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11</w:t>
            </w:r>
          </w:p>
        </w:tc>
        <w:tc>
          <w:tcPr>
            <w:tcW w:w="56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刻度吸管</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1ml</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6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2ml</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6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5ml</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6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10ml</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6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20ml</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12</w:t>
            </w:r>
          </w:p>
        </w:tc>
        <w:tc>
          <w:tcPr>
            <w:tcW w:w="56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大肚移液管</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5ml</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6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10ml</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6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25ml</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13</w:t>
            </w:r>
          </w:p>
        </w:tc>
        <w:tc>
          <w:tcPr>
            <w:tcW w:w="5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玻璃螺口具塞比色管</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50ml</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14</w:t>
            </w:r>
          </w:p>
        </w:tc>
        <w:tc>
          <w:tcPr>
            <w:tcW w:w="56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烧杯</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100ml</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6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250ml</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6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500ml</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6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1000ml</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15</w:t>
            </w:r>
          </w:p>
        </w:tc>
        <w:tc>
          <w:tcPr>
            <w:tcW w:w="56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量筒</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50ml</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6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100ml</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6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500ml</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6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1000ml</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16</w:t>
            </w:r>
          </w:p>
        </w:tc>
        <w:tc>
          <w:tcPr>
            <w:tcW w:w="56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玻璃棒</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20cm</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6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40cm</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17</w:t>
            </w:r>
          </w:p>
        </w:tc>
        <w:tc>
          <w:tcPr>
            <w:tcW w:w="5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玻璃漏斗</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￠120mm</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18</w:t>
            </w:r>
          </w:p>
        </w:tc>
        <w:tc>
          <w:tcPr>
            <w:tcW w:w="5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温度计</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0－100℃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19</w:t>
            </w:r>
          </w:p>
        </w:tc>
        <w:tc>
          <w:tcPr>
            <w:tcW w:w="5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石英比色皿</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1cm</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w:t>
            </w:r>
          </w:p>
        </w:tc>
        <w:tc>
          <w:tcPr>
            <w:tcW w:w="56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聚乙烯瓶</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500ml</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6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1000ml</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21</w:t>
            </w:r>
          </w:p>
        </w:tc>
        <w:tc>
          <w:tcPr>
            <w:tcW w:w="5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玻璃珠</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w:t>
            </w:r>
            <w:r>
              <w:rPr>
                <w:lang w:val="en-US" w:eastAsia="zh-CN" w:bidi="ar"/>
              </w:rPr>
              <w:t>－</w:t>
            </w:r>
            <w:r>
              <w:rPr>
                <w:rFonts w:hint="default" w:ascii="Times New Roman" w:hAnsi="Times New Roman" w:eastAsia="宋体" w:cs="Times New Roman"/>
                <w:i w:val="0"/>
                <w:color w:val="000000"/>
                <w:kern w:val="0"/>
                <w:sz w:val="24"/>
                <w:szCs w:val="24"/>
                <w:u w:val="none"/>
                <w:lang w:val="en-US" w:eastAsia="zh-CN" w:bidi="ar"/>
              </w:rPr>
              <w:t>6mm</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载玻片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r>
              <w:rPr>
                <w:rFonts w:hint="eastAsia" w:ascii="Times New Roman" w:hAnsi="Times New Roman" w:eastAsia="宋体" w:cs="Times New Roman"/>
                <w:i w:val="0"/>
                <w:color w:val="000000"/>
                <w:sz w:val="24"/>
                <w:szCs w:val="24"/>
                <w:u w:val="none"/>
                <w:lang w:eastAsia="zh-CN"/>
              </w:rPr>
              <w:t>标准</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盖玻片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eastAsia" w:ascii="Times New Roman" w:hAnsi="Times New Roman" w:eastAsia="宋体" w:cs="Times New Roman"/>
                <w:i w:val="0"/>
                <w:color w:val="000000"/>
                <w:sz w:val="24"/>
                <w:szCs w:val="24"/>
                <w:u w:val="none"/>
                <w:lang w:eastAsia="zh-CN"/>
              </w:rPr>
              <w:t>标准</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镜头纸</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r>
              <w:rPr>
                <w:rFonts w:hint="eastAsia" w:ascii="Times New Roman" w:hAnsi="Times New Roman" w:eastAsia="宋体" w:cs="Times New Roman"/>
                <w:i w:val="0"/>
                <w:color w:val="000000"/>
                <w:sz w:val="24"/>
                <w:szCs w:val="24"/>
                <w:u w:val="none"/>
                <w:lang w:eastAsia="zh-CN"/>
              </w:rPr>
              <w:t>标准</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22</w:t>
            </w:r>
          </w:p>
        </w:tc>
        <w:tc>
          <w:tcPr>
            <w:tcW w:w="5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default" w:ascii="宋体" w:hAnsi="宋体" w:eastAsia="宋体" w:cs="宋体"/>
                <w:i w:val="0"/>
                <w:color w:val="000000"/>
                <w:kern w:val="0"/>
                <w:sz w:val="24"/>
                <w:szCs w:val="24"/>
                <w:u w:val="none"/>
                <w:lang w:val="en-US" w:eastAsia="zh-CN" w:bidi="ar"/>
              </w:rPr>
            </w:pPr>
            <w:r>
              <w:rPr>
                <w:rFonts w:hint="default" w:ascii="宋体" w:hAnsi="宋体" w:eastAsia="宋体" w:cs="宋体"/>
                <w:i w:val="0"/>
                <w:color w:val="000000"/>
                <w:kern w:val="0"/>
                <w:sz w:val="24"/>
                <w:szCs w:val="24"/>
                <w:u w:val="none"/>
                <w:lang w:val="en-US" w:eastAsia="zh-CN" w:bidi="ar"/>
              </w:rPr>
              <w:t>PH</w:t>
            </w:r>
            <w:r>
              <w:rPr>
                <w:rFonts w:hint="eastAsia" w:ascii="宋体" w:hAnsi="宋体" w:eastAsia="宋体" w:cs="宋体"/>
                <w:i w:val="0"/>
                <w:color w:val="000000"/>
                <w:kern w:val="0"/>
                <w:sz w:val="24"/>
                <w:szCs w:val="24"/>
                <w:u w:val="none"/>
                <w:lang w:val="en-US" w:eastAsia="zh-CN" w:bidi="ar"/>
              </w:rPr>
              <w:t>试纸</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测试范围</w:t>
            </w:r>
            <w:r>
              <w:rPr>
                <w:rFonts w:hint="default" w:ascii="宋体" w:hAnsi="宋体" w:eastAsia="宋体" w:cs="宋体"/>
                <w:i w:val="0"/>
                <w:color w:val="000000"/>
                <w:kern w:val="0"/>
                <w:sz w:val="24"/>
                <w:szCs w:val="24"/>
                <w:u w:val="none"/>
                <w:lang w:val="en-US" w:eastAsia="zh-CN" w:bidi="ar"/>
              </w:rPr>
              <w:t>0</w:t>
            </w:r>
            <w:r>
              <w:rPr>
                <w:rFonts w:hint="eastAsia" w:ascii="宋体" w:hAnsi="宋体" w:eastAsia="宋体" w:cs="宋体"/>
                <w:i w:val="0"/>
                <w:color w:val="000000"/>
                <w:kern w:val="0"/>
                <w:sz w:val="24"/>
                <w:szCs w:val="24"/>
                <w:u w:val="none"/>
                <w:lang w:val="en-US" w:eastAsia="zh-CN" w:bidi="ar"/>
              </w:rPr>
              <w:t>－</w:t>
            </w:r>
            <w:r>
              <w:rPr>
                <w:rFonts w:hint="default" w:ascii="宋体" w:hAnsi="宋体" w:eastAsia="宋体" w:cs="宋体"/>
                <w:i w:val="0"/>
                <w:color w:val="000000"/>
                <w:kern w:val="0"/>
                <w:sz w:val="24"/>
                <w:szCs w:val="24"/>
                <w:u w:val="none"/>
                <w:lang w:val="en-US" w:eastAsia="zh-CN" w:bidi="ar"/>
              </w:rPr>
              <w:t>14</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23</w:t>
            </w:r>
          </w:p>
        </w:tc>
        <w:tc>
          <w:tcPr>
            <w:tcW w:w="56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滤纸</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定量</w:t>
            </w:r>
            <w:r>
              <w:rPr>
                <w:rFonts w:hint="default" w:ascii="宋体" w:hAnsi="宋体" w:eastAsia="宋体" w:cs="宋体"/>
                <w:i w:val="0"/>
                <w:color w:val="000000"/>
                <w:kern w:val="0"/>
                <w:sz w:val="24"/>
                <w:szCs w:val="24"/>
                <w:u w:val="none"/>
                <w:lang w:val="en-US" w:eastAsia="zh-CN" w:bidi="ar"/>
              </w:rPr>
              <w:t>φ12.5 cm</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6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定量</w:t>
            </w:r>
            <w:r>
              <w:rPr>
                <w:rFonts w:hint="default" w:ascii="宋体" w:hAnsi="宋体" w:eastAsia="宋体" w:cs="宋体"/>
                <w:i w:val="0"/>
                <w:color w:val="000000"/>
                <w:kern w:val="0"/>
                <w:sz w:val="24"/>
                <w:szCs w:val="24"/>
                <w:u w:val="none"/>
                <w:lang w:val="en-US" w:eastAsia="zh-CN" w:bidi="ar"/>
              </w:rPr>
              <w:t>φ15 cm</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24</w:t>
            </w:r>
          </w:p>
        </w:tc>
        <w:tc>
          <w:tcPr>
            <w:tcW w:w="5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塑料桶</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20L</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25</w:t>
            </w:r>
          </w:p>
        </w:tc>
        <w:tc>
          <w:tcPr>
            <w:tcW w:w="5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塑料洗瓶</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500ml</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26</w:t>
            </w:r>
          </w:p>
        </w:tc>
        <w:tc>
          <w:tcPr>
            <w:tcW w:w="5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采样筒</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1000ml</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采样器</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2000ml</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27</w:t>
            </w:r>
          </w:p>
        </w:tc>
        <w:tc>
          <w:tcPr>
            <w:tcW w:w="56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洗耳球</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6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小</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28</w:t>
            </w:r>
          </w:p>
        </w:tc>
        <w:tc>
          <w:tcPr>
            <w:tcW w:w="5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铁架台</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带有蝴蝶夹</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29</w:t>
            </w:r>
          </w:p>
        </w:tc>
        <w:tc>
          <w:tcPr>
            <w:tcW w:w="5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万能夹</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带有耐热胶管</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30</w:t>
            </w:r>
          </w:p>
        </w:tc>
        <w:tc>
          <w:tcPr>
            <w:tcW w:w="5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止水夹</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铝制</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31</w:t>
            </w:r>
          </w:p>
        </w:tc>
        <w:tc>
          <w:tcPr>
            <w:tcW w:w="5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漏斗架</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r>
              <w:rPr>
                <w:rFonts w:hint="eastAsia" w:ascii="Times New Roman" w:hAnsi="Times New Roman" w:eastAsia="宋体" w:cs="Times New Roman"/>
                <w:i w:val="0"/>
                <w:color w:val="000000"/>
                <w:sz w:val="24"/>
                <w:szCs w:val="24"/>
                <w:u w:val="none"/>
                <w:lang w:eastAsia="zh-CN"/>
              </w:rPr>
              <w:t>标准</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32</w:t>
            </w:r>
          </w:p>
        </w:tc>
        <w:tc>
          <w:tcPr>
            <w:tcW w:w="5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毛刷</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洗各种玻璃仪器用</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33</w:t>
            </w:r>
          </w:p>
        </w:tc>
        <w:tc>
          <w:tcPr>
            <w:tcW w:w="56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试管刷</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6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小</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34</w:t>
            </w:r>
          </w:p>
        </w:tc>
        <w:tc>
          <w:tcPr>
            <w:tcW w:w="5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药匙</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塑料</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35</w:t>
            </w:r>
          </w:p>
        </w:tc>
        <w:tc>
          <w:tcPr>
            <w:tcW w:w="5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不锈钢镊子</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Times New Roman"/>
                <w:i w:val="0"/>
                <w:color w:val="auto"/>
                <w:sz w:val="24"/>
                <w:szCs w:val="24"/>
                <w:u w:val="none"/>
                <w:lang w:eastAsia="zh-CN"/>
              </w:rPr>
            </w:pPr>
            <w:r>
              <w:rPr>
                <w:rFonts w:hint="eastAsia" w:ascii="Times New Roman" w:hAnsi="Times New Roman" w:eastAsia="宋体" w:cs="Times New Roman"/>
                <w:i w:val="0"/>
                <w:color w:val="auto"/>
                <w:sz w:val="24"/>
                <w:szCs w:val="24"/>
                <w:u w:val="none"/>
                <w:lang w:eastAsia="zh-CN"/>
              </w:rPr>
              <w:t>标准</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2</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36</w:t>
            </w:r>
          </w:p>
        </w:tc>
        <w:tc>
          <w:tcPr>
            <w:tcW w:w="5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不锈钢剪刀</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24"/>
                <w:szCs w:val="24"/>
                <w:u w:val="none"/>
              </w:rPr>
            </w:pPr>
            <w:r>
              <w:rPr>
                <w:rFonts w:hint="eastAsia" w:ascii="Times New Roman" w:hAnsi="Times New Roman" w:eastAsia="宋体" w:cs="Times New Roman"/>
                <w:i w:val="0"/>
                <w:color w:val="auto"/>
                <w:sz w:val="24"/>
                <w:szCs w:val="24"/>
                <w:u w:val="none"/>
                <w:lang w:eastAsia="zh-CN"/>
              </w:rPr>
              <w:t>标准</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37</w:t>
            </w:r>
          </w:p>
        </w:tc>
        <w:tc>
          <w:tcPr>
            <w:tcW w:w="5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医用纱布</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24"/>
                <w:szCs w:val="24"/>
                <w:u w:val="none"/>
              </w:rPr>
            </w:pPr>
            <w:r>
              <w:rPr>
                <w:rFonts w:hint="eastAsia" w:ascii="Times New Roman" w:hAnsi="Times New Roman" w:eastAsia="宋体" w:cs="Times New Roman"/>
                <w:i w:val="0"/>
                <w:color w:val="auto"/>
                <w:sz w:val="24"/>
                <w:szCs w:val="24"/>
                <w:u w:val="none"/>
                <w:lang w:eastAsia="zh-CN"/>
              </w:rPr>
              <w:t>标准</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38</w:t>
            </w:r>
          </w:p>
        </w:tc>
        <w:tc>
          <w:tcPr>
            <w:tcW w:w="5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医用胶布</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24"/>
                <w:szCs w:val="24"/>
                <w:u w:val="none"/>
              </w:rPr>
            </w:pPr>
            <w:r>
              <w:rPr>
                <w:rFonts w:hint="eastAsia" w:ascii="Times New Roman" w:hAnsi="Times New Roman" w:eastAsia="宋体" w:cs="Times New Roman"/>
                <w:i w:val="0"/>
                <w:color w:val="auto"/>
                <w:sz w:val="24"/>
                <w:szCs w:val="24"/>
                <w:u w:val="none"/>
                <w:lang w:eastAsia="zh-CN"/>
              </w:rPr>
              <w:t>标准</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39</w:t>
            </w:r>
          </w:p>
        </w:tc>
        <w:tc>
          <w:tcPr>
            <w:tcW w:w="5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医用脱脂棉</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4"/>
                <w:szCs w:val="24"/>
                <w:u w:val="none"/>
              </w:rPr>
            </w:pPr>
            <w:r>
              <w:rPr>
                <w:rFonts w:hint="eastAsia" w:ascii="Times New Roman" w:hAnsi="Times New Roman" w:eastAsia="宋体" w:cs="Times New Roman"/>
                <w:i w:val="0"/>
                <w:color w:val="auto"/>
                <w:sz w:val="24"/>
                <w:szCs w:val="24"/>
                <w:u w:val="none"/>
                <w:lang w:eastAsia="zh-CN"/>
              </w:rPr>
              <w:t>标准</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40</w:t>
            </w:r>
          </w:p>
        </w:tc>
        <w:tc>
          <w:tcPr>
            <w:tcW w:w="5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标签纸</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4"/>
                <w:szCs w:val="24"/>
                <w:u w:val="none"/>
              </w:rPr>
            </w:pPr>
            <w:r>
              <w:rPr>
                <w:rFonts w:hint="eastAsia" w:ascii="Times New Roman" w:hAnsi="Times New Roman" w:eastAsia="宋体" w:cs="Times New Roman"/>
                <w:i w:val="0"/>
                <w:color w:val="auto"/>
                <w:sz w:val="24"/>
                <w:szCs w:val="24"/>
                <w:u w:val="none"/>
                <w:lang w:eastAsia="zh-CN"/>
              </w:rPr>
              <w:t>标准</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41</w:t>
            </w:r>
          </w:p>
        </w:tc>
        <w:tc>
          <w:tcPr>
            <w:tcW w:w="5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防酸碱橡胶长手套</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24"/>
                <w:szCs w:val="24"/>
                <w:u w:val="none"/>
              </w:rPr>
            </w:pPr>
            <w:r>
              <w:rPr>
                <w:rFonts w:hint="eastAsia" w:ascii="Times New Roman" w:hAnsi="Times New Roman" w:eastAsia="宋体" w:cs="Times New Roman"/>
                <w:i w:val="0"/>
                <w:color w:val="auto"/>
                <w:sz w:val="24"/>
                <w:szCs w:val="24"/>
                <w:u w:val="none"/>
                <w:lang w:eastAsia="zh-CN"/>
              </w:rPr>
              <w:t>标准</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42</w:t>
            </w:r>
          </w:p>
        </w:tc>
        <w:tc>
          <w:tcPr>
            <w:tcW w:w="5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白色棉布手套</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24"/>
                <w:szCs w:val="24"/>
                <w:u w:val="none"/>
              </w:rPr>
            </w:pPr>
            <w:r>
              <w:rPr>
                <w:rFonts w:hint="eastAsia" w:ascii="Times New Roman" w:hAnsi="Times New Roman" w:eastAsia="宋体" w:cs="Times New Roman"/>
                <w:i w:val="0"/>
                <w:color w:val="auto"/>
                <w:sz w:val="24"/>
                <w:szCs w:val="24"/>
                <w:u w:val="none"/>
                <w:lang w:eastAsia="zh-CN"/>
              </w:rPr>
              <w:t>标准</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43</w:t>
            </w:r>
          </w:p>
        </w:tc>
        <w:tc>
          <w:tcPr>
            <w:tcW w:w="5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温湿度表</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24"/>
                <w:szCs w:val="24"/>
                <w:u w:val="none"/>
              </w:rPr>
            </w:pPr>
            <w:r>
              <w:rPr>
                <w:rFonts w:hint="eastAsia" w:ascii="Times New Roman" w:hAnsi="Times New Roman" w:eastAsia="宋体" w:cs="Times New Roman"/>
                <w:i w:val="0"/>
                <w:color w:val="auto"/>
                <w:sz w:val="24"/>
                <w:szCs w:val="24"/>
                <w:u w:val="none"/>
                <w:lang w:eastAsia="zh-CN"/>
              </w:rPr>
              <w:t>标准</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44</w:t>
            </w:r>
          </w:p>
        </w:tc>
        <w:tc>
          <w:tcPr>
            <w:tcW w:w="5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电子石英定时器</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24"/>
                <w:szCs w:val="24"/>
                <w:u w:val="none"/>
              </w:rPr>
            </w:pPr>
            <w:r>
              <w:rPr>
                <w:rFonts w:hint="eastAsia" w:ascii="Times New Roman" w:hAnsi="Times New Roman" w:eastAsia="宋体" w:cs="Times New Roman"/>
                <w:i w:val="0"/>
                <w:color w:val="auto"/>
                <w:sz w:val="24"/>
                <w:szCs w:val="24"/>
                <w:u w:val="none"/>
                <w:lang w:eastAsia="zh-CN"/>
              </w:rPr>
              <w:t>标准</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45</w:t>
            </w:r>
          </w:p>
        </w:tc>
        <w:tc>
          <w:tcPr>
            <w:tcW w:w="5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细口玻璃瓶</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10L</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w:t>
            </w:r>
          </w:p>
        </w:tc>
        <w:tc>
          <w:tcPr>
            <w:tcW w:w="56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量杯</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50ml</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56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100ml</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56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250ml</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56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500ml</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47</w:t>
            </w:r>
          </w:p>
        </w:tc>
        <w:tc>
          <w:tcPr>
            <w:tcW w:w="5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擦镜纸</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eastAsia="zh-CN"/>
              </w:rPr>
              <w:t>标准</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w:t>
            </w:r>
          </w:p>
        </w:tc>
      </w:tr>
    </w:tbl>
    <w:p>
      <w:pPr>
        <w:pStyle w:val="2"/>
      </w:pPr>
    </w:p>
    <w:tbl>
      <w:tblPr>
        <w:tblStyle w:val="55"/>
        <w:tblW w:w="10410" w:type="dxa"/>
        <w:tblInd w:w="-876" w:type="dxa"/>
        <w:tblLayout w:type="fixed"/>
        <w:tblCellMar>
          <w:top w:w="0" w:type="dxa"/>
          <w:left w:w="108" w:type="dxa"/>
          <w:bottom w:w="0" w:type="dxa"/>
          <w:right w:w="108" w:type="dxa"/>
        </w:tblCellMar>
      </w:tblPr>
      <w:tblGrid>
        <w:gridCol w:w="1735"/>
        <w:gridCol w:w="1735"/>
        <w:gridCol w:w="1735"/>
        <w:gridCol w:w="1735"/>
        <w:gridCol w:w="1735"/>
        <w:gridCol w:w="1735"/>
      </w:tblGrid>
      <w:tr>
        <w:tblPrEx>
          <w:tblLayout w:type="fixed"/>
          <w:tblCellMar>
            <w:top w:w="0" w:type="dxa"/>
            <w:left w:w="108" w:type="dxa"/>
            <w:bottom w:w="0" w:type="dxa"/>
            <w:right w:w="108" w:type="dxa"/>
          </w:tblCellMar>
        </w:tblPrEx>
        <w:trPr>
          <w:trHeight w:val="297" w:hRule="atLeast"/>
        </w:trPr>
        <w:tc>
          <w:tcPr>
            <w:tcW w:w="10410" w:type="dxa"/>
            <w:gridSpan w:val="6"/>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eastAsia="宋体" w:cs="宋体"/>
                <w:b/>
                <w:bCs/>
                <w:color w:val="000000"/>
                <w:kern w:val="0"/>
                <w:sz w:val="32"/>
                <w:szCs w:val="32"/>
              </w:rPr>
            </w:pPr>
            <w:r>
              <w:rPr>
                <w:rFonts w:hint="eastAsia" w:ascii="宋体" w:hAnsi="宋体" w:eastAsia="宋体" w:cs="宋体"/>
                <w:b/>
                <w:bCs/>
                <w:color w:val="000000"/>
                <w:kern w:val="0"/>
                <w:sz w:val="32"/>
                <w:szCs w:val="32"/>
                <w:lang w:eastAsia="zh-CN"/>
              </w:rPr>
              <w:t>四</w:t>
            </w:r>
            <w:r>
              <w:rPr>
                <w:rFonts w:hint="eastAsia" w:ascii="宋体" w:hAnsi="宋体" w:eastAsia="宋体" w:cs="宋体"/>
                <w:b/>
                <w:bCs/>
                <w:color w:val="000000"/>
                <w:kern w:val="0"/>
                <w:sz w:val="32"/>
                <w:szCs w:val="32"/>
              </w:rPr>
              <w:t>、化验室常规药剂</w:t>
            </w:r>
          </w:p>
        </w:tc>
      </w:tr>
      <w:tr>
        <w:tblPrEx>
          <w:tblLayout w:type="fixed"/>
          <w:tblCellMar>
            <w:top w:w="0" w:type="dxa"/>
            <w:left w:w="108" w:type="dxa"/>
            <w:bottom w:w="0" w:type="dxa"/>
            <w:right w:w="108" w:type="dxa"/>
          </w:tblCellMar>
        </w:tblPrEx>
        <w:trPr>
          <w:trHeight w:val="276" w:hRule="atLeast"/>
        </w:trPr>
        <w:tc>
          <w:tcPr>
            <w:tcW w:w="173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序号</w:t>
            </w:r>
          </w:p>
        </w:tc>
        <w:tc>
          <w:tcPr>
            <w:tcW w:w="17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名称</w:t>
            </w:r>
          </w:p>
        </w:tc>
        <w:tc>
          <w:tcPr>
            <w:tcW w:w="17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等级要求</w:t>
            </w:r>
          </w:p>
        </w:tc>
        <w:tc>
          <w:tcPr>
            <w:tcW w:w="17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规格</w:t>
            </w:r>
          </w:p>
        </w:tc>
        <w:tc>
          <w:tcPr>
            <w:tcW w:w="17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单位</w:t>
            </w:r>
          </w:p>
        </w:tc>
        <w:tc>
          <w:tcPr>
            <w:tcW w:w="17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数量</w:t>
            </w:r>
          </w:p>
        </w:tc>
      </w:tr>
      <w:tr>
        <w:tblPrEx>
          <w:tblLayout w:type="fixed"/>
          <w:tblCellMar>
            <w:top w:w="0" w:type="dxa"/>
            <w:left w:w="108" w:type="dxa"/>
            <w:bottom w:w="0" w:type="dxa"/>
            <w:right w:w="108" w:type="dxa"/>
          </w:tblCellMar>
        </w:tblPrEx>
        <w:trPr>
          <w:trHeight w:val="276" w:hRule="atLeast"/>
        </w:trPr>
        <w:tc>
          <w:tcPr>
            <w:tcW w:w="173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w:t>
            </w:r>
          </w:p>
        </w:tc>
        <w:tc>
          <w:tcPr>
            <w:tcW w:w="17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邻苯二甲酸氢钾</w:t>
            </w:r>
          </w:p>
        </w:tc>
        <w:tc>
          <w:tcPr>
            <w:tcW w:w="17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AR</w:t>
            </w:r>
          </w:p>
        </w:tc>
        <w:tc>
          <w:tcPr>
            <w:tcW w:w="17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500g</w:t>
            </w:r>
          </w:p>
        </w:tc>
        <w:tc>
          <w:tcPr>
            <w:tcW w:w="17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瓶</w:t>
            </w:r>
          </w:p>
        </w:tc>
        <w:tc>
          <w:tcPr>
            <w:tcW w:w="17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w:t>
            </w:r>
          </w:p>
        </w:tc>
      </w:tr>
      <w:tr>
        <w:tblPrEx>
          <w:tblLayout w:type="fixed"/>
          <w:tblCellMar>
            <w:top w:w="0" w:type="dxa"/>
            <w:left w:w="108" w:type="dxa"/>
            <w:bottom w:w="0" w:type="dxa"/>
            <w:right w:w="108" w:type="dxa"/>
          </w:tblCellMar>
        </w:tblPrEx>
        <w:trPr>
          <w:trHeight w:val="276" w:hRule="atLeast"/>
        </w:trPr>
        <w:tc>
          <w:tcPr>
            <w:tcW w:w="173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2</w:t>
            </w:r>
          </w:p>
        </w:tc>
        <w:tc>
          <w:tcPr>
            <w:tcW w:w="17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磷酸二氢钾</w:t>
            </w:r>
          </w:p>
        </w:tc>
        <w:tc>
          <w:tcPr>
            <w:tcW w:w="17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AR</w:t>
            </w:r>
          </w:p>
        </w:tc>
        <w:tc>
          <w:tcPr>
            <w:tcW w:w="17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500g</w:t>
            </w:r>
          </w:p>
        </w:tc>
        <w:tc>
          <w:tcPr>
            <w:tcW w:w="17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瓶</w:t>
            </w:r>
          </w:p>
        </w:tc>
        <w:tc>
          <w:tcPr>
            <w:tcW w:w="17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w:t>
            </w:r>
          </w:p>
        </w:tc>
      </w:tr>
      <w:tr>
        <w:tblPrEx>
          <w:tblLayout w:type="fixed"/>
          <w:tblCellMar>
            <w:top w:w="0" w:type="dxa"/>
            <w:left w:w="108" w:type="dxa"/>
            <w:bottom w:w="0" w:type="dxa"/>
            <w:right w:w="108" w:type="dxa"/>
          </w:tblCellMar>
        </w:tblPrEx>
        <w:trPr>
          <w:trHeight w:val="276" w:hRule="atLeast"/>
        </w:trPr>
        <w:tc>
          <w:tcPr>
            <w:tcW w:w="173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3</w:t>
            </w:r>
          </w:p>
        </w:tc>
        <w:tc>
          <w:tcPr>
            <w:tcW w:w="17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磷酸氢二钠</w:t>
            </w:r>
          </w:p>
        </w:tc>
        <w:tc>
          <w:tcPr>
            <w:tcW w:w="17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AR</w:t>
            </w:r>
          </w:p>
        </w:tc>
        <w:tc>
          <w:tcPr>
            <w:tcW w:w="17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500g</w:t>
            </w:r>
          </w:p>
        </w:tc>
        <w:tc>
          <w:tcPr>
            <w:tcW w:w="17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瓶</w:t>
            </w:r>
          </w:p>
        </w:tc>
        <w:tc>
          <w:tcPr>
            <w:tcW w:w="17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w:t>
            </w:r>
          </w:p>
        </w:tc>
      </w:tr>
      <w:tr>
        <w:tblPrEx>
          <w:tblLayout w:type="fixed"/>
          <w:tblCellMar>
            <w:top w:w="0" w:type="dxa"/>
            <w:left w:w="108" w:type="dxa"/>
            <w:bottom w:w="0" w:type="dxa"/>
            <w:right w:w="108" w:type="dxa"/>
          </w:tblCellMar>
        </w:tblPrEx>
        <w:trPr>
          <w:trHeight w:val="276" w:hRule="atLeast"/>
        </w:trPr>
        <w:tc>
          <w:tcPr>
            <w:tcW w:w="173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4</w:t>
            </w:r>
          </w:p>
        </w:tc>
        <w:tc>
          <w:tcPr>
            <w:tcW w:w="17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硼酸钠</w:t>
            </w:r>
          </w:p>
        </w:tc>
        <w:tc>
          <w:tcPr>
            <w:tcW w:w="17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AR</w:t>
            </w:r>
          </w:p>
        </w:tc>
        <w:tc>
          <w:tcPr>
            <w:tcW w:w="17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500g</w:t>
            </w:r>
          </w:p>
        </w:tc>
        <w:tc>
          <w:tcPr>
            <w:tcW w:w="17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瓶</w:t>
            </w:r>
          </w:p>
        </w:tc>
        <w:tc>
          <w:tcPr>
            <w:tcW w:w="17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w:t>
            </w:r>
          </w:p>
        </w:tc>
      </w:tr>
      <w:tr>
        <w:tblPrEx>
          <w:tblLayout w:type="fixed"/>
          <w:tblCellMar>
            <w:top w:w="0" w:type="dxa"/>
            <w:left w:w="108" w:type="dxa"/>
            <w:bottom w:w="0" w:type="dxa"/>
            <w:right w:w="108" w:type="dxa"/>
          </w:tblCellMar>
        </w:tblPrEx>
        <w:trPr>
          <w:trHeight w:val="276" w:hRule="atLeast"/>
        </w:trPr>
        <w:tc>
          <w:tcPr>
            <w:tcW w:w="173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5</w:t>
            </w:r>
          </w:p>
        </w:tc>
        <w:tc>
          <w:tcPr>
            <w:tcW w:w="17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磷酸氢二钾</w:t>
            </w:r>
          </w:p>
        </w:tc>
        <w:tc>
          <w:tcPr>
            <w:tcW w:w="17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AR</w:t>
            </w:r>
          </w:p>
        </w:tc>
        <w:tc>
          <w:tcPr>
            <w:tcW w:w="17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500g</w:t>
            </w:r>
          </w:p>
        </w:tc>
        <w:tc>
          <w:tcPr>
            <w:tcW w:w="17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瓶</w:t>
            </w:r>
          </w:p>
        </w:tc>
        <w:tc>
          <w:tcPr>
            <w:tcW w:w="17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w:t>
            </w:r>
          </w:p>
        </w:tc>
      </w:tr>
      <w:tr>
        <w:tblPrEx>
          <w:tblLayout w:type="fixed"/>
          <w:tblCellMar>
            <w:top w:w="0" w:type="dxa"/>
            <w:left w:w="108" w:type="dxa"/>
            <w:bottom w:w="0" w:type="dxa"/>
            <w:right w:w="108" w:type="dxa"/>
          </w:tblCellMar>
        </w:tblPrEx>
        <w:trPr>
          <w:trHeight w:val="276" w:hRule="atLeast"/>
        </w:trPr>
        <w:tc>
          <w:tcPr>
            <w:tcW w:w="173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6</w:t>
            </w:r>
          </w:p>
        </w:tc>
        <w:tc>
          <w:tcPr>
            <w:tcW w:w="17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氯化铵</w:t>
            </w:r>
          </w:p>
        </w:tc>
        <w:tc>
          <w:tcPr>
            <w:tcW w:w="17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AR</w:t>
            </w:r>
          </w:p>
        </w:tc>
        <w:tc>
          <w:tcPr>
            <w:tcW w:w="17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500g</w:t>
            </w:r>
          </w:p>
        </w:tc>
        <w:tc>
          <w:tcPr>
            <w:tcW w:w="17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瓶</w:t>
            </w:r>
          </w:p>
        </w:tc>
        <w:tc>
          <w:tcPr>
            <w:tcW w:w="17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w:t>
            </w:r>
          </w:p>
        </w:tc>
      </w:tr>
      <w:tr>
        <w:tblPrEx>
          <w:tblLayout w:type="fixed"/>
          <w:tblCellMar>
            <w:top w:w="0" w:type="dxa"/>
            <w:left w:w="108" w:type="dxa"/>
            <w:bottom w:w="0" w:type="dxa"/>
            <w:right w:w="108" w:type="dxa"/>
          </w:tblCellMar>
        </w:tblPrEx>
        <w:trPr>
          <w:trHeight w:val="276" w:hRule="atLeast"/>
        </w:trPr>
        <w:tc>
          <w:tcPr>
            <w:tcW w:w="173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7</w:t>
            </w:r>
          </w:p>
        </w:tc>
        <w:tc>
          <w:tcPr>
            <w:tcW w:w="17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硫酸镁</w:t>
            </w:r>
          </w:p>
        </w:tc>
        <w:tc>
          <w:tcPr>
            <w:tcW w:w="17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AR</w:t>
            </w:r>
          </w:p>
        </w:tc>
        <w:tc>
          <w:tcPr>
            <w:tcW w:w="17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500G</w:t>
            </w:r>
          </w:p>
        </w:tc>
        <w:tc>
          <w:tcPr>
            <w:tcW w:w="17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瓶</w:t>
            </w:r>
          </w:p>
        </w:tc>
        <w:tc>
          <w:tcPr>
            <w:tcW w:w="17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w:t>
            </w:r>
          </w:p>
        </w:tc>
      </w:tr>
      <w:tr>
        <w:tblPrEx>
          <w:tblLayout w:type="fixed"/>
          <w:tblCellMar>
            <w:top w:w="0" w:type="dxa"/>
            <w:left w:w="108" w:type="dxa"/>
            <w:bottom w:w="0" w:type="dxa"/>
            <w:right w:w="108" w:type="dxa"/>
          </w:tblCellMar>
        </w:tblPrEx>
        <w:trPr>
          <w:trHeight w:val="276" w:hRule="atLeast"/>
        </w:trPr>
        <w:tc>
          <w:tcPr>
            <w:tcW w:w="173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8</w:t>
            </w:r>
          </w:p>
        </w:tc>
        <w:tc>
          <w:tcPr>
            <w:tcW w:w="17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无水氯化钙</w:t>
            </w:r>
          </w:p>
        </w:tc>
        <w:tc>
          <w:tcPr>
            <w:tcW w:w="17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AR</w:t>
            </w:r>
          </w:p>
        </w:tc>
        <w:tc>
          <w:tcPr>
            <w:tcW w:w="17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500g</w:t>
            </w:r>
          </w:p>
        </w:tc>
        <w:tc>
          <w:tcPr>
            <w:tcW w:w="17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瓶</w:t>
            </w:r>
          </w:p>
        </w:tc>
        <w:tc>
          <w:tcPr>
            <w:tcW w:w="17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w:t>
            </w:r>
          </w:p>
        </w:tc>
      </w:tr>
      <w:tr>
        <w:tblPrEx>
          <w:tblLayout w:type="fixed"/>
          <w:tblCellMar>
            <w:top w:w="0" w:type="dxa"/>
            <w:left w:w="108" w:type="dxa"/>
            <w:bottom w:w="0" w:type="dxa"/>
            <w:right w:w="108" w:type="dxa"/>
          </w:tblCellMar>
        </w:tblPrEx>
        <w:trPr>
          <w:trHeight w:val="276" w:hRule="atLeast"/>
        </w:trPr>
        <w:tc>
          <w:tcPr>
            <w:tcW w:w="173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9</w:t>
            </w:r>
          </w:p>
        </w:tc>
        <w:tc>
          <w:tcPr>
            <w:tcW w:w="17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三氯化铁</w:t>
            </w:r>
          </w:p>
        </w:tc>
        <w:tc>
          <w:tcPr>
            <w:tcW w:w="17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AR</w:t>
            </w:r>
          </w:p>
        </w:tc>
        <w:tc>
          <w:tcPr>
            <w:tcW w:w="17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500g</w:t>
            </w:r>
          </w:p>
        </w:tc>
        <w:tc>
          <w:tcPr>
            <w:tcW w:w="17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瓶</w:t>
            </w:r>
          </w:p>
        </w:tc>
        <w:tc>
          <w:tcPr>
            <w:tcW w:w="17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w:t>
            </w:r>
          </w:p>
        </w:tc>
      </w:tr>
      <w:tr>
        <w:tblPrEx>
          <w:tblLayout w:type="fixed"/>
          <w:tblCellMar>
            <w:top w:w="0" w:type="dxa"/>
            <w:left w:w="108" w:type="dxa"/>
            <w:bottom w:w="0" w:type="dxa"/>
            <w:right w:w="108" w:type="dxa"/>
          </w:tblCellMar>
        </w:tblPrEx>
        <w:trPr>
          <w:trHeight w:val="276" w:hRule="atLeast"/>
        </w:trPr>
        <w:tc>
          <w:tcPr>
            <w:tcW w:w="173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10</w:t>
            </w:r>
          </w:p>
        </w:tc>
        <w:tc>
          <w:tcPr>
            <w:tcW w:w="17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氢氧化钠</w:t>
            </w:r>
          </w:p>
        </w:tc>
        <w:tc>
          <w:tcPr>
            <w:tcW w:w="17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AR</w:t>
            </w:r>
          </w:p>
        </w:tc>
        <w:tc>
          <w:tcPr>
            <w:tcW w:w="17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500g</w:t>
            </w:r>
          </w:p>
        </w:tc>
        <w:tc>
          <w:tcPr>
            <w:tcW w:w="17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瓶</w:t>
            </w:r>
          </w:p>
        </w:tc>
        <w:tc>
          <w:tcPr>
            <w:tcW w:w="17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w:t>
            </w:r>
          </w:p>
        </w:tc>
      </w:tr>
      <w:tr>
        <w:tblPrEx>
          <w:tblLayout w:type="fixed"/>
          <w:tblCellMar>
            <w:top w:w="0" w:type="dxa"/>
            <w:left w:w="108" w:type="dxa"/>
            <w:bottom w:w="0" w:type="dxa"/>
            <w:right w:w="108" w:type="dxa"/>
          </w:tblCellMar>
        </w:tblPrEx>
        <w:trPr>
          <w:trHeight w:val="276" w:hRule="atLeast"/>
        </w:trPr>
        <w:tc>
          <w:tcPr>
            <w:tcW w:w="1735" w:type="dxa"/>
            <w:tcBorders>
              <w:top w:val="nil"/>
              <w:left w:val="single" w:color="000000" w:sz="4" w:space="0"/>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11</w:t>
            </w:r>
          </w:p>
        </w:tc>
        <w:tc>
          <w:tcPr>
            <w:tcW w:w="1735"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氢氧化钾</w:t>
            </w:r>
          </w:p>
        </w:tc>
        <w:tc>
          <w:tcPr>
            <w:tcW w:w="1735"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AR</w:t>
            </w:r>
          </w:p>
        </w:tc>
        <w:tc>
          <w:tcPr>
            <w:tcW w:w="1735"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500g</w:t>
            </w:r>
          </w:p>
        </w:tc>
        <w:tc>
          <w:tcPr>
            <w:tcW w:w="1735"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瓶</w:t>
            </w:r>
          </w:p>
        </w:tc>
        <w:tc>
          <w:tcPr>
            <w:tcW w:w="1735"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w:t>
            </w:r>
          </w:p>
        </w:tc>
      </w:tr>
      <w:tr>
        <w:tblPrEx>
          <w:tblLayout w:type="fixed"/>
          <w:tblCellMar>
            <w:top w:w="0" w:type="dxa"/>
            <w:left w:w="108" w:type="dxa"/>
            <w:bottom w:w="0" w:type="dxa"/>
            <w:right w:w="108" w:type="dxa"/>
          </w:tblCellMar>
        </w:tblPrEx>
        <w:trPr>
          <w:trHeight w:val="276" w:hRule="atLeast"/>
        </w:trPr>
        <w:tc>
          <w:tcPr>
            <w:tcW w:w="1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12</w:t>
            </w:r>
          </w:p>
        </w:tc>
        <w:tc>
          <w:tcPr>
            <w:tcW w:w="1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硫代硫酸钠</w:t>
            </w:r>
          </w:p>
        </w:tc>
        <w:tc>
          <w:tcPr>
            <w:tcW w:w="1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AR</w:t>
            </w:r>
          </w:p>
        </w:tc>
        <w:tc>
          <w:tcPr>
            <w:tcW w:w="1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500g</w:t>
            </w:r>
          </w:p>
        </w:tc>
        <w:tc>
          <w:tcPr>
            <w:tcW w:w="1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瓶</w:t>
            </w:r>
          </w:p>
        </w:tc>
        <w:tc>
          <w:tcPr>
            <w:tcW w:w="1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w:t>
            </w:r>
          </w:p>
        </w:tc>
      </w:tr>
      <w:tr>
        <w:tblPrEx>
          <w:tblLayout w:type="fixed"/>
          <w:tblCellMar>
            <w:top w:w="0" w:type="dxa"/>
            <w:left w:w="108" w:type="dxa"/>
            <w:bottom w:w="0" w:type="dxa"/>
            <w:right w:w="108" w:type="dxa"/>
          </w:tblCellMar>
        </w:tblPrEx>
        <w:trPr>
          <w:trHeight w:val="276" w:hRule="atLeast"/>
        </w:trPr>
        <w:tc>
          <w:tcPr>
            <w:tcW w:w="1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13</w:t>
            </w:r>
          </w:p>
        </w:tc>
        <w:tc>
          <w:tcPr>
            <w:tcW w:w="1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碘化钾</w:t>
            </w:r>
          </w:p>
        </w:tc>
        <w:tc>
          <w:tcPr>
            <w:tcW w:w="1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AR</w:t>
            </w:r>
          </w:p>
        </w:tc>
        <w:tc>
          <w:tcPr>
            <w:tcW w:w="1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500g</w:t>
            </w:r>
          </w:p>
        </w:tc>
        <w:tc>
          <w:tcPr>
            <w:tcW w:w="1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瓶</w:t>
            </w:r>
          </w:p>
        </w:tc>
        <w:tc>
          <w:tcPr>
            <w:tcW w:w="1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w:t>
            </w:r>
          </w:p>
        </w:tc>
      </w:tr>
      <w:tr>
        <w:tblPrEx>
          <w:tblLayout w:type="fixed"/>
          <w:tblCellMar>
            <w:top w:w="0" w:type="dxa"/>
            <w:left w:w="108" w:type="dxa"/>
            <w:bottom w:w="0" w:type="dxa"/>
            <w:right w:w="108" w:type="dxa"/>
          </w:tblCellMar>
        </w:tblPrEx>
        <w:trPr>
          <w:trHeight w:val="276" w:hRule="atLeast"/>
        </w:trPr>
        <w:tc>
          <w:tcPr>
            <w:tcW w:w="1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14</w:t>
            </w:r>
          </w:p>
        </w:tc>
        <w:tc>
          <w:tcPr>
            <w:tcW w:w="1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重铬酸钾</w:t>
            </w:r>
          </w:p>
        </w:tc>
        <w:tc>
          <w:tcPr>
            <w:tcW w:w="1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AR</w:t>
            </w:r>
          </w:p>
        </w:tc>
        <w:tc>
          <w:tcPr>
            <w:tcW w:w="1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500g</w:t>
            </w:r>
          </w:p>
        </w:tc>
        <w:tc>
          <w:tcPr>
            <w:tcW w:w="1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瓶</w:t>
            </w:r>
          </w:p>
        </w:tc>
        <w:tc>
          <w:tcPr>
            <w:tcW w:w="1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2</w:t>
            </w:r>
          </w:p>
        </w:tc>
      </w:tr>
      <w:tr>
        <w:tblPrEx>
          <w:tblLayout w:type="fixed"/>
          <w:tblCellMar>
            <w:top w:w="0" w:type="dxa"/>
            <w:left w:w="108" w:type="dxa"/>
            <w:bottom w:w="0" w:type="dxa"/>
            <w:right w:w="108" w:type="dxa"/>
          </w:tblCellMar>
        </w:tblPrEx>
        <w:trPr>
          <w:trHeight w:val="276" w:hRule="atLeast"/>
        </w:trPr>
        <w:tc>
          <w:tcPr>
            <w:tcW w:w="1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15</w:t>
            </w:r>
          </w:p>
        </w:tc>
        <w:tc>
          <w:tcPr>
            <w:tcW w:w="1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硫酸汞</w:t>
            </w:r>
          </w:p>
        </w:tc>
        <w:tc>
          <w:tcPr>
            <w:tcW w:w="1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AR</w:t>
            </w:r>
          </w:p>
        </w:tc>
        <w:tc>
          <w:tcPr>
            <w:tcW w:w="1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100g</w:t>
            </w:r>
          </w:p>
        </w:tc>
        <w:tc>
          <w:tcPr>
            <w:tcW w:w="1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瓶</w:t>
            </w:r>
          </w:p>
        </w:tc>
        <w:tc>
          <w:tcPr>
            <w:tcW w:w="1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2</w:t>
            </w:r>
          </w:p>
        </w:tc>
      </w:tr>
      <w:tr>
        <w:tblPrEx>
          <w:tblLayout w:type="fixed"/>
          <w:tblCellMar>
            <w:top w:w="0" w:type="dxa"/>
            <w:left w:w="108" w:type="dxa"/>
            <w:bottom w:w="0" w:type="dxa"/>
            <w:right w:w="108" w:type="dxa"/>
          </w:tblCellMar>
        </w:tblPrEx>
        <w:trPr>
          <w:trHeight w:val="276" w:hRule="atLeast"/>
        </w:trPr>
        <w:tc>
          <w:tcPr>
            <w:tcW w:w="1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16</w:t>
            </w:r>
          </w:p>
        </w:tc>
        <w:tc>
          <w:tcPr>
            <w:tcW w:w="1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硫酸银</w:t>
            </w:r>
          </w:p>
        </w:tc>
        <w:tc>
          <w:tcPr>
            <w:tcW w:w="1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AR</w:t>
            </w:r>
          </w:p>
        </w:tc>
        <w:tc>
          <w:tcPr>
            <w:tcW w:w="1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100g</w:t>
            </w:r>
          </w:p>
        </w:tc>
        <w:tc>
          <w:tcPr>
            <w:tcW w:w="1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瓶</w:t>
            </w:r>
          </w:p>
        </w:tc>
        <w:tc>
          <w:tcPr>
            <w:tcW w:w="1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2</w:t>
            </w:r>
          </w:p>
        </w:tc>
      </w:tr>
      <w:tr>
        <w:tblPrEx>
          <w:tblLayout w:type="fixed"/>
          <w:tblCellMar>
            <w:top w:w="0" w:type="dxa"/>
            <w:left w:w="108" w:type="dxa"/>
            <w:bottom w:w="0" w:type="dxa"/>
            <w:right w:w="108" w:type="dxa"/>
          </w:tblCellMar>
        </w:tblPrEx>
        <w:trPr>
          <w:trHeight w:val="276" w:hRule="atLeast"/>
        </w:trPr>
        <w:tc>
          <w:tcPr>
            <w:tcW w:w="1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w:t>
            </w:r>
          </w:p>
        </w:tc>
        <w:tc>
          <w:tcPr>
            <w:tcW w:w="1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硫酸亚铁铵</w:t>
            </w:r>
          </w:p>
        </w:tc>
        <w:tc>
          <w:tcPr>
            <w:tcW w:w="1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AR</w:t>
            </w:r>
          </w:p>
        </w:tc>
        <w:tc>
          <w:tcPr>
            <w:tcW w:w="1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250g</w:t>
            </w:r>
          </w:p>
        </w:tc>
        <w:tc>
          <w:tcPr>
            <w:tcW w:w="1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瓶</w:t>
            </w:r>
          </w:p>
        </w:tc>
        <w:tc>
          <w:tcPr>
            <w:tcW w:w="1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w:t>
            </w:r>
          </w:p>
        </w:tc>
      </w:tr>
      <w:tr>
        <w:tblPrEx>
          <w:tblLayout w:type="fixed"/>
          <w:tblCellMar>
            <w:top w:w="0" w:type="dxa"/>
            <w:left w:w="108" w:type="dxa"/>
            <w:bottom w:w="0" w:type="dxa"/>
            <w:right w:w="108" w:type="dxa"/>
          </w:tblCellMar>
        </w:tblPrEx>
        <w:trPr>
          <w:trHeight w:val="276" w:hRule="atLeast"/>
        </w:trPr>
        <w:tc>
          <w:tcPr>
            <w:tcW w:w="1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18</w:t>
            </w:r>
          </w:p>
        </w:tc>
        <w:tc>
          <w:tcPr>
            <w:tcW w:w="1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邻菲罗啉</w:t>
            </w:r>
          </w:p>
        </w:tc>
        <w:tc>
          <w:tcPr>
            <w:tcW w:w="1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AR</w:t>
            </w:r>
          </w:p>
        </w:tc>
        <w:tc>
          <w:tcPr>
            <w:tcW w:w="1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25g</w:t>
            </w:r>
          </w:p>
        </w:tc>
        <w:tc>
          <w:tcPr>
            <w:tcW w:w="1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瓶</w:t>
            </w:r>
          </w:p>
        </w:tc>
        <w:tc>
          <w:tcPr>
            <w:tcW w:w="1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w:t>
            </w:r>
          </w:p>
        </w:tc>
      </w:tr>
      <w:tr>
        <w:tblPrEx>
          <w:tblLayout w:type="fixed"/>
          <w:tblCellMar>
            <w:top w:w="0" w:type="dxa"/>
            <w:left w:w="108" w:type="dxa"/>
            <w:bottom w:w="0" w:type="dxa"/>
            <w:right w:w="108" w:type="dxa"/>
          </w:tblCellMar>
        </w:tblPrEx>
        <w:trPr>
          <w:trHeight w:val="276" w:hRule="atLeast"/>
        </w:trPr>
        <w:tc>
          <w:tcPr>
            <w:tcW w:w="1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19</w:t>
            </w:r>
          </w:p>
        </w:tc>
        <w:tc>
          <w:tcPr>
            <w:tcW w:w="1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七水合硫酸亚铁</w:t>
            </w:r>
          </w:p>
        </w:tc>
        <w:tc>
          <w:tcPr>
            <w:tcW w:w="1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AR</w:t>
            </w:r>
          </w:p>
        </w:tc>
        <w:tc>
          <w:tcPr>
            <w:tcW w:w="1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500g</w:t>
            </w:r>
          </w:p>
        </w:tc>
        <w:tc>
          <w:tcPr>
            <w:tcW w:w="1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瓶</w:t>
            </w:r>
          </w:p>
        </w:tc>
        <w:tc>
          <w:tcPr>
            <w:tcW w:w="1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w:t>
            </w:r>
          </w:p>
        </w:tc>
      </w:tr>
      <w:tr>
        <w:tblPrEx>
          <w:tblLayout w:type="fixed"/>
          <w:tblCellMar>
            <w:top w:w="0" w:type="dxa"/>
            <w:left w:w="108" w:type="dxa"/>
            <w:bottom w:w="0" w:type="dxa"/>
            <w:right w:w="108" w:type="dxa"/>
          </w:tblCellMar>
        </w:tblPrEx>
        <w:trPr>
          <w:trHeight w:val="276" w:hRule="atLeast"/>
        </w:trPr>
        <w:tc>
          <w:tcPr>
            <w:tcW w:w="1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20</w:t>
            </w:r>
          </w:p>
        </w:tc>
        <w:tc>
          <w:tcPr>
            <w:tcW w:w="1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硫酸铝</w:t>
            </w:r>
          </w:p>
        </w:tc>
        <w:tc>
          <w:tcPr>
            <w:tcW w:w="1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AR</w:t>
            </w:r>
          </w:p>
        </w:tc>
        <w:tc>
          <w:tcPr>
            <w:tcW w:w="1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500g</w:t>
            </w:r>
          </w:p>
        </w:tc>
        <w:tc>
          <w:tcPr>
            <w:tcW w:w="1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瓶</w:t>
            </w:r>
          </w:p>
        </w:tc>
        <w:tc>
          <w:tcPr>
            <w:tcW w:w="1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w:t>
            </w:r>
          </w:p>
        </w:tc>
      </w:tr>
      <w:tr>
        <w:tblPrEx>
          <w:tblLayout w:type="fixed"/>
          <w:tblCellMar>
            <w:top w:w="0" w:type="dxa"/>
            <w:left w:w="108" w:type="dxa"/>
            <w:bottom w:w="0" w:type="dxa"/>
            <w:right w:w="108" w:type="dxa"/>
          </w:tblCellMar>
        </w:tblPrEx>
        <w:trPr>
          <w:trHeight w:val="276" w:hRule="atLeast"/>
        </w:trPr>
        <w:tc>
          <w:tcPr>
            <w:tcW w:w="1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21</w:t>
            </w:r>
          </w:p>
        </w:tc>
        <w:tc>
          <w:tcPr>
            <w:tcW w:w="1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酒石酸钾钠</w:t>
            </w:r>
          </w:p>
        </w:tc>
        <w:tc>
          <w:tcPr>
            <w:tcW w:w="1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AR</w:t>
            </w:r>
          </w:p>
        </w:tc>
        <w:tc>
          <w:tcPr>
            <w:tcW w:w="1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500g</w:t>
            </w:r>
          </w:p>
        </w:tc>
        <w:tc>
          <w:tcPr>
            <w:tcW w:w="1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瓶</w:t>
            </w:r>
          </w:p>
        </w:tc>
        <w:tc>
          <w:tcPr>
            <w:tcW w:w="1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2</w:t>
            </w:r>
          </w:p>
        </w:tc>
      </w:tr>
      <w:tr>
        <w:tblPrEx>
          <w:tblLayout w:type="fixed"/>
          <w:tblCellMar>
            <w:top w:w="0" w:type="dxa"/>
            <w:left w:w="108" w:type="dxa"/>
            <w:bottom w:w="0" w:type="dxa"/>
            <w:right w:w="108" w:type="dxa"/>
          </w:tblCellMar>
        </w:tblPrEx>
        <w:trPr>
          <w:trHeight w:val="276" w:hRule="atLeast"/>
        </w:trPr>
        <w:tc>
          <w:tcPr>
            <w:tcW w:w="1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22</w:t>
            </w:r>
          </w:p>
        </w:tc>
        <w:tc>
          <w:tcPr>
            <w:tcW w:w="1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氯化汞</w:t>
            </w:r>
          </w:p>
        </w:tc>
        <w:tc>
          <w:tcPr>
            <w:tcW w:w="1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AR</w:t>
            </w:r>
          </w:p>
        </w:tc>
        <w:tc>
          <w:tcPr>
            <w:tcW w:w="1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250g</w:t>
            </w:r>
          </w:p>
        </w:tc>
        <w:tc>
          <w:tcPr>
            <w:tcW w:w="1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瓶</w:t>
            </w:r>
          </w:p>
        </w:tc>
        <w:tc>
          <w:tcPr>
            <w:tcW w:w="1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2</w:t>
            </w:r>
          </w:p>
        </w:tc>
      </w:tr>
      <w:tr>
        <w:tblPrEx>
          <w:tblLayout w:type="fixed"/>
          <w:tblCellMar>
            <w:top w:w="0" w:type="dxa"/>
            <w:left w:w="108" w:type="dxa"/>
            <w:bottom w:w="0" w:type="dxa"/>
            <w:right w:w="108" w:type="dxa"/>
          </w:tblCellMar>
        </w:tblPrEx>
        <w:trPr>
          <w:trHeight w:val="276" w:hRule="atLeast"/>
        </w:trPr>
        <w:tc>
          <w:tcPr>
            <w:tcW w:w="1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23</w:t>
            </w:r>
          </w:p>
        </w:tc>
        <w:tc>
          <w:tcPr>
            <w:tcW w:w="1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碳酸钠</w:t>
            </w:r>
          </w:p>
        </w:tc>
        <w:tc>
          <w:tcPr>
            <w:tcW w:w="1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AR</w:t>
            </w:r>
          </w:p>
        </w:tc>
        <w:tc>
          <w:tcPr>
            <w:tcW w:w="1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500g</w:t>
            </w:r>
          </w:p>
        </w:tc>
        <w:tc>
          <w:tcPr>
            <w:tcW w:w="1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瓶</w:t>
            </w:r>
          </w:p>
        </w:tc>
        <w:tc>
          <w:tcPr>
            <w:tcW w:w="1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w:t>
            </w:r>
          </w:p>
        </w:tc>
      </w:tr>
      <w:tr>
        <w:tblPrEx>
          <w:tblLayout w:type="fixed"/>
          <w:tblCellMar>
            <w:top w:w="0" w:type="dxa"/>
            <w:left w:w="108" w:type="dxa"/>
            <w:bottom w:w="0" w:type="dxa"/>
            <w:right w:w="108" w:type="dxa"/>
          </w:tblCellMar>
        </w:tblPrEx>
        <w:trPr>
          <w:trHeight w:val="276" w:hRule="atLeast"/>
        </w:trPr>
        <w:tc>
          <w:tcPr>
            <w:tcW w:w="1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24</w:t>
            </w:r>
          </w:p>
        </w:tc>
        <w:tc>
          <w:tcPr>
            <w:tcW w:w="1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硫酸铜</w:t>
            </w:r>
          </w:p>
        </w:tc>
        <w:tc>
          <w:tcPr>
            <w:tcW w:w="1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AR</w:t>
            </w:r>
          </w:p>
        </w:tc>
        <w:tc>
          <w:tcPr>
            <w:tcW w:w="1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500g</w:t>
            </w:r>
          </w:p>
        </w:tc>
        <w:tc>
          <w:tcPr>
            <w:tcW w:w="1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瓶</w:t>
            </w:r>
          </w:p>
        </w:tc>
        <w:tc>
          <w:tcPr>
            <w:tcW w:w="1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w:t>
            </w:r>
          </w:p>
        </w:tc>
      </w:tr>
      <w:tr>
        <w:tblPrEx>
          <w:tblLayout w:type="fixed"/>
          <w:tblCellMar>
            <w:top w:w="0" w:type="dxa"/>
            <w:left w:w="108" w:type="dxa"/>
            <w:bottom w:w="0" w:type="dxa"/>
            <w:right w:w="108" w:type="dxa"/>
          </w:tblCellMar>
        </w:tblPrEx>
        <w:trPr>
          <w:trHeight w:val="276" w:hRule="atLeast"/>
        </w:trPr>
        <w:tc>
          <w:tcPr>
            <w:tcW w:w="1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25</w:t>
            </w:r>
          </w:p>
        </w:tc>
        <w:tc>
          <w:tcPr>
            <w:tcW w:w="1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硫酸钠</w:t>
            </w:r>
          </w:p>
        </w:tc>
        <w:tc>
          <w:tcPr>
            <w:tcW w:w="1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AR</w:t>
            </w:r>
          </w:p>
        </w:tc>
        <w:tc>
          <w:tcPr>
            <w:tcW w:w="1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500g</w:t>
            </w:r>
          </w:p>
        </w:tc>
        <w:tc>
          <w:tcPr>
            <w:tcW w:w="1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瓶</w:t>
            </w:r>
          </w:p>
        </w:tc>
        <w:tc>
          <w:tcPr>
            <w:tcW w:w="1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w:t>
            </w:r>
          </w:p>
        </w:tc>
      </w:tr>
      <w:tr>
        <w:tblPrEx>
          <w:tblLayout w:type="fixed"/>
          <w:tblCellMar>
            <w:top w:w="0" w:type="dxa"/>
            <w:left w:w="108" w:type="dxa"/>
            <w:bottom w:w="0" w:type="dxa"/>
            <w:right w:w="108" w:type="dxa"/>
          </w:tblCellMar>
        </w:tblPrEx>
        <w:trPr>
          <w:trHeight w:val="276" w:hRule="atLeast"/>
        </w:trPr>
        <w:tc>
          <w:tcPr>
            <w:tcW w:w="1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26</w:t>
            </w:r>
          </w:p>
        </w:tc>
        <w:tc>
          <w:tcPr>
            <w:tcW w:w="1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过硫酸钾</w:t>
            </w:r>
          </w:p>
        </w:tc>
        <w:tc>
          <w:tcPr>
            <w:tcW w:w="1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AR</w:t>
            </w:r>
          </w:p>
        </w:tc>
        <w:tc>
          <w:tcPr>
            <w:tcW w:w="1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500g</w:t>
            </w:r>
          </w:p>
        </w:tc>
        <w:tc>
          <w:tcPr>
            <w:tcW w:w="1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瓶</w:t>
            </w:r>
          </w:p>
        </w:tc>
        <w:tc>
          <w:tcPr>
            <w:tcW w:w="1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w:t>
            </w:r>
          </w:p>
        </w:tc>
      </w:tr>
      <w:tr>
        <w:tblPrEx>
          <w:tblLayout w:type="fixed"/>
          <w:tblCellMar>
            <w:top w:w="0" w:type="dxa"/>
            <w:left w:w="108" w:type="dxa"/>
            <w:bottom w:w="0" w:type="dxa"/>
            <w:right w:w="108" w:type="dxa"/>
          </w:tblCellMar>
        </w:tblPrEx>
        <w:trPr>
          <w:trHeight w:val="276" w:hRule="atLeast"/>
        </w:trPr>
        <w:tc>
          <w:tcPr>
            <w:tcW w:w="1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27</w:t>
            </w:r>
          </w:p>
        </w:tc>
        <w:tc>
          <w:tcPr>
            <w:tcW w:w="1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硝酸钾</w:t>
            </w:r>
          </w:p>
        </w:tc>
        <w:tc>
          <w:tcPr>
            <w:tcW w:w="1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AR</w:t>
            </w:r>
          </w:p>
        </w:tc>
        <w:tc>
          <w:tcPr>
            <w:tcW w:w="1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500g</w:t>
            </w:r>
          </w:p>
        </w:tc>
        <w:tc>
          <w:tcPr>
            <w:tcW w:w="1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瓶</w:t>
            </w:r>
          </w:p>
        </w:tc>
        <w:tc>
          <w:tcPr>
            <w:tcW w:w="1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w:t>
            </w:r>
          </w:p>
        </w:tc>
      </w:tr>
      <w:tr>
        <w:tblPrEx>
          <w:tblLayout w:type="fixed"/>
          <w:tblCellMar>
            <w:top w:w="0" w:type="dxa"/>
            <w:left w:w="108" w:type="dxa"/>
            <w:bottom w:w="0" w:type="dxa"/>
            <w:right w:w="108" w:type="dxa"/>
          </w:tblCellMar>
        </w:tblPrEx>
        <w:trPr>
          <w:trHeight w:val="276" w:hRule="atLeast"/>
        </w:trPr>
        <w:tc>
          <w:tcPr>
            <w:tcW w:w="1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28</w:t>
            </w:r>
          </w:p>
        </w:tc>
        <w:tc>
          <w:tcPr>
            <w:tcW w:w="1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抗坏血酸</w:t>
            </w:r>
          </w:p>
        </w:tc>
        <w:tc>
          <w:tcPr>
            <w:tcW w:w="1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AR</w:t>
            </w:r>
          </w:p>
        </w:tc>
        <w:tc>
          <w:tcPr>
            <w:tcW w:w="1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500g</w:t>
            </w:r>
          </w:p>
        </w:tc>
        <w:tc>
          <w:tcPr>
            <w:tcW w:w="1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瓶</w:t>
            </w:r>
          </w:p>
        </w:tc>
        <w:tc>
          <w:tcPr>
            <w:tcW w:w="1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w:t>
            </w:r>
          </w:p>
        </w:tc>
      </w:tr>
      <w:tr>
        <w:tblPrEx>
          <w:tblLayout w:type="fixed"/>
          <w:tblCellMar>
            <w:top w:w="0" w:type="dxa"/>
            <w:left w:w="108" w:type="dxa"/>
            <w:bottom w:w="0" w:type="dxa"/>
            <w:right w:w="108" w:type="dxa"/>
          </w:tblCellMar>
        </w:tblPrEx>
        <w:trPr>
          <w:trHeight w:val="276" w:hRule="atLeast"/>
        </w:trPr>
        <w:tc>
          <w:tcPr>
            <w:tcW w:w="1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29</w:t>
            </w:r>
          </w:p>
        </w:tc>
        <w:tc>
          <w:tcPr>
            <w:tcW w:w="1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钼酸铵</w:t>
            </w:r>
          </w:p>
        </w:tc>
        <w:tc>
          <w:tcPr>
            <w:tcW w:w="1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AR</w:t>
            </w:r>
          </w:p>
        </w:tc>
        <w:tc>
          <w:tcPr>
            <w:tcW w:w="1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250g</w:t>
            </w:r>
          </w:p>
        </w:tc>
        <w:tc>
          <w:tcPr>
            <w:tcW w:w="1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瓶</w:t>
            </w:r>
          </w:p>
        </w:tc>
        <w:tc>
          <w:tcPr>
            <w:tcW w:w="1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w:t>
            </w:r>
          </w:p>
        </w:tc>
      </w:tr>
      <w:tr>
        <w:tblPrEx>
          <w:tblLayout w:type="fixed"/>
          <w:tblCellMar>
            <w:top w:w="0" w:type="dxa"/>
            <w:left w:w="108" w:type="dxa"/>
            <w:bottom w:w="0" w:type="dxa"/>
            <w:right w:w="108" w:type="dxa"/>
          </w:tblCellMar>
        </w:tblPrEx>
        <w:trPr>
          <w:trHeight w:val="276" w:hRule="atLeast"/>
        </w:trPr>
        <w:tc>
          <w:tcPr>
            <w:tcW w:w="1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30</w:t>
            </w:r>
          </w:p>
        </w:tc>
        <w:tc>
          <w:tcPr>
            <w:tcW w:w="1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水杨酸</w:t>
            </w:r>
          </w:p>
        </w:tc>
        <w:tc>
          <w:tcPr>
            <w:tcW w:w="1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AR</w:t>
            </w:r>
          </w:p>
        </w:tc>
        <w:tc>
          <w:tcPr>
            <w:tcW w:w="1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250g</w:t>
            </w:r>
          </w:p>
        </w:tc>
        <w:tc>
          <w:tcPr>
            <w:tcW w:w="1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瓶</w:t>
            </w:r>
          </w:p>
        </w:tc>
        <w:tc>
          <w:tcPr>
            <w:tcW w:w="1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w:t>
            </w:r>
          </w:p>
        </w:tc>
      </w:tr>
      <w:tr>
        <w:tblPrEx>
          <w:tblLayout w:type="fixed"/>
          <w:tblCellMar>
            <w:top w:w="0" w:type="dxa"/>
            <w:left w:w="108" w:type="dxa"/>
            <w:bottom w:w="0" w:type="dxa"/>
            <w:right w:w="108" w:type="dxa"/>
          </w:tblCellMar>
        </w:tblPrEx>
        <w:trPr>
          <w:trHeight w:val="276" w:hRule="atLeast"/>
        </w:trPr>
        <w:tc>
          <w:tcPr>
            <w:tcW w:w="1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31</w:t>
            </w:r>
          </w:p>
        </w:tc>
        <w:tc>
          <w:tcPr>
            <w:tcW w:w="1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硅胶干燥剂</w:t>
            </w:r>
          </w:p>
        </w:tc>
        <w:tc>
          <w:tcPr>
            <w:tcW w:w="1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AR</w:t>
            </w:r>
          </w:p>
        </w:tc>
        <w:tc>
          <w:tcPr>
            <w:tcW w:w="1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500g</w:t>
            </w:r>
          </w:p>
        </w:tc>
        <w:tc>
          <w:tcPr>
            <w:tcW w:w="1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瓶</w:t>
            </w:r>
          </w:p>
        </w:tc>
        <w:tc>
          <w:tcPr>
            <w:tcW w:w="1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w:t>
            </w:r>
          </w:p>
        </w:tc>
      </w:tr>
      <w:tr>
        <w:tblPrEx>
          <w:tblLayout w:type="fixed"/>
          <w:tblCellMar>
            <w:top w:w="0" w:type="dxa"/>
            <w:left w:w="108" w:type="dxa"/>
            <w:bottom w:w="0" w:type="dxa"/>
            <w:right w:w="108" w:type="dxa"/>
          </w:tblCellMar>
        </w:tblPrEx>
        <w:trPr>
          <w:trHeight w:val="276" w:hRule="atLeast"/>
        </w:trPr>
        <w:tc>
          <w:tcPr>
            <w:tcW w:w="1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32</w:t>
            </w:r>
          </w:p>
        </w:tc>
        <w:tc>
          <w:tcPr>
            <w:tcW w:w="1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过硫酸钾</w:t>
            </w:r>
          </w:p>
        </w:tc>
        <w:tc>
          <w:tcPr>
            <w:tcW w:w="1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GR</w:t>
            </w:r>
          </w:p>
        </w:tc>
        <w:tc>
          <w:tcPr>
            <w:tcW w:w="1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500g</w:t>
            </w:r>
          </w:p>
        </w:tc>
        <w:tc>
          <w:tcPr>
            <w:tcW w:w="1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瓶</w:t>
            </w:r>
          </w:p>
        </w:tc>
        <w:tc>
          <w:tcPr>
            <w:tcW w:w="1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w:t>
            </w:r>
          </w:p>
        </w:tc>
      </w:tr>
      <w:tr>
        <w:tblPrEx>
          <w:tblLayout w:type="fixed"/>
          <w:tblCellMar>
            <w:top w:w="0" w:type="dxa"/>
            <w:left w:w="108" w:type="dxa"/>
            <w:bottom w:w="0" w:type="dxa"/>
            <w:right w:w="108" w:type="dxa"/>
          </w:tblCellMar>
        </w:tblPrEx>
        <w:trPr>
          <w:trHeight w:val="276" w:hRule="atLeast"/>
        </w:trPr>
        <w:tc>
          <w:tcPr>
            <w:tcW w:w="1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33</w:t>
            </w:r>
          </w:p>
        </w:tc>
        <w:tc>
          <w:tcPr>
            <w:tcW w:w="1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氢氧化钠</w:t>
            </w:r>
          </w:p>
        </w:tc>
        <w:tc>
          <w:tcPr>
            <w:tcW w:w="1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GR</w:t>
            </w:r>
          </w:p>
        </w:tc>
        <w:tc>
          <w:tcPr>
            <w:tcW w:w="1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500g</w:t>
            </w:r>
          </w:p>
        </w:tc>
        <w:tc>
          <w:tcPr>
            <w:tcW w:w="1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瓶</w:t>
            </w:r>
          </w:p>
        </w:tc>
        <w:tc>
          <w:tcPr>
            <w:tcW w:w="1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w:t>
            </w:r>
          </w:p>
        </w:tc>
      </w:tr>
      <w:tr>
        <w:tblPrEx>
          <w:tblLayout w:type="fixed"/>
          <w:tblCellMar>
            <w:top w:w="0" w:type="dxa"/>
            <w:left w:w="108" w:type="dxa"/>
            <w:bottom w:w="0" w:type="dxa"/>
            <w:right w:w="108" w:type="dxa"/>
          </w:tblCellMar>
        </w:tblPrEx>
        <w:trPr>
          <w:trHeight w:val="276" w:hRule="atLeast"/>
        </w:trPr>
        <w:tc>
          <w:tcPr>
            <w:tcW w:w="1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rPr>
              <w:t>3</w:t>
            </w:r>
            <w:r>
              <w:rPr>
                <w:rFonts w:hint="eastAsia" w:ascii="宋体" w:hAnsi="宋体" w:eastAsia="宋体" w:cs="宋体"/>
                <w:color w:val="000000"/>
                <w:kern w:val="0"/>
                <w:sz w:val="28"/>
                <w:szCs w:val="28"/>
                <w:lang w:val="en-US" w:eastAsia="zh-CN"/>
              </w:rPr>
              <w:t>4</w:t>
            </w:r>
          </w:p>
        </w:tc>
        <w:tc>
          <w:tcPr>
            <w:tcW w:w="1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硫酸锌</w:t>
            </w:r>
          </w:p>
        </w:tc>
        <w:tc>
          <w:tcPr>
            <w:tcW w:w="1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AR</w:t>
            </w:r>
          </w:p>
        </w:tc>
        <w:tc>
          <w:tcPr>
            <w:tcW w:w="1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500g</w:t>
            </w:r>
          </w:p>
        </w:tc>
        <w:tc>
          <w:tcPr>
            <w:tcW w:w="1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瓶</w:t>
            </w:r>
          </w:p>
        </w:tc>
        <w:tc>
          <w:tcPr>
            <w:tcW w:w="1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w:t>
            </w:r>
          </w:p>
        </w:tc>
      </w:tr>
      <w:tr>
        <w:tblPrEx>
          <w:tblLayout w:type="fixed"/>
          <w:tblCellMar>
            <w:top w:w="0" w:type="dxa"/>
            <w:left w:w="108" w:type="dxa"/>
            <w:bottom w:w="0" w:type="dxa"/>
            <w:right w:w="108" w:type="dxa"/>
          </w:tblCellMar>
        </w:tblPrEx>
        <w:trPr>
          <w:trHeight w:val="276" w:hRule="atLeast"/>
        </w:trPr>
        <w:tc>
          <w:tcPr>
            <w:tcW w:w="1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rPr>
              <w:t>3</w:t>
            </w:r>
            <w:r>
              <w:rPr>
                <w:rFonts w:hint="eastAsia" w:ascii="宋体" w:hAnsi="宋体" w:eastAsia="宋体" w:cs="宋体"/>
                <w:color w:val="000000"/>
                <w:kern w:val="0"/>
                <w:sz w:val="28"/>
                <w:szCs w:val="28"/>
                <w:lang w:val="en-US" w:eastAsia="zh-CN"/>
              </w:rPr>
              <w:t>5</w:t>
            </w:r>
          </w:p>
        </w:tc>
        <w:tc>
          <w:tcPr>
            <w:tcW w:w="1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酒石酸锑钾</w:t>
            </w:r>
          </w:p>
        </w:tc>
        <w:tc>
          <w:tcPr>
            <w:tcW w:w="1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AR</w:t>
            </w:r>
          </w:p>
        </w:tc>
        <w:tc>
          <w:tcPr>
            <w:tcW w:w="1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500g</w:t>
            </w:r>
          </w:p>
        </w:tc>
        <w:tc>
          <w:tcPr>
            <w:tcW w:w="1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瓶</w:t>
            </w:r>
          </w:p>
        </w:tc>
        <w:tc>
          <w:tcPr>
            <w:tcW w:w="1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w:t>
            </w:r>
          </w:p>
        </w:tc>
      </w:tr>
      <w:tr>
        <w:tblPrEx>
          <w:tblLayout w:type="fixed"/>
          <w:tblCellMar>
            <w:top w:w="0" w:type="dxa"/>
            <w:left w:w="108" w:type="dxa"/>
            <w:bottom w:w="0" w:type="dxa"/>
            <w:right w:w="108" w:type="dxa"/>
          </w:tblCellMar>
        </w:tblPrEx>
        <w:trPr>
          <w:trHeight w:val="276" w:hRule="atLeast"/>
        </w:trPr>
        <w:tc>
          <w:tcPr>
            <w:tcW w:w="1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rPr>
              <w:t>3</w:t>
            </w:r>
            <w:r>
              <w:rPr>
                <w:rFonts w:hint="eastAsia" w:ascii="宋体" w:hAnsi="宋体" w:eastAsia="宋体" w:cs="宋体"/>
                <w:color w:val="000000"/>
                <w:kern w:val="0"/>
                <w:sz w:val="28"/>
                <w:szCs w:val="28"/>
                <w:lang w:val="en-US" w:eastAsia="zh-CN"/>
              </w:rPr>
              <w:t>6</w:t>
            </w:r>
          </w:p>
        </w:tc>
        <w:tc>
          <w:tcPr>
            <w:tcW w:w="1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亚硫酸钠</w:t>
            </w:r>
          </w:p>
        </w:tc>
        <w:tc>
          <w:tcPr>
            <w:tcW w:w="1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AR</w:t>
            </w:r>
          </w:p>
        </w:tc>
        <w:tc>
          <w:tcPr>
            <w:tcW w:w="1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500g</w:t>
            </w:r>
          </w:p>
        </w:tc>
        <w:tc>
          <w:tcPr>
            <w:tcW w:w="1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瓶</w:t>
            </w:r>
          </w:p>
        </w:tc>
        <w:tc>
          <w:tcPr>
            <w:tcW w:w="1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w:t>
            </w:r>
          </w:p>
        </w:tc>
      </w:tr>
    </w:tbl>
    <w:p>
      <w:pPr>
        <w:pStyle w:val="2"/>
        <w:numPr>
          <w:ilvl w:val="0"/>
          <w:numId w:val="0"/>
        </w:numPr>
        <w:tabs>
          <w:tab w:val="left" w:pos="1107"/>
        </w:tabs>
        <w:rPr>
          <w:rFonts w:hint="eastAsia" w:hAnsi="宋体" w:cs="宋体"/>
          <w:b/>
          <w:bCs/>
          <w:color w:val="auto"/>
          <w:sz w:val="24"/>
          <w:szCs w:val="24"/>
          <w:lang w:val="en-US" w:eastAsia="zh-CN"/>
        </w:rPr>
      </w:pPr>
    </w:p>
    <w:p>
      <w:pPr>
        <w:pStyle w:val="2"/>
        <w:numPr>
          <w:ilvl w:val="0"/>
          <w:numId w:val="1"/>
        </w:numPr>
        <w:ind w:left="1653" w:leftChars="0" w:hanging="1653" w:hangingChars="686"/>
        <w:rPr>
          <w:rFonts w:hint="eastAsia" w:hAnsi="宋体" w:cs="宋体"/>
          <w:b/>
          <w:bCs/>
          <w:color w:val="auto"/>
          <w:sz w:val="24"/>
          <w:szCs w:val="24"/>
          <w:lang w:val="en-US" w:eastAsia="zh-CN"/>
        </w:rPr>
      </w:pPr>
      <w:r>
        <w:rPr>
          <w:rFonts w:hint="eastAsia" w:hAnsi="宋体" w:cs="宋体"/>
          <w:b/>
          <w:bCs/>
          <w:color w:val="auto"/>
          <w:sz w:val="24"/>
          <w:szCs w:val="24"/>
          <w:lang w:val="en-US" w:eastAsia="zh-CN"/>
        </w:rPr>
        <w:t>本项目相关商务、合同等实质性条款要求：</w:t>
      </w:r>
    </w:p>
    <w:p>
      <w:pPr>
        <w:adjustRightInd w:val="0"/>
        <w:snapToGrid w:val="0"/>
        <w:spacing w:line="360" w:lineRule="auto"/>
        <w:rPr>
          <w:rFonts w:hint="eastAsia" w:hAnsi="宋体"/>
          <w:color w:val="auto"/>
          <w:sz w:val="24"/>
          <w:szCs w:val="24"/>
          <w:lang w:val="en-US" w:eastAsia="zh-CN"/>
        </w:rPr>
      </w:pPr>
      <w:r>
        <w:rPr>
          <w:rFonts w:hint="eastAsia" w:hAnsi="宋体"/>
          <w:color w:val="auto"/>
          <w:sz w:val="24"/>
          <w:szCs w:val="24"/>
          <w:lang w:val="en-US" w:eastAsia="zh-CN"/>
        </w:rPr>
        <w:t>1、交货时间及地点：</w:t>
      </w:r>
    </w:p>
    <w:p>
      <w:pPr>
        <w:adjustRightInd w:val="0"/>
        <w:snapToGrid w:val="0"/>
        <w:spacing w:line="360" w:lineRule="auto"/>
        <w:ind w:firstLine="240" w:firstLineChars="100"/>
        <w:rPr>
          <w:rFonts w:hint="eastAsia" w:hAnsi="宋体"/>
          <w:color w:val="auto"/>
          <w:sz w:val="24"/>
          <w:szCs w:val="24"/>
          <w:lang w:val="zh-CN" w:eastAsia="zh-CN"/>
        </w:rPr>
      </w:pPr>
      <w:r>
        <w:rPr>
          <w:rFonts w:hint="eastAsia" w:hAnsi="宋体"/>
          <w:color w:val="auto"/>
          <w:sz w:val="24"/>
          <w:szCs w:val="24"/>
          <w:lang w:val="en-US" w:eastAsia="zh-CN"/>
        </w:rPr>
        <w:t>1.1.交货时间：签订合同后，按业主方要求在5个工作日内完成全部货物供应。</w:t>
      </w:r>
    </w:p>
    <w:p>
      <w:pPr>
        <w:adjustRightInd w:val="0"/>
        <w:snapToGrid w:val="0"/>
        <w:spacing w:line="360" w:lineRule="auto"/>
        <w:ind w:firstLine="240" w:firstLineChars="100"/>
        <w:rPr>
          <w:rFonts w:hint="eastAsia" w:hAnsi="宋体"/>
          <w:color w:val="auto"/>
          <w:sz w:val="24"/>
          <w:szCs w:val="24"/>
          <w:lang w:val="en-US" w:eastAsia="zh-CN"/>
        </w:rPr>
      </w:pPr>
      <w:r>
        <w:rPr>
          <w:rFonts w:hint="eastAsia" w:hAnsi="宋体"/>
          <w:color w:val="auto"/>
          <w:sz w:val="24"/>
          <w:szCs w:val="24"/>
          <w:lang w:val="en-US" w:eastAsia="zh-CN"/>
        </w:rPr>
        <w:t>1.2.交货地点：威远投资控股集团有限责任公司指定区域。</w:t>
      </w:r>
    </w:p>
    <w:p>
      <w:pPr>
        <w:adjustRightInd w:val="0"/>
        <w:snapToGrid w:val="0"/>
        <w:spacing w:line="360" w:lineRule="auto"/>
        <w:rPr>
          <w:rFonts w:hint="eastAsia" w:hAnsi="宋体"/>
          <w:color w:val="auto"/>
          <w:sz w:val="24"/>
          <w:szCs w:val="24"/>
          <w:lang w:val="en-US" w:eastAsia="zh-CN"/>
        </w:rPr>
      </w:pPr>
      <w:r>
        <w:rPr>
          <w:rFonts w:hint="eastAsia" w:hAnsi="宋体"/>
          <w:color w:val="auto"/>
          <w:sz w:val="24"/>
          <w:szCs w:val="24"/>
          <w:lang w:val="en-US" w:eastAsia="zh-CN"/>
        </w:rPr>
        <w:t>2、付款方式：经验收合格后7个工作日，凭增值税专用发票一次性付清。</w:t>
      </w:r>
    </w:p>
    <w:p>
      <w:pPr>
        <w:adjustRightInd w:val="0"/>
        <w:snapToGrid w:val="0"/>
        <w:spacing w:line="360" w:lineRule="auto"/>
        <w:rPr>
          <w:rFonts w:hint="eastAsia" w:hAnsi="宋体"/>
          <w:color w:val="auto"/>
          <w:sz w:val="24"/>
          <w:szCs w:val="24"/>
          <w:lang w:val="en-US" w:eastAsia="zh-CN"/>
        </w:rPr>
      </w:pPr>
      <w:r>
        <w:rPr>
          <w:rFonts w:hint="eastAsia" w:hAnsi="宋体"/>
          <w:color w:val="auto"/>
          <w:sz w:val="24"/>
          <w:szCs w:val="24"/>
          <w:lang w:val="en-US" w:eastAsia="zh-CN"/>
        </w:rPr>
        <w:t>3、验收标准：按国家有关规定、谈判文件的质量要求和技术指标、成交人的响应文件及承诺以及合同约定标准进行验收。</w:t>
      </w:r>
    </w:p>
    <w:p>
      <w:pPr>
        <w:adjustRightInd w:val="0"/>
        <w:snapToGrid w:val="0"/>
        <w:spacing w:line="360" w:lineRule="auto"/>
        <w:rPr>
          <w:rFonts w:hint="eastAsia" w:hAnsi="宋体"/>
          <w:color w:val="auto"/>
          <w:sz w:val="24"/>
          <w:szCs w:val="24"/>
          <w:lang w:val="en-US" w:eastAsia="zh-CN"/>
        </w:rPr>
      </w:pPr>
      <w:r>
        <w:rPr>
          <w:rFonts w:hint="eastAsia" w:hAnsi="宋体"/>
          <w:color w:val="auto"/>
          <w:sz w:val="24"/>
          <w:szCs w:val="24"/>
          <w:lang w:val="en-US" w:eastAsia="zh-CN"/>
        </w:rPr>
        <w:t>4、售后服务要求：</w:t>
      </w:r>
    </w:p>
    <w:p>
      <w:pPr>
        <w:adjustRightInd w:val="0"/>
        <w:snapToGrid w:val="0"/>
        <w:spacing w:line="360" w:lineRule="auto"/>
        <w:ind w:firstLine="240" w:firstLineChars="100"/>
        <w:rPr>
          <w:rFonts w:hint="eastAsia" w:hAnsi="宋体"/>
          <w:color w:val="auto"/>
          <w:sz w:val="24"/>
          <w:szCs w:val="24"/>
          <w:lang w:val="en-US" w:eastAsia="zh-CN"/>
        </w:rPr>
      </w:pPr>
      <w:r>
        <w:rPr>
          <w:rFonts w:hint="eastAsia" w:hAnsi="宋体"/>
          <w:color w:val="auto"/>
          <w:sz w:val="24"/>
          <w:szCs w:val="24"/>
          <w:lang w:val="en-US" w:eastAsia="zh-CN"/>
        </w:rPr>
        <w:t>4.1、质保期自最终验收签字日起计算，质保期为一年，在质量保证期内，如因产品质量原因有零部件损坏，供方无偿更换。</w:t>
      </w:r>
    </w:p>
    <w:p>
      <w:pPr>
        <w:adjustRightInd w:val="0"/>
        <w:snapToGrid w:val="0"/>
        <w:spacing w:line="360" w:lineRule="auto"/>
        <w:ind w:firstLine="240" w:firstLineChars="100"/>
        <w:rPr>
          <w:rFonts w:hint="eastAsia" w:hAnsi="宋体"/>
          <w:color w:val="auto"/>
          <w:sz w:val="24"/>
          <w:szCs w:val="24"/>
          <w:lang w:val="en-US" w:eastAsia="zh-CN"/>
        </w:rPr>
      </w:pPr>
      <w:r>
        <w:rPr>
          <w:rFonts w:hint="eastAsia" w:hAnsi="宋体"/>
          <w:color w:val="auto"/>
          <w:sz w:val="24"/>
          <w:szCs w:val="24"/>
          <w:lang w:val="en-US" w:eastAsia="zh-CN"/>
        </w:rPr>
        <w:t>4.2、设备保修期过后，要求能终身提供广泛优惠的技术支持。质保期后的维修维护，除材料费由采购人按照成本价支付外，其余所有费用由供应商自行承担，即保证终身免费上门维修维护。</w:t>
      </w:r>
    </w:p>
    <w:p>
      <w:pPr>
        <w:pStyle w:val="2"/>
        <w:rPr>
          <w:rFonts w:hint="eastAsia" w:hAnsi="宋体"/>
          <w:color w:val="auto"/>
          <w:sz w:val="24"/>
          <w:szCs w:val="24"/>
          <w:lang w:val="en-US" w:eastAsia="zh-CN"/>
        </w:rPr>
      </w:pPr>
      <w:r>
        <w:rPr>
          <w:rFonts w:hint="eastAsia" w:hAnsi="宋体"/>
          <w:color w:val="auto"/>
          <w:sz w:val="24"/>
          <w:szCs w:val="24"/>
          <w:lang w:val="en-US" w:eastAsia="zh-CN"/>
        </w:rPr>
        <w:t>5、本次采购“化验室主要器具：1-47项”及“化验室常规药剂1-36项”如有实际需要，以中标单价为准再次购买，有效期为签订合同后壹年。</w:t>
      </w:r>
    </w:p>
    <w:p>
      <w:pPr>
        <w:pStyle w:val="2"/>
        <w:rPr>
          <w:rFonts w:hint="eastAsia" w:ascii="宋体" w:hAnsi="宋体" w:eastAsia="宋体" w:cs="Times New Roman"/>
          <w:b/>
          <w:bCs/>
          <w:color w:val="auto"/>
          <w:sz w:val="24"/>
          <w:szCs w:val="24"/>
          <w:lang w:val="en-US" w:eastAsia="zh-CN" w:bidi="ar-SA"/>
        </w:rPr>
      </w:pPr>
      <w:r>
        <w:rPr>
          <w:rFonts w:hint="eastAsia" w:ascii="宋体" w:hAnsi="宋体" w:eastAsia="宋体" w:cs="Times New Roman"/>
          <w:b/>
          <w:bCs/>
          <w:color w:val="auto"/>
          <w:sz w:val="24"/>
          <w:szCs w:val="24"/>
          <w:lang w:val="en-US" w:eastAsia="zh-CN" w:bidi="ar-SA"/>
        </w:rPr>
        <w:t>说明：</w:t>
      </w:r>
    </w:p>
    <w:p>
      <w:pPr>
        <w:pStyle w:val="2"/>
        <w:rPr>
          <w:rFonts w:hint="eastAsia" w:ascii="宋体" w:hAnsi="宋体" w:eastAsia="宋体" w:cs="Times New Roman"/>
          <w:b/>
          <w:bCs/>
          <w:color w:val="auto"/>
          <w:sz w:val="24"/>
          <w:szCs w:val="24"/>
          <w:lang w:val="en-US" w:eastAsia="zh-CN" w:bidi="ar-SA"/>
        </w:rPr>
      </w:pPr>
      <w:r>
        <w:rPr>
          <w:rFonts w:hint="eastAsia" w:ascii="宋体" w:hAnsi="宋体" w:eastAsia="宋体" w:cs="Times New Roman"/>
          <w:b/>
          <w:bCs/>
          <w:color w:val="auto"/>
          <w:sz w:val="24"/>
          <w:szCs w:val="24"/>
          <w:lang w:val="en-US" w:eastAsia="zh-CN" w:bidi="ar-SA"/>
        </w:rPr>
        <w:t>（1）供应商提供的以上资格证明材料均应加盖供应商公章，否则资格审查将视为未通过。</w:t>
      </w:r>
    </w:p>
    <w:p>
      <w:pPr>
        <w:pStyle w:val="2"/>
        <w:rPr>
          <w:rFonts w:hint="eastAsia" w:ascii="宋体" w:hAnsi="宋体" w:eastAsia="宋体" w:cs="Times New Roman"/>
          <w:b/>
          <w:bCs/>
          <w:color w:val="auto"/>
          <w:sz w:val="24"/>
          <w:szCs w:val="24"/>
          <w:lang w:val="en-US" w:eastAsia="zh-CN" w:bidi="ar-SA"/>
        </w:rPr>
      </w:pPr>
      <w:r>
        <w:rPr>
          <w:rFonts w:hint="eastAsia" w:ascii="宋体" w:hAnsi="宋体" w:eastAsia="宋体" w:cs="Times New Roman"/>
          <w:b/>
          <w:bCs/>
          <w:color w:val="auto"/>
          <w:sz w:val="24"/>
          <w:szCs w:val="24"/>
          <w:lang w:val="en-US" w:eastAsia="zh-CN" w:bidi="ar-SA"/>
        </w:rPr>
        <w:t>（2）供应商应对其所提供的资格证明材料来源的合法性、真实性负责。</w:t>
      </w:r>
    </w:p>
    <w:p>
      <w:pPr>
        <w:pStyle w:val="2"/>
        <w:rPr>
          <w:rFonts w:hint="eastAsia"/>
          <w:lang w:val="en-US" w:eastAsia="zh-CN"/>
        </w:rPr>
      </w:pPr>
    </w:p>
    <w:p>
      <w:pPr>
        <w:pStyle w:val="2"/>
        <w:numPr>
          <w:ilvl w:val="0"/>
          <w:numId w:val="0"/>
        </w:numPr>
        <w:ind w:leftChars="-686"/>
        <w:rPr>
          <w:rFonts w:hint="eastAsia" w:hAnsi="宋体" w:cs="宋体"/>
          <w:b/>
          <w:bCs/>
          <w:color w:val="auto"/>
          <w:sz w:val="24"/>
          <w:szCs w:val="24"/>
          <w:lang w:val="en-US" w:eastAsia="zh-CN"/>
        </w:rPr>
      </w:pPr>
    </w:p>
    <w:p>
      <w:pPr>
        <w:pStyle w:val="2"/>
        <w:numPr>
          <w:ilvl w:val="0"/>
          <w:numId w:val="0"/>
        </w:numPr>
        <w:ind w:leftChars="-686"/>
        <w:rPr>
          <w:rFonts w:hint="eastAsia" w:hAnsi="宋体" w:cs="宋体"/>
          <w:b/>
          <w:bCs/>
          <w:color w:val="auto"/>
          <w:sz w:val="24"/>
          <w:szCs w:val="24"/>
          <w:lang w:val="en-US" w:eastAsia="zh-CN"/>
        </w:rPr>
      </w:pPr>
    </w:p>
    <w:p>
      <w:pPr>
        <w:pStyle w:val="3"/>
        <w:spacing w:before="0" w:after="0" w:line="360" w:lineRule="auto"/>
        <w:jc w:val="both"/>
        <w:rPr>
          <w:color w:val="auto"/>
        </w:rPr>
      </w:pPr>
      <w:bookmarkStart w:id="233" w:name="_Toc26835"/>
      <w:r>
        <w:rPr>
          <w:rFonts w:hint="eastAsia"/>
          <w:color w:val="auto"/>
        </w:rPr>
        <w:t>第七部分 体现满足采购需求、质量和服务相等的采购项目实质性要求</w:t>
      </w:r>
      <w:bookmarkEnd w:id="232"/>
      <w:bookmarkEnd w:id="233"/>
    </w:p>
    <w:p>
      <w:pPr>
        <w:numPr>
          <w:ilvl w:val="0"/>
          <w:numId w:val="4"/>
        </w:numPr>
        <w:adjustRightInd w:val="0"/>
        <w:snapToGrid w:val="0"/>
        <w:spacing w:line="360" w:lineRule="auto"/>
        <w:rPr>
          <w:rFonts w:hAnsi="宋体"/>
          <w:b/>
          <w:bCs/>
          <w:color w:val="auto"/>
          <w:sz w:val="24"/>
          <w:szCs w:val="24"/>
        </w:rPr>
      </w:pPr>
      <w:r>
        <w:rPr>
          <w:rFonts w:hint="eastAsia" w:hAnsi="宋体"/>
          <w:b/>
          <w:bCs/>
          <w:color w:val="auto"/>
          <w:sz w:val="24"/>
          <w:szCs w:val="24"/>
        </w:rPr>
        <w:t>体现满足采购需求、质量和服务相等的采购项目实质性要求</w:t>
      </w:r>
    </w:p>
    <w:p>
      <w:pPr>
        <w:adjustRightInd w:val="0"/>
        <w:snapToGrid w:val="0"/>
        <w:spacing w:line="360" w:lineRule="auto"/>
        <w:rPr>
          <w:rFonts w:hAnsi="宋体"/>
          <w:b/>
          <w:bCs/>
          <w:color w:val="auto"/>
          <w:sz w:val="24"/>
          <w:szCs w:val="24"/>
        </w:rPr>
      </w:pPr>
    </w:p>
    <w:p>
      <w:pPr>
        <w:adjustRightInd w:val="0"/>
        <w:snapToGrid w:val="0"/>
        <w:spacing w:line="360" w:lineRule="auto"/>
        <w:rPr>
          <w:rFonts w:hAnsi="宋体"/>
          <w:color w:val="auto"/>
          <w:sz w:val="24"/>
          <w:szCs w:val="24"/>
        </w:rPr>
      </w:pPr>
      <w:r>
        <w:rPr>
          <w:rFonts w:hint="eastAsia" w:hAnsi="宋体"/>
          <w:color w:val="auto"/>
          <w:sz w:val="24"/>
          <w:szCs w:val="24"/>
        </w:rPr>
        <w:t>1. 供应商资格必须符合国家有关规定和谈判文件资格性要求。</w:t>
      </w:r>
    </w:p>
    <w:p>
      <w:pPr>
        <w:adjustRightInd w:val="0"/>
        <w:snapToGrid w:val="0"/>
        <w:spacing w:line="360" w:lineRule="auto"/>
        <w:rPr>
          <w:rFonts w:hAnsi="宋体"/>
          <w:color w:val="auto"/>
          <w:sz w:val="24"/>
          <w:szCs w:val="24"/>
        </w:rPr>
      </w:pPr>
      <w:r>
        <w:rPr>
          <w:rFonts w:hint="eastAsia" w:hAnsi="宋体"/>
          <w:color w:val="auto"/>
          <w:sz w:val="24"/>
          <w:szCs w:val="24"/>
        </w:rPr>
        <w:t>2. 供应商提供的货物/服务不能实质性偏离谈判文件的技术、服务和商务要求。</w:t>
      </w:r>
    </w:p>
    <w:p>
      <w:pPr>
        <w:adjustRightInd w:val="0"/>
        <w:snapToGrid w:val="0"/>
        <w:spacing w:line="360" w:lineRule="auto"/>
        <w:rPr>
          <w:rFonts w:hAnsi="宋体"/>
          <w:color w:val="auto"/>
          <w:sz w:val="24"/>
          <w:szCs w:val="24"/>
        </w:rPr>
      </w:pPr>
      <w:r>
        <w:rPr>
          <w:rFonts w:hint="eastAsia" w:hAnsi="宋体"/>
          <w:color w:val="auto"/>
          <w:sz w:val="24"/>
          <w:szCs w:val="24"/>
        </w:rPr>
        <w:t>3.响应文件中不能附有采购人不能接受的条件。</w:t>
      </w:r>
    </w:p>
    <w:p>
      <w:pPr>
        <w:widowControl/>
        <w:spacing w:line="360" w:lineRule="auto"/>
        <w:jc w:val="left"/>
        <w:rPr>
          <w:b/>
          <w:color w:val="auto"/>
          <w:kern w:val="44"/>
          <w:sz w:val="32"/>
          <w:szCs w:val="72"/>
        </w:rPr>
      </w:pPr>
      <w:bookmarkStart w:id="234" w:name="_Toc462929210"/>
      <w:r>
        <w:rPr>
          <w:color w:val="auto"/>
          <w:szCs w:val="72"/>
        </w:rPr>
        <w:br w:type="page"/>
      </w:r>
    </w:p>
    <w:p>
      <w:pPr>
        <w:pStyle w:val="3"/>
        <w:spacing w:before="0" w:after="0" w:line="360" w:lineRule="auto"/>
        <w:rPr>
          <w:color w:val="auto"/>
        </w:rPr>
      </w:pPr>
      <w:bookmarkStart w:id="235" w:name="_Toc29432"/>
      <w:r>
        <w:rPr>
          <w:rFonts w:hint="eastAsia"/>
          <w:color w:val="auto"/>
        </w:rPr>
        <w:t>第八部分 谈判内容、谈判过程中可能实质性变动的内容</w:t>
      </w:r>
      <w:bookmarkEnd w:id="234"/>
      <w:bookmarkEnd w:id="235"/>
    </w:p>
    <w:p>
      <w:pPr>
        <w:numPr>
          <w:ilvl w:val="0"/>
          <w:numId w:val="5"/>
        </w:numPr>
        <w:adjustRightInd w:val="0"/>
        <w:snapToGrid w:val="0"/>
        <w:spacing w:line="360" w:lineRule="auto"/>
        <w:rPr>
          <w:rFonts w:hAnsi="宋体"/>
          <w:b/>
          <w:bCs/>
          <w:color w:val="auto"/>
          <w:sz w:val="24"/>
          <w:szCs w:val="24"/>
        </w:rPr>
      </w:pPr>
      <w:r>
        <w:rPr>
          <w:rFonts w:hint="eastAsia" w:hAnsi="宋体"/>
          <w:b/>
          <w:bCs/>
          <w:color w:val="auto"/>
          <w:sz w:val="24"/>
          <w:szCs w:val="24"/>
        </w:rPr>
        <w:t>谈判内容：</w:t>
      </w:r>
    </w:p>
    <w:p>
      <w:pPr>
        <w:adjustRightInd w:val="0"/>
        <w:snapToGrid w:val="0"/>
        <w:spacing w:line="360" w:lineRule="auto"/>
        <w:ind w:left="836" w:leftChars="140" w:hanging="360" w:hangingChars="150"/>
        <w:rPr>
          <w:rFonts w:hAnsi="宋体"/>
          <w:color w:val="auto"/>
          <w:sz w:val="24"/>
          <w:szCs w:val="24"/>
        </w:rPr>
      </w:pPr>
      <w:r>
        <w:rPr>
          <w:rFonts w:hint="eastAsia" w:hAnsi="宋体"/>
          <w:color w:val="auto"/>
          <w:sz w:val="24"/>
          <w:szCs w:val="24"/>
        </w:rPr>
        <w:t>1.供应商提供的采购标的价格。</w:t>
      </w:r>
    </w:p>
    <w:p>
      <w:pPr>
        <w:adjustRightInd w:val="0"/>
        <w:snapToGrid w:val="0"/>
        <w:spacing w:line="360" w:lineRule="auto"/>
        <w:ind w:left="836" w:leftChars="140" w:hanging="360" w:hangingChars="150"/>
        <w:rPr>
          <w:rFonts w:hAnsi="宋体"/>
          <w:color w:val="auto"/>
          <w:sz w:val="24"/>
          <w:szCs w:val="24"/>
        </w:rPr>
      </w:pPr>
      <w:r>
        <w:rPr>
          <w:rFonts w:hint="eastAsia" w:hAnsi="宋体"/>
          <w:color w:val="auto"/>
          <w:sz w:val="24"/>
          <w:szCs w:val="24"/>
        </w:rPr>
        <w:t>2.相关专利、专有技术、商务等情况说明。</w:t>
      </w:r>
    </w:p>
    <w:p>
      <w:pPr>
        <w:adjustRightInd w:val="0"/>
        <w:snapToGrid w:val="0"/>
        <w:spacing w:line="360" w:lineRule="auto"/>
        <w:ind w:left="836" w:leftChars="140" w:hanging="360" w:hangingChars="150"/>
        <w:rPr>
          <w:rFonts w:hAnsi="宋体"/>
          <w:color w:val="auto"/>
          <w:sz w:val="24"/>
          <w:szCs w:val="24"/>
        </w:rPr>
      </w:pPr>
      <w:r>
        <w:rPr>
          <w:rFonts w:hint="eastAsia" w:hAnsi="宋体"/>
          <w:color w:val="auto"/>
          <w:sz w:val="24"/>
          <w:szCs w:val="24"/>
        </w:rPr>
        <w:t>3.</w:t>
      </w:r>
      <w:r>
        <w:rPr>
          <w:rFonts w:hAnsi="宋体"/>
          <w:color w:val="auto"/>
          <w:sz w:val="24"/>
          <w:szCs w:val="24"/>
        </w:rPr>
        <w:t>合同主要条款及价格商定情况。</w:t>
      </w:r>
    </w:p>
    <w:p>
      <w:pPr>
        <w:numPr>
          <w:ilvl w:val="0"/>
          <w:numId w:val="5"/>
        </w:numPr>
        <w:adjustRightInd w:val="0"/>
        <w:snapToGrid w:val="0"/>
        <w:spacing w:line="360" w:lineRule="auto"/>
        <w:rPr>
          <w:rFonts w:hAnsi="宋体"/>
          <w:b/>
          <w:bCs/>
          <w:color w:val="auto"/>
          <w:sz w:val="24"/>
          <w:szCs w:val="24"/>
        </w:rPr>
      </w:pPr>
      <w:r>
        <w:rPr>
          <w:rFonts w:hint="eastAsia" w:hAnsi="宋体"/>
          <w:b/>
          <w:bCs/>
          <w:color w:val="auto"/>
          <w:sz w:val="24"/>
          <w:szCs w:val="24"/>
        </w:rPr>
        <w:t>谈判过程中可能实质性变动的内容：</w:t>
      </w:r>
    </w:p>
    <w:p>
      <w:pPr>
        <w:adjustRightInd w:val="0"/>
        <w:snapToGrid w:val="0"/>
        <w:spacing w:line="360" w:lineRule="auto"/>
        <w:ind w:firstLine="480" w:firstLineChars="200"/>
        <w:rPr>
          <w:rFonts w:hAnsi="宋体"/>
          <w:color w:val="auto"/>
          <w:sz w:val="24"/>
          <w:szCs w:val="24"/>
        </w:rPr>
      </w:pPr>
      <w:r>
        <w:rPr>
          <w:rFonts w:hint="eastAsia" w:hAnsi="宋体"/>
          <w:color w:val="auto"/>
          <w:sz w:val="24"/>
          <w:szCs w:val="24"/>
        </w:rPr>
        <w:t>1、供应商报价</w:t>
      </w:r>
    </w:p>
    <w:p>
      <w:pPr>
        <w:adjustRightInd w:val="0"/>
        <w:snapToGrid w:val="0"/>
        <w:spacing w:line="360" w:lineRule="auto"/>
        <w:ind w:left="836" w:leftChars="140" w:hanging="360" w:hangingChars="150"/>
        <w:rPr>
          <w:rFonts w:hAnsi="宋体"/>
          <w:color w:val="auto"/>
          <w:sz w:val="24"/>
          <w:szCs w:val="24"/>
        </w:rPr>
      </w:pPr>
      <w:r>
        <w:rPr>
          <w:rFonts w:hint="eastAsia" w:hAnsi="宋体"/>
          <w:color w:val="auto"/>
          <w:sz w:val="24"/>
          <w:szCs w:val="24"/>
        </w:rPr>
        <w:t>2、</w:t>
      </w:r>
      <w:r>
        <w:rPr>
          <w:rFonts w:hAnsi="宋体"/>
          <w:color w:val="auto"/>
          <w:sz w:val="24"/>
          <w:szCs w:val="24"/>
        </w:rPr>
        <w:t>采购需求中的技术、</w:t>
      </w:r>
      <w:r>
        <w:rPr>
          <w:rFonts w:hint="eastAsia" w:hAnsi="宋体"/>
          <w:color w:val="auto"/>
          <w:sz w:val="24"/>
          <w:szCs w:val="24"/>
        </w:rPr>
        <w:t>商务、</w:t>
      </w:r>
      <w:r>
        <w:rPr>
          <w:rFonts w:hAnsi="宋体"/>
          <w:color w:val="auto"/>
          <w:sz w:val="24"/>
          <w:szCs w:val="24"/>
        </w:rPr>
        <w:t>服务要求以及合同草案条款。实质性变动的</w:t>
      </w:r>
    </w:p>
    <w:p>
      <w:pPr>
        <w:adjustRightInd w:val="0"/>
        <w:snapToGrid w:val="0"/>
        <w:spacing w:line="360" w:lineRule="auto"/>
        <w:rPr>
          <w:rFonts w:hAnsi="宋体"/>
          <w:color w:val="auto"/>
          <w:sz w:val="24"/>
          <w:szCs w:val="24"/>
        </w:rPr>
      </w:pPr>
      <w:r>
        <w:rPr>
          <w:rFonts w:hAnsi="宋体"/>
          <w:color w:val="auto"/>
          <w:sz w:val="24"/>
          <w:szCs w:val="24"/>
        </w:rPr>
        <w:t>内容，须经</w:t>
      </w:r>
      <w:r>
        <w:rPr>
          <w:rFonts w:hint="eastAsia" w:hAnsi="宋体"/>
          <w:color w:val="auto"/>
          <w:sz w:val="24"/>
          <w:szCs w:val="24"/>
        </w:rPr>
        <w:t>谈判小组</w:t>
      </w:r>
      <w:r>
        <w:rPr>
          <w:rFonts w:hAnsi="宋体"/>
          <w:color w:val="auto"/>
          <w:sz w:val="24"/>
          <w:szCs w:val="24"/>
        </w:rPr>
        <w:t>中的采购人代表确认</w:t>
      </w:r>
      <w:r>
        <w:rPr>
          <w:rFonts w:hint="eastAsia" w:hAnsi="宋体"/>
          <w:color w:val="auto"/>
          <w:sz w:val="24"/>
          <w:szCs w:val="24"/>
        </w:rPr>
        <w:t>。</w:t>
      </w:r>
    </w:p>
    <w:p>
      <w:pPr>
        <w:widowControl/>
        <w:spacing w:line="360" w:lineRule="auto"/>
        <w:jc w:val="left"/>
        <w:rPr>
          <w:rFonts w:hAnsi="宋体"/>
          <w:color w:val="auto"/>
          <w:sz w:val="24"/>
          <w:szCs w:val="24"/>
        </w:rPr>
      </w:pPr>
      <w:bookmarkStart w:id="236" w:name="_Toc532292782"/>
      <w:bookmarkStart w:id="237" w:name="_Toc531666011"/>
      <w:bookmarkStart w:id="238" w:name="_Toc534008364"/>
      <w:bookmarkStart w:id="239" w:name="_Toc101250617"/>
      <w:bookmarkStart w:id="240" w:name="_Toc209847050"/>
      <w:bookmarkStart w:id="241" w:name="_Toc101338335"/>
      <w:bookmarkStart w:id="242" w:name="_Toc532292584"/>
      <w:bookmarkStart w:id="243" w:name="_Toc532877833"/>
      <w:bookmarkStart w:id="244" w:name="_Toc531764902"/>
      <w:bookmarkStart w:id="245" w:name="_Toc532292502"/>
      <w:bookmarkStart w:id="246" w:name="_Toc430773911"/>
      <w:bookmarkStart w:id="247" w:name="_Toc531661830"/>
      <w:bookmarkStart w:id="248" w:name="_Toc462929211"/>
      <w:r>
        <w:rPr>
          <w:b/>
          <w:color w:val="auto"/>
          <w:sz w:val="24"/>
          <w:szCs w:val="24"/>
        </w:rPr>
        <w:br w:type="page"/>
      </w:r>
    </w:p>
    <w:p>
      <w:pPr>
        <w:pStyle w:val="3"/>
        <w:spacing w:before="0" w:after="0" w:line="360" w:lineRule="auto"/>
        <w:rPr>
          <w:color w:val="auto"/>
        </w:rPr>
      </w:pPr>
      <w:bookmarkStart w:id="249" w:name="_Toc21450"/>
      <w:r>
        <w:rPr>
          <w:rFonts w:hint="eastAsia"/>
          <w:color w:val="auto"/>
        </w:rPr>
        <w:t>第九部分</w:t>
      </w:r>
      <w:bookmarkEnd w:id="236"/>
      <w:bookmarkEnd w:id="237"/>
      <w:bookmarkEnd w:id="238"/>
      <w:bookmarkEnd w:id="239"/>
      <w:bookmarkEnd w:id="240"/>
      <w:bookmarkEnd w:id="241"/>
      <w:bookmarkEnd w:id="242"/>
      <w:bookmarkEnd w:id="243"/>
      <w:bookmarkEnd w:id="244"/>
      <w:bookmarkEnd w:id="245"/>
      <w:bookmarkEnd w:id="246"/>
      <w:bookmarkEnd w:id="247"/>
      <w:r>
        <w:rPr>
          <w:rFonts w:hint="eastAsia"/>
          <w:color w:val="auto"/>
        </w:rPr>
        <w:t xml:space="preserve">  报价要求</w:t>
      </w:r>
      <w:bookmarkEnd w:id="248"/>
      <w:bookmarkEnd w:id="249"/>
    </w:p>
    <w:p>
      <w:pPr>
        <w:pStyle w:val="5"/>
        <w:spacing w:before="0" w:after="0"/>
        <w:ind w:firstLine="482"/>
        <w:rPr>
          <w:color w:val="auto"/>
        </w:rPr>
      </w:pPr>
      <w:bookmarkStart w:id="250" w:name="_Toc531666012"/>
      <w:bookmarkStart w:id="251" w:name="_Toc532292783"/>
      <w:bookmarkStart w:id="252" w:name="_Toc532292503"/>
      <w:bookmarkStart w:id="253" w:name="_Toc532877834"/>
      <w:bookmarkStart w:id="254" w:name="_Toc534008365"/>
      <w:bookmarkStart w:id="255" w:name="_Toc101338336"/>
      <w:bookmarkStart w:id="256" w:name="_Toc532292585"/>
      <w:bookmarkStart w:id="257" w:name="_Toc101250618"/>
      <w:bookmarkStart w:id="258" w:name="_Toc531764903"/>
      <w:bookmarkStart w:id="259" w:name="_Toc531661831"/>
      <w:r>
        <w:rPr>
          <w:rFonts w:hint="eastAsia"/>
          <w:color w:val="auto"/>
        </w:rPr>
        <w:t>1.报价</w:t>
      </w:r>
    </w:p>
    <w:p>
      <w:pPr>
        <w:spacing w:line="360" w:lineRule="auto"/>
        <w:rPr>
          <w:rFonts w:hAnsi="宋体"/>
          <w:b/>
          <w:color w:val="auto"/>
          <w:kern w:val="2"/>
          <w:sz w:val="24"/>
          <w:szCs w:val="24"/>
        </w:rPr>
      </w:pPr>
      <w:r>
        <w:rPr>
          <w:rFonts w:hint="eastAsia" w:hAnsi="宋体"/>
          <w:color w:val="auto"/>
          <w:sz w:val="24"/>
          <w:szCs w:val="24"/>
        </w:rPr>
        <w:t>按照谈判文件“第十一部分”中报价表、分项报价明细表、最终报价信的要求进行报价。</w:t>
      </w:r>
    </w:p>
    <w:p>
      <w:pPr>
        <w:pStyle w:val="5"/>
        <w:spacing w:before="0" w:after="0"/>
        <w:ind w:firstLine="482"/>
        <w:rPr>
          <w:color w:val="auto"/>
        </w:rPr>
      </w:pPr>
      <w:r>
        <w:rPr>
          <w:rFonts w:hint="eastAsia"/>
          <w:color w:val="auto"/>
        </w:rPr>
        <w:t>2.项目承包</w:t>
      </w:r>
    </w:p>
    <w:p>
      <w:pPr>
        <w:adjustRightInd w:val="0"/>
        <w:snapToGrid w:val="0"/>
        <w:spacing w:line="360" w:lineRule="auto"/>
        <w:ind w:firstLine="480" w:firstLineChars="200"/>
        <w:rPr>
          <w:rFonts w:hAnsi="宋体"/>
          <w:color w:val="auto"/>
          <w:sz w:val="24"/>
          <w:szCs w:val="24"/>
        </w:rPr>
      </w:pPr>
      <w:r>
        <w:rPr>
          <w:rFonts w:hint="eastAsia" w:hAnsi="宋体"/>
          <w:color w:val="auto"/>
          <w:sz w:val="24"/>
          <w:szCs w:val="24"/>
        </w:rPr>
        <w:t>本次谈判文件内容，由供应商参照谈判文件的要求进行报价。除合同条款中确定遇不可抗力因素外，在项目实施过程中发生的一切事故、问题和可能发生的费用均由供应商自行负责。总报价应包括承诺为完成本项目所发生的所有费用，并承担一切风险责任。</w:t>
      </w:r>
    </w:p>
    <w:p>
      <w:pPr>
        <w:pStyle w:val="5"/>
        <w:spacing w:before="0" w:after="0"/>
        <w:ind w:firstLine="482"/>
        <w:rPr>
          <w:color w:val="auto"/>
        </w:rPr>
      </w:pPr>
      <w:r>
        <w:rPr>
          <w:rFonts w:hint="eastAsia"/>
          <w:color w:val="auto"/>
        </w:rPr>
        <w:t>3.报价要求</w:t>
      </w:r>
    </w:p>
    <w:p>
      <w:pPr>
        <w:adjustRightInd w:val="0"/>
        <w:snapToGrid w:val="0"/>
        <w:spacing w:line="360" w:lineRule="auto"/>
        <w:ind w:firstLine="480" w:firstLineChars="200"/>
        <w:rPr>
          <w:rFonts w:hAnsi="宋体"/>
          <w:color w:val="auto"/>
          <w:sz w:val="24"/>
          <w:szCs w:val="24"/>
        </w:rPr>
      </w:pPr>
      <w:r>
        <w:rPr>
          <w:rFonts w:hint="eastAsia" w:hAnsi="宋体"/>
          <w:color w:val="auto"/>
          <w:sz w:val="24"/>
          <w:szCs w:val="24"/>
        </w:rPr>
        <w:t>3.1供应商应以谈判文件内容作为报价基础，同时可结合自身实力，考虑项目实施因素及该项目实施过程中的风险，以不低于企业成本的价格自主确定报价。</w:t>
      </w:r>
    </w:p>
    <w:p>
      <w:pPr>
        <w:adjustRightInd w:val="0"/>
        <w:snapToGrid w:val="0"/>
        <w:spacing w:line="360" w:lineRule="auto"/>
        <w:ind w:firstLine="480" w:firstLineChars="200"/>
        <w:rPr>
          <w:rFonts w:hAnsi="宋体"/>
          <w:color w:val="auto"/>
          <w:sz w:val="24"/>
          <w:szCs w:val="24"/>
        </w:rPr>
      </w:pPr>
      <w:r>
        <w:rPr>
          <w:rFonts w:hint="eastAsia" w:hAnsi="宋体"/>
          <w:color w:val="auto"/>
          <w:sz w:val="24"/>
          <w:szCs w:val="24"/>
        </w:rPr>
        <w:t>3.2本次项目只允许有一个报价，有选择的报价将不予接受。</w:t>
      </w:r>
    </w:p>
    <w:p>
      <w:pPr>
        <w:adjustRightInd w:val="0"/>
        <w:snapToGrid w:val="0"/>
        <w:spacing w:line="360" w:lineRule="auto"/>
        <w:ind w:firstLine="480" w:firstLineChars="200"/>
        <w:rPr>
          <w:rFonts w:hAnsi="宋体"/>
          <w:color w:val="auto"/>
          <w:sz w:val="24"/>
          <w:szCs w:val="24"/>
        </w:rPr>
      </w:pPr>
      <w:r>
        <w:rPr>
          <w:rFonts w:hint="eastAsia" w:hAnsi="宋体"/>
          <w:color w:val="auto"/>
          <w:sz w:val="24"/>
          <w:szCs w:val="24"/>
        </w:rPr>
        <w:t>3.3供应商须提交项目总报价及报价说明。</w:t>
      </w:r>
    </w:p>
    <w:p>
      <w:pPr>
        <w:adjustRightInd w:val="0"/>
        <w:snapToGrid w:val="0"/>
        <w:spacing w:line="360" w:lineRule="auto"/>
        <w:ind w:firstLine="480" w:firstLineChars="200"/>
        <w:rPr>
          <w:rFonts w:hAnsi="宋体"/>
          <w:color w:val="auto"/>
          <w:sz w:val="24"/>
          <w:szCs w:val="24"/>
        </w:rPr>
      </w:pPr>
      <w:r>
        <w:rPr>
          <w:rFonts w:hint="eastAsia" w:hAnsi="宋体"/>
          <w:color w:val="auto"/>
          <w:sz w:val="24"/>
          <w:szCs w:val="24"/>
        </w:rPr>
        <w:t>3.4供应商应充分考虑项目实施过程中可能发生的一切费用，所有费用均应计入总报价。</w:t>
      </w:r>
    </w:p>
    <w:p>
      <w:pPr>
        <w:pStyle w:val="5"/>
        <w:spacing w:before="0" w:after="0"/>
        <w:ind w:firstLine="482"/>
        <w:rPr>
          <w:color w:val="auto"/>
          <w:szCs w:val="24"/>
        </w:rPr>
      </w:pPr>
      <w:bookmarkStart w:id="260" w:name="_Toc430773912"/>
      <w:bookmarkStart w:id="261" w:name="_Toc209847051"/>
      <w:r>
        <w:rPr>
          <w:rStyle w:val="85"/>
          <w:rFonts w:hint="eastAsia"/>
          <w:b/>
          <w:color w:val="auto"/>
        </w:rPr>
        <w:t>4．报价货币</w:t>
      </w:r>
      <w:bookmarkEnd w:id="250"/>
      <w:bookmarkEnd w:id="251"/>
      <w:bookmarkEnd w:id="252"/>
      <w:bookmarkEnd w:id="253"/>
      <w:bookmarkEnd w:id="254"/>
      <w:bookmarkEnd w:id="255"/>
      <w:bookmarkEnd w:id="256"/>
      <w:bookmarkEnd w:id="257"/>
      <w:bookmarkEnd w:id="258"/>
      <w:bookmarkEnd w:id="259"/>
      <w:bookmarkEnd w:id="260"/>
      <w:bookmarkEnd w:id="261"/>
    </w:p>
    <w:p>
      <w:pPr>
        <w:adjustRightInd w:val="0"/>
        <w:snapToGrid w:val="0"/>
        <w:spacing w:line="360" w:lineRule="auto"/>
        <w:ind w:firstLine="480" w:firstLineChars="200"/>
        <w:rPr>
          <w:rFonts w:hAnsi="宋体"/>
          <w:color w:val="auto"/>
          <w:sz w:val="24"/>
          <w:szCs w:val="24"/>
        </w:rPr>
      </w:pPr>
      <w:r>
        <w:rPr>
          <w:rFonts w:hint="eastAsia" w:hAnsi="宋体"/>
          <w:color w:val="auto"/>
          <w:sz w:val="24"/>
          <w:szCs w:val="24"/>
        </w:rPr>
        <w:t>响应函、报价表、分项报价明细表、最终报价信中的报价一律用人民币币种填报。采购代理机构不接受任何非人民币币种的报价。</w:t>
      </w:r>
    </w:p>
    <w:p>
      <w:pPr>
        <w:widowControl/>
        <w:spacing w:line="360" w:lineRule="auto"/>
        <w:jc w:val="left"/>
        <w:rPr>
          <w:rFonts w:hAnsi="宋体"/>
          <w:b/>
          <w:color w:val="auto"/>
          <w:kern w:val="2"/>
          <w:sz w:val="24"/>
          <w:szCs w:val="24"/>
        </w:rPr>
      </w:pPr>
      <w:bookmarkStart w:id="262" w:name="_Toc462929212"/>
      <w:r>
        <w:rPr>
          <w:color w:val="auto"/>
          <w:kern w:val="2"/>
          <w:sz w:val="24"/>
          <w:szCs w:val="24"/>
        </w:rPr>
        <w:br w:type="page"/>
      </w:r>
    </w:p>
    <w:p>
      <w:pPr>
        <w:pStyle w:val="3"/>
        <w:spacing w:before="0" w:after="0" w:line="360" w:lineRule="auto"/>
        <w:rPr>
          <w:color w:val="auto"/>
        </w:rPr>
      </w:pPr>
      <w:bookmarkStart w:id="263" w:name="_Toc17863"/>
      <w:r>
        <w:rPr>
          <w:rFonts w:hint="eastAsia"/>
          <w:color w:val="auto"/>
        </w:rPr>
        <w:t>第十部分</w:t>
      </w:r>
      <w:r>
        <w:rPr>
          <w:color w:val="auto"/>
        </w:rPr>
        <w:t xml:space="preserve">  </w:t>
      </w:r>
      <w:r>
        <w:rPr>
          <w:rFonts w:hint="eastAsia"/>
          <w:color w:val="auto"/>
        </w:rPr>
        <w:t>供应商响应文件编制要求</w:t>
      </w:r>
      <w:bookmarkEnd w:id="262"/>
      <w:bookmarkEnd w:id="263"/>
    </w:p>
    <w:p>
      <w:pPr>
        <w:pStyle w:val="5"/>
        <w:spacing w:before="0" w:after="0"/>
        <w:ind w:firstLine="482"/>
        <w:rPr>
          <w:color w:val="auto"/>
        </w:rPr>
      </w:pPr>
      <w:bookmarkStart w:id="264" w:name="_Toc101250613"/>
      <w:bookmarkStart w:id="265" w:name="_Toc532877829"/>
      <w:bookmarkStart w:id="266" w:name="_Toc430773907"/>
      <w:bookmarkStart w:id="267" w:name="_Toc531666007"/>
      <w:bookmarkStart w:id="268" w:name="_Toc532292580"/>
      <w:bookmarkStart w:id="269" w:name="_Toc209847046"/>
      <w:bookmarkStart w:id="270" w:name="_Toc531764898"/>
      <w:bookmarkStart w:id="271" w:name="_Toc534008360"/>
      <w:bookmarkStart w:id="272" w:name="_Toc531661826"/>
      <w:bookmarkStart w:id="273" w:name="_Toc532292498"/>
      <w:bookmarkStart w:id="274" w:name="_Toc101338331"/>
      <w:bookmarkStart w:id="275" w:name="_Toc532292778"/>
      <w:r>
        <w:rPr>
          <w:rFonts w:hint="eastAsia"/>
          <w:color w:val="auto"/>
        </w:rPr>
        <w:t>1.报价语言</w:t>
      </w:r>
      <w:bookmarkEnd w:id="264"/>
      <w:bookmarkEnd w:id="265"/>
      <w:bookmarkEnd w:id="266"/>
      <w:bookmarkEnd w:id="267"/>
      <w:bookmarkEnd w:id="268"/>
      <w:bookmarkEnd w:id="269"/>
      <w:bookmarkEnd w:id="270"/>
      <w:bookmarkEnd w:id="271"/>
      <w:bookmarkEnd w:id="272"/>
      <w:bookmarkEnd w:id="273"/>
      <w:bookmarkEnd w:id="274"/>
      <w:bookmarkEnd w:id="275"/>
    </w:p>
    <w:p>
      <w:pPr>
        <w:spacing w:line="360" w:lineRule="auto"/>
        <w:ind w:firstLine="480" w:firstLineChars="200"/>
        <w:rPr>
          <w:rFonts w:hAnsi="宋体"/>
          <w:color w:val="auto"/>
          <w:sz w:val="24"/>
          <w:szCs w:val="24"/>
        </w:rPr>
      </w:pPr>
      <w:bookmarkStart w:id="276" w:name="_Toc532292779"/>
      <w:bookmarkStart w:id="277" w:name="_Toc532877830"/>
      <w:bookmarkStart w:id="278" w:name="_Toc101250614"/>
      <w:bookmarkStart w:id="279" w:name="_Toc531661827"/>
      <w:bookmarkStart w:id="280" w:name="_Toc532292581"/>
      <w:bookmarkStart w:id="281" w:name="_Toc534008361"/>
      <w:bookmarkStart w:id="282" w:name="_Toc531666008"/>
      <w:bookmarkStart w:id="283" w:name="_Toc531764899"/>
      <w:bookmarkStart w:id="284" w:name="_Toc532292499"/>
      <w:bookmarkStart w:id="285" w:name="_Toc209847047"/>
      <w:bookmarkStart w:id="286" w:name="_Toc101338332"/>
      <w:r>
        <w:rPr>
          <w:rFonts w:hint="eastAsia" w:hAnsi="宋体"/>
          <w:color w:val="auto"/>
          <w:sz w:val="24"/>
          <w:szCs w:val="24"/>
        </w:rPr>
        <w:t>1.1 供应商提交的响应文件以及供应商与采购单位就有关报价的所有来往书面文件均须使用中文。响应文件中如附有外文资料，应逐一对应翻译成中文并加盖供应商公章后附在相关外文资料后面。</w:t>
      </w:r>
    </w:p>
    <w:p>
      <w:pPr>
        <w:spacing w:line="360" w:lineRule="auto"/>
        <w:ind w:firstLine="480" w:firstLineChars="200"/>
        <w:rPr>
          <w:rFonts w:hAnsi="宋体"/>
          <w:color w:val="auto"/>
          <w:sz w:val="24"/>
          <w:szCs w:val="24"/>
        </w:rPr>
      </w:pPr>
      <w:r>
        <w:rPr>
          <w:rFonts w:hint="eastAsia" w:hAnsi="宋体"/>
          <w:color w:val="auto"/>
          <w:sz w:val="24"/>
          <w:szCs w:val="24"/>
        </w:rPr>
        <w:t>1.2 翻译的中文资料与外文资料如果出现差异和矛盾时，以中文为准。但不能故意错误翻译。</w:t>
      </w:r>
    </w:p>
    <w:p>
      <w:pPr>
        <w:pStyle w:val="5"/>
        <w:spacing w:before="0" w:after="0"/>
        <w:ind w:firstLine="482"/>
        <w:rPr>
          <w:color w:val="auto"/>
        </w:rPr>
      </w:pPr>
      <w:bookmarkStart w:id="287" w:name="_Toc430773908"/>
      <w:r>
        <w:rPr>
          <w:rFonts w:hint="eastAsia"/>
          <w:color w:val="auto"/>
        </w:rPr>
        <w:t>2.计量单位</w:t>
      </w:r>
      <w:bookmarkEnd w:id="276"/>
      <w:bookmarkEnd w:id="277"/>
      <w:bookmarkEnd w:id="278"/>
      <w:bookmarkEnd w:id="279"/>
      <w:bookmarkEnd w:id="280"/>
      <w:bookmarkEnd w:id="281"/>
      <w:bookmarkEnd w:id="282"/>
      <w:bookmarkEnd w:id="283"/>
      <w:bookmarkEnd w:id="284"/>
      <w:bookmarkEnd w:id="285"/>
      <w:bookmarkEnd w:id="286"/>
      <w:bookmarkEnd w:id="287"/>
    </w:p>
    <w:p>
      <w:pPr>
        <w:adjustRightInd w:val="0"/>
        <w:snapToGrid w:val="0"/>
        <w:spacing w:line="360" w:lineRule="auto"/>
        <w:ind w:firstLine="480" w:firstLineChars="200"/>
        <w:rPr>
          <w:rFonts w:hAnsi="宋体"/>
          <w:color w:val="auto"/>
          <w:sz w:val="24"/>
          <w:szCs w:val="24"/>
        </w:rPr>
      </w:pPr>
      <w:r>
        <w:rPr>
          <w:rFonts w:hint="eastAsia" w:hAnsi="宋体"/>
          <w:color w:val="auto"/>
          <w:sz w:val="24"/>
          <w:szCs w:val="24"/>
        </w:rPr>
        <w:t>除在谈判文件的技术规格中另有规定外，计量单位应使用中华人民共和国法定计量单位。</w:t>
      </w:r>
    </w:p>
    <w:p>
      <w:pPr>
        <w:pStyle w:val="5"/>
        <w:spacing w:before="0" w:after="0"/>
        <w:ind w:firstLine="482"/>
        <w:rPr>
          <w:color w:val="auto"/>
        </w:rPr>
      </w:pPr>
      <w:bookmarkStart w:id="288" w:name="_Toc532292582"/>
      <w:bookmarkStart w:id="289" w:name="_Toc531764900"/>
      <w:bookmarkStart w:id="290" w:name="_Toc209847048"/>
      <w:bookmarkStart w:id="291" w:name="_Toc532877831"/>
      <w:bookmarkStart w:id="292" w:name="_Toc532292780"/>
      <w:bookmarkStart w:id="293" w:name="_Toc101250615"/>
      <w:bookmarkStart w:id="294" w:name="_Toc101338333"/>
      <w:bookmarkStart w:id="295" w:name="_Toc534008362"/>
      <w:bookmarkStart w:id="296" w:name="_Toc531666009"/>
      <w:bookmarkStart w:id="297" w:name="_Toc430773909"/>
      <w:bookmarkStart w:id="298" w:name="_Toc532292500"/>
      <w:bookmarkStart w:id="299" w:name="_Toc531661828"/>
      <w:r>
        <w:rPr>
          <w:rFonts w:hint="eastAsia"/>
          <w:color w:val="auto"/>
        </w:rPr>
        <w:t>3.响应文件的组成</w:t>
      </w:r>
      <w:bookmarkEnd w:id="288"/>
      <w:bookmarkEnd w:id="289"/>
      <w:bookmarkEnd w:id="290"/>
      <w:bookmarkEnd w:id="291"/>
      <w:bookmarkEnd w:id="292"/>
      <w:bookmarkEnd w:id="293"/>
      <w:bookmarkEnd w:id="294"/>
      <w:bookmarkEnd w:id="295"/>
      <w:bookmarkEnd w:id="296"/>
      <w:bookmarkEnd w:id="297"/>
      <w:bookmarkEnd w:id="298"/>
      <w:bookmarkEnd w:id="299"/>
    </w:p>
    <w:p>
      <w:pPr>
        <w:spacing w:line="360" w:lineRule="auto"/>
        <w:rPr>
          <w:rFonts w:hAnsi="宋体"/>
          <w:color w:val="auto"/>
          <w:sz w:val="24"/>
          <w:szCs w:val="24"/>
        </w:rPr>
      </w:pPr>
      <w:r>
        <w:rPr>
          <w:rFonts w:hint="eastAsia" w:hAnsi="宋体"/>
          <w:color w:val="auto"/>
          <w:sz w:val="24"/>
          <w:szCs w:val="24"/>
        </w:rPr>
        <w:t xml:space="preserve">    供应商应按照谈判文件的规定和要求编制响应文件，响应文件分资格性响应文件和其他响应文件两部分，分册装订。资格性响应文件用于谈判小组资格审查；其他响应文件用于供应商与谈判小组谈判。供应商拟在成交后将成交项目的非主体、非关键性工作交由他人完成的，应当在响应文件中载明。供应商编写的响应文件应包括下列部分：</w:t>
      </w:r>
    </w:p>
    <w:p>
      <w:pPr>
        <w:spacing w:line="360" w:lineRule="auto"/>
        <w:rPr>
          <w:rFonts w:hAnsi="宋体"/>
          <w:color w:val="auto"/>
          <w:sz w:val="24"/>
          <w:szCs w:val="24"/>
        </w:rPr>
      </w:pPr>
      <w:r>
        <w:rPr>
          <w:rFonts w:hint="eastAsia" w:hAnsi="宋体"/>
          <w:b/>
          <w:bCs/>
          <w:color w:val="auto"/>
          <w:sz w:val="24"/>
          <w:szCs w:val="24"/>
        </w:rPr>
        <w:t xml:space="preserve"> 3.1 资格性响应文件部分：</w:t>
      </w:r>
      <w:r>
        <w:rPr>
          <w:rFonts w:hint="eastAsia" w:hAnsi="宋体"/>
          <w:color w:val="auto"/>
          <w:sz w:val="24"/>
          <w:szCs w:val="24"/>
        </w:rPr>
        <w:t>供应商按照谈判文件要求编写资格性响应文件：</w:t>
      </w:r>
    </w:p>
    <w:p>
      <w:pPr>
        <w:adjustRightInd w:val="0"/>
        <w:snapToGrid w:val="0"/>
        <w:spacing w:line="360" w:lineRule="auto"/>
        <w:rPr>
          <w:rFonts w:hAnsi="宋体" w:cs="宋体"/>
          <w:bCs/>
          <w:color w:val="auto"/>
          <w:sz w:val="24"/>
          <w:szCs w:val="24"/>
        </w:rPr>
      </w:pPr>
      <w:r>
        <w:rPr>
          <w:rFonts w:hint="eastAsia" w:hAnsi="宋体"/>
          <w:color w:val="auto"/>
          <w:sz w:val="24"/>
          <w:szCs w:val="24"/>
        </w:rPr>
        <w:t>（1）声明函、承诺函；</w:t>
      </w:r>
    </w:p>
    <w:p>
      <w:pPr>
        <w:adjustRightInd w:val="0"/>
        <w:snapToGrid w:val="0"/>
        <w:spacing w:line="360" w:lineRule="auto"/>
        <w:rPr>
          <w:rFonts w:hAnsi="宋体" w:cs="宋体"/>
          <w:bCs/>
          <w:color w:val="auto"/>
          <w:sz w:val="24"/>
          <w:szCs w:val="24"/>
        </w:rPr>
      </w:pPr>
      <w:r>
        <w:rPr>
          <w:rFonts w:hint="eastAsia" w:hAnsi="宋体"/>
          <w:color w:val="auto"/>
          <w:sz w:val="24"/>
          <w:szCs w:val="24"/>
        </w:rPr>
        <w:t>（2）供应商的资格声明；</w:t>
      </w:r>
    </w:p>
    <w:p>
      <w:pPr>
        <w:adjustRightInd w:val="0"/>
        <w:snapToGrid w:val="0"/>
        <w:spacing w:line="360" w:lineRule="auto"/>
        <w:rPr>
          <w:rFonts w:hAnsi="宋体" w:cs="宋体"/>
          <w:bCs/>
          <w:color w:val="auto"/>
          <w:sz w:val="24"/>
          <w:szCs w:val="24"/>
        </w:rPr>
      </w:pPr>
      <w:r>
        <w:rPr>
          <w:rFonts w:hint="eastAsia" w:hAnsi="宋体" w:cs="宋体"/>
          <w:bCs/>
          <w:color w:val="auto"/>
          <w:sz w:val="24"/>
          <w:szCs w:val="24"/>
        </w:rPr>
        <w:t>（3）谈判文件第五部分所要求提供的证明材料；</w:t>
      </w:r>
    </w:p>
    <w:p>
      <w:pPr>
        <w:adjustRightInd w:val="0"/>
        <w:snapToGrid w:val="0"/>
        <w:spacing w:line="360" w:lineRule="auto"/>
        <w:rPr>
          <w:rFonts w:hAnsi="宋体" w:cs="宋体"/>
          <w:bCs/>
          <w:color w:val="auto"/>
          <w:sz w:val="24"/>
          <w:szCs w:val="24"/>
        </w:rPr>
      </w:pPr>
      <w:r>
        <w:rPr>
          <w:rFonts w:hint="eastAsia" w:hAnsi="宋体" w:cs="宋体"/>
          <w:bCs/>
          <w:color w:val="auto"/>
          <w:sz w:val="24"/>
          <w:szCs w:val="24"/>
        </w:rPr>
        <w:t>（4）谈判供应商认为需要提供的文件和资料。</w:t>
      </w:r>
    </w:p>
    <w:p>
      <w:pPr>
        <w:spacing w:line="360" w:lineRule="auto"/>
        <w:rPr>
          <w:rFonts w:hAnsi="宋体"/>
          <w:b/>
          <w:bCs/>
          <w:color w:val="auto"/>
          <w:sz w:val="24"/>
          <w:szCs w:val="24"/>
        </w:rPr>
      </w:pPr>
      <w:r>
        <w:rPr>
          <w:rFonts w:hint="eastAsia" w:hAnsi="宋体"/>
          <w:b/>
          <w:bCs/>
          <w:color w:val="auto"/>
          <w:sz w:val="24"/>
          <w:szCs w:val="24"/>
        </w:rPr>
        <w:t>3.2其他响应文件部分</w:t>
      </w:r>
    </w:p>
    <w:p>
      <w:pPr>
        <w:spacing w:line="360" w:lineRule="auto"/>
        <w:rPr>
          <w:rFonts w:hAnsi="宋体"/>
          <w:color w:val="auto"/>
          <w:sz w:val="24"/>
          <w:szCs w:val="24"/>
        </w:rPr>
      </w:pPr>
      <w:r>
        <w:rPr>
          <w:rFonts w:hint="eastAsia" w:hAnsi="宋体"/>
          <w:color w:val="auto"/>
          <w:sz w:val="24"/>
          <w:szCs w:val="24"/>
        </w:rPr>
        <w:t xml:space="preserve"> 供应商按照谈判文件要求编写其他响应文件：</w:t>
      </w:r>
    </w:p>
    <w:p>
      <w:pPr>
        <w:spacing w:line="360" w:lineRule="auto"/>
        <w:rPr>
          <w:rFonts w:hAnsi="宋体"/>
          <w:color w:val="auto"/>
          <w:sz w:val="24"/>
          <w:szCs w:val="24"/>
        </w:rPr>
      </w:pPr>
      <w:r>
        <w:rPr>
          <w:rFonts w:hint="eastAsia" w:hAnsi="宋体"/>
          <w:color w:val="auto"/>
          <w:sz w:val="24"/>
          <w:szCs w:val="24"/>
        </w:rPr>
        <w:t>（1）响应函；</w:t>
      </w:r>
    </w:p>
    <w:p>
      <w:pPr>
        <w:spacing w:line="360" w:lineRule="auto"/>
        <w:rPr>
          <w:rFonts w:hAnsi="宋体"/>
          <w:color w:val="auto"/>
          <w:sz w:val="24"/>
          <w:szCs w:val="24"/>
        </w:rPr>
      </w:pPr>
      <w:r>
        <w:rPr>
          <w:rFonts w:hint="eastAsia" w:hAnsi="宋体"/>
          <w:color w:val="auto"/>
          <w:sz w:val="24"/>
          <w:szCs w:val="24"/>
        </w:rPr>
        <w:t>（2）报价表；</w:t>
      </w:r>
    </w:p>
    <w:p>
      <w:pPr>
        <w:spacing w:line="360" w:lineRule="auto"/>
        <w:rPr>
          <w:rFonts w:hAnsi="宋体"/>
          <w:color w:val="auto"/>
          <w:sz w:val="24"/>
          <w:szCs w:val="24"/>
        </w:rPr>
      </w:pPr>
      <w:r>
        <w:rPr>
          <w:rFonts w:hint="eastAsia" w:hAnsi="宋体"/>
          <w:color w:val="auto"/>
          <w:sz w:val="24"/>
          <w:szCs w:val="24"/>
        </w:rPr>
        <w:t>（3）分项报价明细表；</w:t>
      </w:r>
    </w:p>
    <w:p>
      <w:pPr>
        <w:spacing w:line="360" w:lineRule="auto"/>
        <w:rPr>
          <w:rFonts w:hAnsi="宋体"/>
          <w:color w:val="auto"/>
          <w:sz w:val="24"/>
          <w:szCs w:val="24"/>
        </w:rPr>
      </w:pPr>
      <w:r>
        <w:rPr>
          <w:rFonts w:hint="eastAsia" w:hAnsi="宋体"/>
          <w:color w:val="auto"/>
          <w:sz w:val="24"/>
          <w:szCs w:val="24"/>
        </w:rPr>
        <w:t>（4）技术、服务、商务和合同重要条款响应偏离表</w:t>
      </w:r>
    </w:p>
    <w:p>
      <w:pPr>
        <w:spacing w:line="360" w:lineRule="auto"/>
        <w:rPr>
          <w:rFonts w:hAnsi="宋体"/>
          <w:color w:val="auto"/>
          <w:sz w:val="24"/>
          <w:szCs w:val="24"/>
        </w:rPr>
      </w:pPr>
      <w:r>
        <w:rPr>
          <w:rFonts w:hint="eastAsia" w:hAnsi="宋体"/>
          <w:color w:val="auto"/>
          <w:sz w:val="24"/>
          <w:szCs w:val="24"/>
        </w:rPr>
        <w:t>（5）供应商应按照谈判文件中售后服务要求作出的积极响应和有利于采购人的承诺；（如适用）</w:t>
      </w:r>
    </w:p>
    <w:p>
      <w:pPr>
        <w:tabs>
          <w:tab w:val="left" w:pos="900"/>
        </w:tabs>
        <w:spacing w:line="360" w:lineRule="auto"/>
        <w:rPr>
          <w:rFonts w:hAnsi="宋体"/>
          <w:color w:val="auto"/>
          <w:sz w:val="24"/>
          <w:szCs w:val="24"/>
        </w:rPr>
      </w:pPr>
      <w:r>
        <w:rPr>
          <w:rFonts w:hint="eastAsia" w:hAnsi="宋体"/>
          <w:color w:val="auto"/>
          <w:sz w:val="24"/>
          <w:szCs w:val="24"/>
        </w:rPr>
        <w:t>（6）针对本项目的售后服务及实施方案；（如适用）</w:t>
      </w:r>
    </w:p>
    <w:p>
      <w:pPr>
        <w:tabs>
          <w:tab w:val="left" w:pos="900"/>
        </w:tabs>
        <w:spacing w:line="360" w:lineRule="auto"/>
        <w:rPr>
          <w:rFonts w:hAnsi="宋体"/>
          <w:color w:val="auto"/>
          <w:sz w:val="24"/>
          <w:szCs w:val="24"/>
        </w:rPr>
      </w:pPr>
      <w:r>
        <w:rPr>
          <w:rFonts w:hint="eastAsia" w:hAnsi="宋体"/>
          <w:color w:val="auto"/>
          <w:sz w:val="24"/>
          <w:szCs w:val="24"/>
        </w:rPr>
        <w:t>（7）质量保证和售后服务承诺、服务计划及承诺等文件；（如适用）</w:t>
      </w:r>
    </w:p>
    <w:p>
      <w:pPr>
        <w:tabs>
          <w:tab w:val="left" w:pos="900"/>
        </w:tabs>
        <w:spacing w:line="360" w:lineRule="auto"/>
        <w:rPr>
          <w:rFonts w:hAnsi="宋体"/>
          <w:color w:val="auto"/>
          <w:sz w:val="24"/>
          <w:szCs w:val="24"/>
        </w:rPr>
      </w:pPr>
      <w:r>
        <w:rPr>
          <w:rFonts w:hint="eastAsia" w:hAnsi="宋体"/>
          <w:color w:val="auto"/>
          <w:sz w:val="24"/>
          <w:szCs w:val="24"/>
        </w:rPr>
        <w:t>（8）其它供应商认为需要提供的文件和资料。</w:t>
      </w:r>
    </w:p>
    <w:p>
      <w:pPr>
        <w:adjustRightInd w:val="0"/>
        <w:snapToGrid w:val="0"/>
        <w:spacing w:line="360" w:lineRule="auto"/>
        <w:outlineLvl w:val="5"/>
        <w:rPr>
          <w:rFonts w:hAnsi="宋体"/>
          <w:color w:val="auto"/>
          <w:sz w:val="24"/>
          <w:szCs w:val="24"/>
        </w:rPr>
      </w:pPr>
      <w:r>
        <w:rPr>
          <w:rFonts w:hint="eastAsia" w:hAnsi="宋体" w:cs="宋体"/>
          <w:b/>
          <w:bCs/>
          <w:color w:val="auto"/>
          <w:sz w:val="24"/>
        </w:rPr>
        <w:t xml:space="preserve">    3.3其他部分。</w:t>
      </w:r>
      <w:r>
        <w:rPr>
          <w:rFonts w:hint="eastAsia" w:hAnsi="宋体" w:cs="宋体"/>
          <w:bCs/>
          <w:color w:val="auto"/>
          <w:sz w:val="24"/>
        </w:rPr>
        <w:t>供应商按照谈判文件要求作出的其他应答和承诺。</w:t>
      </w:r>
    </w:p>
    <w:p>
      <w:pPr>
        <w:spacing w:line="360" w:lineRule="auto"/>
        <w:rPr>
          <w:rFonts w:hAnsi="宋体"/>
          <w:color w:val="auto"/>
          <w:sz w:val="24"/>
          <w:szCs w:val="24"/>
        </w:rPr>
      </w:pPr>
      <w:r>
        <w:rPr>
          <w:rStyle w:val="85"/>
          <w:rFonts w:hint="eastAsia"/>
          <w:color w:val="auto"/>
        </w:rPr>
        <w:t xml:space="preserve"> 4．响应文件格式</w:t>
      </w:r>
      <w:r>
        <w:rPr>
          <w:rStyle w:val="85"/>
          <w:rFonts w:hint="eastAsia"/>
          <w:color w:val="auto"/>
        </w:rPr>
        <w:tab/>
      </w:r>
    </w:p>
    <w:p>
      <w:pPr>
        <w:tabs>
          <w:tab w:val="left" w:pos="7665"/>
        </w:tabs>
        <w:spacing w:line="360" w:lineRule="auto"/>
        <w:ind w:left="20" w:leftChars="6" w:firstLine="480" w:firstLineChars="200"/>
        <w:rPr>
          <w:rFonts w:hAnsi="宋体"/>
          <w:color w:val="auto"/>
          <w:sz w:val="24"/>
        </w:rPr>
      </w:pPr>
      <w:r>
        <w:rPr>
          <w:rFonts w:hint="eastAsia" w:hAnsi="宋体"/>
          <w:color w:val="auto"/>
          <w:sz w:val="24"/>
        </w:rPr>
        <w:t xml:space="preserve">4.1 </w:t>
      </w:r>
      <w:r>
        <w:rPr>
          <w:rFonts w:hint="eastAsia" w:hAnsi="宋体"/>
          <w:color w:val="auto"/>
          <w:sz w:val="24"/>
          <w:szCs w:val="24"/>
        </w:rPr>
        <w:t>供应商应按谈判文件中“第十一部分”的要求</w:t>
      </w:r>
      <w:r>
        <w:rPr>
          <w:rFonts w:hint="eastAsia" w:hAnsi="宋体"/>
          <w:color w:val="auto"/>
          <w:sz w:val="24"/>
        </w:rPr>
        <w:t>。</w:t>
      </w:r>
    </w:p>
    <w:p>
      <w:pPr>
        <w:tabs>
          <w:tab w:val="left" w:pos="7665"/>
        </w:tabs>
        <w:spacing w:line="360" w:lineRule="auto"/>
        <w:ind w:left="20" w:leftChars="6" w:firstLine="480" w:firstLineChars="200"/>
        <w:rPr>
          <w:rFonts w:hAnsi="宋体"/>
          <w:color w:val="auto"/>
          <w:sz w:val="24"/>
          <w:szCs w:val="24"/>
        </w:rPr>
      </w:pPr>
      <w:r>
        <w:rPr>
          <w:rFonts w:hint="eastAsia" w:hAnsi="宋体"/>
          <w:color w:val="auto"/>
          <w:sz w:val="24"/>
        </w:rPr>
        <w:t>4.2 对于没有格式要求的响应文件由供应商自行编写。</w:t>
      </w:r>
    </w:p>
    <w:p>
      <w:pPr>
        <w:pStyle w:val="5"/>
        <w:spacing w:before="0" w:after="0"/>
        <w:ind w:firstLine="482"/>
        <w:rPr>
          <w:color w:val="auto"/>
        </w:rPr>
      </w:pPr>
      <w:bookmarkStart w:id="300" w:name="_Toc532292589"/>
      <w:bookmarkStart w:id="301" w:name="_Toc101338340"/>
      <w:bookmarkStart w:id="302" w:name="_Toc532292507"/>
      <w:bookmarkStart w:id="303" w:name="_Toc532877838"/>
      <w:bookmarkStart w:id="304" w:name="_Toc430773914"/>
      <w:bookmarkStart w:id="305" w:name="_Toc531764907"/>
      <w:bookmarkStart w:id="306" w:name="_Toc209847054"/>
      <w:bookmarkStart w:id="307" w:name="_Toc531661835"/>
      <w:bookmarkStart w:id="308" w:name="_Toc532292787"/>
      <w:bookmarkStart w:id="309" w:name="_Toc534008369"/>
      <w:bookmarkStart w:id="310" w:name="_Toc531666016"/>
      <w:bookmarkStart w:id="311" w:name="_Toc101250622"/>
      <w:r>
        <w:rPr>
          <w:color w:val="auto"/>
        </w:rPr>
        <w:t>5</w:t>
      </w:r>
      <w:r>
        <w:rPr>
          <w:rFonts w:hint="eastAsia"/>
          <w:color w:val="auto"/>
        </w:rPr>
        <w:t>．谈判有效期</w:t>
      </w:r>
      <w:bookmarkEnd w:id="300"/>
      <w:bookmarkEnd w:id="301"/>
      <w:bookmarkEnd w:id="302"/>
      <w:bookmarkEnd w:id="303"/>
      <w:bookmarkEnd w:id="304"/>
      <w:bookmarkEnd w:id="305"/>
      <w:bookmarkEnd w:id="306"/>
      <w:bookmarkEnd w:id="307"/>
      <w:bookmarkEnd w:id="308"/>
      <w:bookmarkEnd w:id="309"/>
      <w:bookmarkEnd w:id="310"/>
      <w:bookmarkEnd w:id="311"/>
      <w:r>
        <w:rPr>
          <w:rFonts w:hint="eastAsia"/>
          <w:color w:val="auto"/>
        </w:rPr>
        <w:t>（实质性要求）</w:t>
      </w:r>
    </w:p>
    <w:p>
      <w:pPr>
        <w:adjustRightInd w:val="0"/>
        <w:snapToGrid w:val="0"/>
        <w:spacing w:line="360" w:lineRule="auto"/>
        <w:ind w:firstLine="480" w:firstLineChars="200"/>
        <w:rPr>
          <w:rFonts w:hAnsi="宋体"/>
          <w:color w:val="auto"/>
          <w:sz w:val="24"/>
          <w:szCs w:val="24"/>
        </w:rPr>
      </w:pPr>
      <w:r>
        <w:rPr>
          <w:rFonts w:hAnsi="宋体"/>
          <w:color w:val="auto"/>
          <w:sz w:val="24"/>
          <w:szCs w:val="24"/>
        </w:rPr>
        <w:t>5.</w:t>
      </w:r>
      <w:r>
        <w:rPr>
          <w:rFonts w:hint="eastAsia" w:hAnsi="宋体"/>
          <w:color w:val="auto"/>
          <w:sz w:val="24"/>
          <w:szCs w:val="24"/>
        </w:rPr>
        <w:t>1谈判有效期见供应商谈判须知附表，供应商响应文件中须载明谈判有效期，响应文件中载明的谈判有效期可以长于谈判文件规定的期限，但不得短于谈判文件规定的期限。否则，其响应文件将作为无效处理。</w:t>
      </w:r>
    </w:p>
    <w:p>
      <w:pPr>
        <w:adjustRightInd w:val="0"/>
        <w:snapToGrid w:val="0"/>
        <w:spacing w:line="360" w:lineRule="auto"/>
        <w:ind w:firstLine="480" w:firstLineChars="200"/>
        <w:rPr>
          <w:color w:val="auto"/>
          <w:sz w:val="24"/>
          <w:szCs w:val="24"/>
        </w:rPr>
      </w:pPr>
      <w:r>
        <w:rPr>
          <w:rFonts w:hAnsi="宋体"/>
          <w:color w:val="auto"/>
          <w:sz w:val="24"/>
          <w:szCs w:val="24"/>
        </w:rPr>
        <w:t>5</w:t>
      </w:r>
      <w:r>
        <w:rPr>
          <w:rFonts w:hint="eastAsia" w:hAnsi="宋体"/>
          <w:color w:val="auto"/>
          <w:sz w:val="24"/>
          <w:szCs w:val="24"/>
        </w:rPr>
        <w:t>.2因不可抗力事件或者采购需求作出必要调整，采购人可于谈判有效期届满之前与供应商协商延长谈判有效期。供应商拒绝延长谈判有效期的，不得再参与该项目后续采购活动，但由此给供应商造成的损失，采购人应当予以赔偿或者合理补偿。供应商同意延长谈判有效期的，不能修改响应文件。</w:t>
      </w:r>
    </w:p>
    <w:p>
      <w:pPr>
        <w:pStyle w:val="5"/>
        <w:spacing w:before="0" w:after="0"/>
        <w:ind w:firstLine="482"/>
        <w:rPr>
          <w:color w:val="auto"/>
        </w:rPr>
      </w:pPr>
      <w:bookmarkStart w:id="312" w:name="_Toc209847055"/>
      <w:bookmarkStart w:id="313" w:name="_Toc101338341"/>
      <w:bookmarkStart w:id="314" w:name="_Toc532292590"/>
      <w:bookmarkStart w:id="315" w:name="_Toc101250623"/>
      <w:bookmarkStart w:id="316" w:name="_Toc532292508"/>
      <w:bookmarkStart w:id="317" w:name="_Toc531764908"/>
      <w:bookmarkStart w:id="318" w:name="_Toc531661836"/>
      <w:bookmarkStart w:id="319" w:name="_Toc532877839"/>
      <w:bookmarkStart w:id="320" w:name="_Toc531666017"/>
      <w:bookmarkStart w:id="321" w:name="_Toc534008370"/>
      <w:bookmarkStart w:id="322" w:name="_Toc430773915"/>
      <w:bookmarkStart w:id="323" w:name="_Toc532292788"/>
      <w:r>
        <w:rPr>
          <w:rFonts w:hint="eastAsia"/>
          <w:color w:val="auto"/>
        </w:rPr>
        <w:t>6．响应文件的印制与签署</w:t>
      </w:r>
      <w:bookmarkEnd w:id="312"/>
      <w:bookmarkEnd w:id="313"/>
      <w:bookmarkEnd w:id="314"/>
      <w:bookmarkEnd w:id="315"/>
      <w:bookmarkEnd w:id="316"/>
      <w:bookmarkEnd w:id="317"/>
      <w:bookmarkEnd w:id="318"/>
      <w:bookmarkEnd w:id="319"/>
      <w:bookmarkEnd w:id="320"/>
      <w:bookmarkEnd w:id="321"/>
      <w:bookmarkEnd w:id="322"/>
      <w:bookmarkEnd w:id="323"/>
    </w:p>
    <w:p>
      <w:pPr>
        <w:tabs>
          <w:tab w:val="left" w:pos="1080"/>
        </w:tabs>
        <w:spacing w:line="360" w:lineRule="auto"/>
        <w:ind w:firstLine="460" w:firstLineChars="192"/>
        <w:rPr>
          <w:rFonts w:hAnsi="宋体"/>
          <w:color w:val="auto"/>
          <w:sz w:val="24"/>
          <w:szCs w:val="24"/>
        </w:rPr>
      </w:pPr>
      <w:bookmarkStart w:id="324" w:name="_Toc532877841"/>
      <w:bookmarkStart w:id="325" w:name="_Toc532292790"/>
      <w:bookmarkStart w:id="326" w:name="_Toc101250626"/>
      <w:bookmarkStart w:id="327" w:name="_Toc531764910"/>
      <w:bookmarkStart w:id="328" w:name="_Toc534008372"/>
      <w:bookmarkStart w:id="329" w:name="_Toc532292510"/>
      <w:bookmarkStart w:id="330" w:name="_Toc531661838"/>
      <w:bookmarkStart w:id="331" w:name="_Toc101338344"/>
      <w:bookmarkStart w:id="332" w:name="_Toc531666019"/>
      <w:bookmarkStart w:id="333" w:name="_Toc532292592"/>
      <w:bookmarkStart w:id="334" w:name="_Toc209847057"/>
      <w:r>
        <w:rPr>
          <w:rFonts w:hint="eastAsia" w:hAnsi="宋体"/>
          <w:color w:val="auto"/>
          <w:sz w:val="24"/>
          <w:szCs w:val="24"/>
        </w:rPr>
        <w:t>6</w:t>
      </w:r>
      <w:r>
        <w:rPr>
          <w:rFonts w:hAnsi="宋体"/>
          <w:color w:val="auto"/>
          <w:sz w:val="24"/>
          <w:szCs w:val="24"/>
        </w:rPr>
        <w:t>.</w:t>
      </w:r>
      <w:r>
        <w:rPr>
          <w:rFonts w:hint="eastAsia" w:hAnsi="宋体"/>
          <w:color w:val="auto"/>
          <w:sz w:val="24"/>
          <w:szCs w:val="24"/>
        </w:rPr>
        <w:t>1 供应商应当准备响应文件正本一份、副本二份。响应文件的正本和副本应在其封面右上角清楚地标明“正本”或“副本”字样。若正本和副本有不一致的内容，以正本书面响应文件为准。</w:t>
      </w:r>
    </w:p>
    <w:p>
      <w:pPr>
        <w:tabs>
          <w:tab w:val="left" w:pos="1095"/>
        </w:tabs>
        <w:spacing w:line="360" w:lineRule="auto"/>
        <w:ind w:firstLine="460" w:firstLineChars="192"/>
        <w:rPr>
          <w:rFonts w:hAnsi="宋体"/>
          <w:color w:val="auto"/>
          <w:sz w:val="24"/>
          <w:szCs w:val="24"/>
        </w:rPr>
      </w:pPr>
      <w:r>
        <w:rPr>
          <w:rFonts w:hint="eastAsia" w:hAnsi="宋体"/>
          <w:color w:val="auto"/>
          <w:sz w:val="24"/>
          <w:szCs w:val="24"/>
        </w:rPr>
        <w:t>6.2 响应文件的正本和副本均需打印或用不褪色、不变质的墨水书写，并由供应商的法定代表人或其授权代表在规定签章处签字和盖章。响应文件副本可采用正本的复印件。</w:t>
      </w:r>
    </w:p>
    <w:p>
      <w:pPr>
        <w:tabs>
          <w:tab w:val="left" w:pos="1095"/>
        </w:tabs>
        <w:spacing w:line="360" w:lineRule="auto"/>
        <w:ind w:firstLine="460" w:firstLineChars="192"/>
        <w:rPr>
          <w:rFonts w:hAnsi="宋体"/>
          <w:color w:val="auto"/>
          <w:sz w:val="24"/>
          <w:szCs w:val="24"/>
        </w:rPr>
      </w:pPr>
      <w:r>
        <w:rPr>
          <w:rFonts w:hint="eastAsia" w:hAnsi="宋体"/>
          <w:color w:val="auto"/>
          <w:sz w:val="24"/>
          <w:szCs w:val="24"/>
        </w:rPr>
        <w:t>6.3 响应文件的打印和书写应清楚工整，任何行间插字、涂改或增删，必须由供应商的法定代表人或其授权代表签字或盖个人印鉴。字迹潦草、表达不清或可能导致非唯一理解的响应文件可能视为无效。</w:t>
      </w:r>
    </w:p>
    <w:p>
      <w:pPr>
        <w:tabs>
          <w:tab w:val="left" w:pos="1080"/>
        </w:tabs>
        <w:spacing w:line="360" w:lineRule="auto"/>
        <w:ind w:firstLine="460" w:firstLineChars="192"/>
        <w:rPr>
          <w:rFonts w:hAnsi="宋体"/>
          <w:color w:val="auto"/>
          <w:sz w:val="24"/>
          <w:szCs w:val="24"/>
        </w:rPr>
      </w:pPr>
      <w:r>
        <w:rPr>
          <w:rFonts w:hint="eastAsia" w:hAnsi="宋体"/>
          <w:color w:val="auto"/>
          <w:sz w:val="24"/>
          <w:szCs w:val="24"/>
        </w:rPr>
        <w:t>6.4响应文件正本和副本应当采取胶装方式装订成册，不得散装或者合页装订（实质性要求）。</w:t>
      </w:r>
    </w:p>
    <w:p>
      <w:pPr>
        <w:tabs>
          <w:tab w:val="left" w:pos="1080"/>
        </w:tabs>
        <w:spacing w:line="360" w:lineRule="auto"/>
        <w:ind w:firstLine="460" w:firstLineChars="192"/>
        <w:rPr>
          <w:rFonts w:hAnsi="宋体"/>
          <w:color w:val="auto"/>
          <w:sz w:val="24"/>
          <w:szCs w:val="24"/>
        </w:rPr>
      </w:pPr>
      <w:r>
        <w:rPr>
          <w:rFonts w:hint="eastAsia" w:hAnsi="宋体"/>
          <w:color w:val="auto"/>
          <w:sz w:val="24"/>
          <w:szCs w:val="24"/>
        </w:rPr>
        <w:t>6.5 响应文件应根据谈判文件的要求制作，签署、盖章和内容应完整。</w:t>
      </w:r>
    </w:p>
    <w:p>
      <w:pPr>
        <w:tabs>
          <w:tab w:val="left" w:pos="1080"/>
        </w:tabs>
        <w:spacing w:line="360" w:lineRule="auto"/>
        <w:ind w:firstLine="460" w:firstLineChars="192"/>
        <w:rPr>
          <w:rFonts w:hAnsi="宋体"/>
          <w:color w:val="auto"/>
          <w:sz w:val="24"/>
          <w:szCs w:val="24"/>
        </w:rPr>
      </w:pPr>
      <w:r>
        <w:rPr>
          <w:rFonts w:hint="eastAsia" w:hAnsi="宋体"/>
          <w:color w:val="auto"/>
          <w:sz w:val="24"/>
          <w:szCs w:val="24"/>
        </w:rPr>
        <w:t>6.6 响应文件统一用</w:t>
      </w:r>
      <w:r>
        <w:rPr>
          <w:rFonts w:hAnsi="宋体"/>
          <w:color w:val="auto"/>
          <w:sz w:val="24"/>
          <w:szCs w:val="24"/>
        </w:rPr>
        <w:t>A4</w:t>
      </w:r>
      <w:r>
        <w:rPr>
          <w:rFonts w:hint="eastAsia" w:hAnsi="宋体"/>
          <w:color w:val="auto"/>
          <w:sz w:val="24"/>
          <w:szCs w:val="24"/>
        </w:rPr>
        <w:t>幅面纸印制（生产厂家的白皮书、宣传资料、彩页资料等除外）。</w:t>
      </w:r>
    </w:p>
    <w:p>
      <w:pPr>
        <w:pStyle w:val="5"/>
        <w:spacing w:before="0" w:after="0"/>
        <w:ind w:firstLine="482"/>
        <w:rPr>
          <w:color w:val="auto"/>
        </w:rPr>
      </w:pPr>
      <w:bookmarkStart w:id="335" w:name="_Toc430773916"/>
      <w:r>
        <w:rPr>
          <w:rFonts w:hint="eastAsia"/>
          <w:color w:val="auto"/>
        </w:rPr>
        <w:t>7．响应文件的</w:t>
      </w:r>
      <w:bookmarkEnd w:id="324"/>
      <w:bookmarkEnd w:id="325"/>
      <w:bookmarkEnd w:id="326"/>
      <w:bookmarkEnd w:id="327"/>
      <w:bookmarkEnd w:id="328"/>
      <w:bookmarkEnd w:id="329"/>
      <w:bookmarkEnd w:id="330"/>
      <w:bookmarkEnd w:id="331"/>
      <w:bookmarkEnd w:id="332"/>
      <w:bookmarkEnd w:id="333"/>
      <w:r>
        <w:rPr>
          <w:rFonts w:hint="eastAsia"/>
          <w:color w:val="auto"/>
        </w:rPr>
        <w:t>包装、标记和密封</w:t>
      </w:r>
      <w:bookmarkEnd w:id="334"/>
      <w:bookmarkEnd w:id="335"/>
    </w:p>
    <w:p>
      <w:pPr>
        <w:adjustRightInd w:val="0"/>
        <w:snapToGrid w:val="0"/>
        <w:spacing w:line="360" w:lineRule="auto"/>
        <w:ind w:firstLine="480" w:firstLineChars="200"/>
        <w:rPr>
          <w:rFonts w:hAnsi="宋体"/>
          <w:color w:val="auto"/>
          <w:sz w:val="24"/>
          <w:szCs w:val="24"/>
        </w:rPr>
      </w:pPr>
      <w:r>
        <w:rPr>
          <w:rFonts w:hint="eastAsia" w:hAnsi="宋体"/>
          <w:color w:val="auto"/>
          <w:sz w:val="24"/>
          <w:szCs w:val="24"/>
        </w:rPr>
        <w:t>7</w:t>
      </w:r>
      <w:r>
        <w:rPr>
          <w:rFonts w:hAnsi="宋体"/>
          <w:color w:val="auto"/>
          <w:sz w:val="24"/>
          <w:szCs w:val="24"/>
        </w:rPr>
        <w:t>.</w:t>
      </w:r>
      <w:r>
        <w:rPr>
          <w:rFonts w:hint="eastAsia" w:hAnsi="宋体"/>
          <w:color w:val="auto"/>
          <w:sz w:val="24"/>
          <w:szCs w:val="24"/>
        </w:rPr>
        <w:t>1响应文件“正本”、“副本”可以单独封装，也可以密封于一件包装内。每件密封包装的最外层应标明项目编号、项目名称、供应商名称。</w:t>
      </w:r>
    </w:p>
    <w:p>
      <w:pPr>
        <w:adjustRightInd w:val="0"/>
        <w:snapToGrid w:val="0"/>
        <w:spacing w:line="360" w:lineRule="auto"/>
        <w:ind w:firstLine="480" w:firstLineChars="200"/>
        <w:rPr>
          <w:rFonts w:hAnsi="宋体"/>
          <w:color w:val="auto"/>
          <w:sz w:val="24"/>
          <w:szCs w:val="24"/>
        </w:rPr>
      </w:pPr>
      <w:r>
        <w:rPr>
          <w:rFonts w:hint="eastAsia" w:hAnsi="宋体"/>
          <w:color w:val="auto"/>
          <w:sz w:val="24"/>
          <w:szCs w:val="24"/>
        </w:rPr>
        <w:t>7</w:t>
      </w:r>
      <w:r>
        <w:rPr>
          <w:rFonts w:hAnsi="宋体"/>
          <w:color w:val="auto"/>
          <w:sz w:val="24"/>
          <w:szCs w:val="24"/>
        </w:rPr>
        <w:t>.</w:t>
      </w:r>
      <w:r>
        <w:rPr>
          <w:rFonts w:hint="eastAsia" w:hAnsi="宋体"/>
          <w:color w:val="auto"/>
          <w:sz w:val="24"/>
          <w:szCs w:val="24"/>
        </w:rPr>
        <w:t xml:space="preserve">2密封后的封口上加盖供应商公章，谈判前不得启封。 </w:t>
      </w:r>
    </w:p>
    <w:p>
      <w:pPr>
        <w:adjustRightInd w:val="0"/>
        <w:snapToGrid w:val="0"/>
        <w:spacing w:line="360" w:lineRule="auto"/>
        <w:ind w:firstLine="480" w:firstLineChars="200"/>
        <w:rPr>
          <w:rFonts w:hAnsi="宋体"/>
          <w:color w:val="auto"/>
          <w:sz w:val="24"/>
          <w:szCs w:val="24"/>
        </w:rPr>
      </w:pPr>
      <w:r>
        <w:rPr>
          <w:rFonts w:hint="eastAsia" w:hAnsi="宋体"/>
          <w:color w:val="auto"/>
          <w:sz w:val="24"/>
          <w:szCs w:val="24"/>
        </w:rPr>
        <w:t>7</w:t>
      </w:r>
      <w:r>
        <w:rPr>
          <w:rFonts w:hAnsi="宋体"/>
          <w:color w:val="auto"/>
          <w:sz w:val="24"/>
          <w:szCs w:val="24"/>
        </w:rPr>
        <w:t>.</w:t>
      </w:r>
      <w:r>
        <w:rPr>
          <w:rFonts w:hint="eastAsia" w:hAnsi="宋体"/>
          <w:color w:val="auto"/>
          <w:sz w:val="24"/>
          <w:szCs w:val="24"/>
        </w:rPr>
        <w:t>3每一密封信封上注明“</w:t>
      </w:r>
      <w:r>
        <w:rPr>
          <w:rFonts w:hint="eastAsia" w:hAnsi="宋体"/>
          <w:b/>
          <w:bCs/>
          <w:color w:val="auto"/>
          <w:sz w:val="24"/>
          <w:szCs w:val="24"/>
        </w:rPr>
        <w:t>于201</w:t>
      </w:r>
      <w:r>
        <w:rPr>
          <w:rFonts w:hint="eastAsia" w:hAnsi="宋体"/>
          <w:b/>
          <w:bCs/>
          <w:color w:val="auto"/>
          <w:sz w:val="24"/>
          <w:szCs w:val="24"/>
          <w:lang w:val="en-US" w:eastAsia="zh-CN"/>
        </w:rPr>
        <w:t>8</w:t>
      </w:r>
      <w:r>
        <w:rPr>
          <w:rFonts w:hint="eastAsia" w:hAnsi="宋体"/>
          <w:b/>
          <w:bCs/>
          <w:color w:val="auto"/>
          <w:sz w:val="24"/>
          <w:szCs w:val="24"/>
        </w:rPr>
        <w:t>年</w:t>
      </w:r>
      <w:r>
        <w:rPr>
          <w:rFonts w:hint="eastAsia" w:hAnsi="宋体"/>
          <w:b/>
          <w:bCs/>
          <w:color w:val="auto"/>
          <w:sz w:val="24"/>
          <w:szCs w:val="24"/>
          <w:lang w:val="en-US" w:eastAsia="zh-CN"/>
        </w:rPr>
        <w:t>X</w:t>
      </w:r>
      <w:r>
        <w:rPr>
          <w:rFonts w:hint="eastAsia" w:hAnsi="宋体"/>
          <w:b/>
          <w:bCs/>
          <w:color w:val="auto"/>
          <w:sz w:val="24"/>
          <w:szCs w:val="24"/>
        </w:rPr>
        <w:t>月</w:t>
      </w:r>
      <w:r>
        <w:rPr>
          <w:rFonts w:hint="eastAsia" w:hAnsi="宋体"/>
          <w:b/>
          <w:bCs/>
          <w:color w:val="auto"/>
          <w:sz w:val="24"/>
          <w:szCs w:val="24"/>
          <w:lang w:val="en-US" w:eastAsia="zh-CN"/>
        </w:rPr>
        <w:t>X</w:t>
      </w:r>
      <w:r>
        <w:rPr>
          <w:rFonts w:hint="eastAsia" w:hAnsi="宋体"/>
          <w:b/>
          <w:bCs/>
          <w:color w:val="auto"/>
          <w:sz w:val="24"/>
          <w:szCs w:val="24"/>
        </w:rPr>
        <w:t>日1</w:t>
      </w:r>
      <w:r>
        <w:rPr>
          <w:rFonts w:hint="eastAsia" w:hAnsi="宋体"/>
          <w:b/>
          <w:bCs/>
          <w:color w:val="auto"/>
          <w:sz w:val="24"/>
          <w:szCs w:val="24"/>
          <w:lang w:val="en-US" w:eastAsia="zh-CN"/>
        </w:rPr>
        <w:t>4</w:t>
      </w:r>
      <w:r>
        <w:rPr>
          <w:rFonts w:hint="eastAsia" w:hAnsi="宋体"/>
          <w:b/>
          <w:bCs/>
          <w:color w:val="auto"/>
          <w:sz w:val="24"/>
          <w:szCs w:val="24"/>
        </w:rPr>
        <w:t>:30</w:t>
      </w:r>
      <w:r>
        <w:rPr>
          <w:rFonts w:hint="eastAsia" w:hAnsi="宋体"/>
          <w:b/>
          <w:bCs/>
          <w:color w:val="auto"/>
          <w:sz w:val="24"/>
          <w:szCs w:val="24"/>
          <w:highlight w:val="none"/>
        </w:rPr>
        <w:t>（北京时间）（递</w:t>
      </w:r>
      <w:r>
        <w:rPr>
          <w:rFonts w:hint="eastAsia" w:hAnsi="宋体"/>
          <w:b/>
          <w:bCs/>
          <w:color w:val="auto"/>
          <w:sz w:val="24"/>
          <w:szCs w:val="24"/>
        </w:rPr>
        <w:t>交截止时间）之前不准启封</w:t>
      </w:r>
      <w:r>
        <w:rPr>
          <w:rFonts w:hint="eastAsia" w:hAnsi="宋体"/>
          <w:color w:val="auto"/>
          <w:sz w:val="24"/>
          <w:szCs w:val="24"/>
        </w:rPr>
        <w:t>”的字样。</w:t>
      </w:r>
    </w:p>
    <w:p>
      <w:pPr>
        <w:adjustRightInd w:val="0"/>
        <w:snapToGrid w:val="0"/>
        <w:spacing w:line="360" w:lineRule="auto"/>
        <w:ind w:firstLine="480" w:firstLineChars="200"/>
        <w:rPr>
          <w:rFonts w:hAnsi="宋体"/>
          <w:color w:val="auto"/>
          <w:sz w:val="24"/>
          <w:szCs w:val="24"/>
        </w:rPr>
      </w:pPr>
      <w:r>
        <w:rPr>
          <w:rFonts w:hint="eastAsia" w:hAnsi="宋体"/>
          <w:color w:val="auto"/>
          <w:sz w:val="24"/>
          <w:szCs w:val="24"/>
        </w:rPr>
        <w:t>7</w:t>
      </w:r>
      <w:r>
        <w:rPr>
          <w:rFonts w:hAnsi="宋体"/>
          <w:color w:val="auto"/>
          <w:sz w:val="24"/>
          <w:szCs w:val="24"/>
        </w:rPr>
        <w:t>.</w:t>
      </w:r>
      <w:r>
        <w:rPr>
          <w:rFonts w:hint="eastAsia" w:hAnsi="宋体"/>
          <w:color w:val="auto"/>
          <w:sz w:val="24"/>
          <w:szCs w:val="24"/>
        </w:rPr>
        <w:t>4 供应商应将谈判后的最终报价单独封装在信封内，在最终报价时递交谈判小组。</w:t>
      </w:r>
    </w:p>
    <w:p>
      <w:pPr>
        <w:adjustRightInd w:val="0"/>
        <w:snapToGrid w:val="0"/>
        <w:spacing w:line="360" w:lineRule="auto"/>
        <w:ind w:firstLine="480" w:firstLineChars="200"/>
        <w:rPr>
          <w:rFonts w:hAnsi="宋体"/>
          <w:color w:val="auto"/>
          <w:sz w:val="24"/>
          <w:szCs w:val="24"/>
        </w:rPr>
      </w:pPr>
      <w:r>
        <w:rPr>
          <w:rFonts w:hint="eastAsia" w:hAnsi="宋体"/>
          <w:color w:val="auto"/>
          <w:sz w:val="24"/>
          <w:szCs w:val="24"/>
        </w:rPr>
        <w:t>7</w:t>
      </w:r>
      <w:r>
        <w:rPr>
          <w:rFonts w:hAnsi="宋体"/>
          <w:color w:val="auto"/>
          <w:sz w:val="24"/>
          <w:szCs w:val="24"/>
        </w:rPr>
        <w:t>.</w:t>
      </w:r>
      <w:r>
        <w:rPr>
          <w:rFonts w:hint="eastAsia" w:hAnsi="宋体"/>
          <w:color w:val="auto"/>
          <w:sz w:val="24"/>
          <w:szCs w:val="24"/>
        </w:rPr>
        <w:t>5如果未按前款规定密封和标记，采购代理机构对响应文件的误投或提前拆封不负责任。对由此造成提前开封的响应文件，采购代理机构将予以拒绝，并将响应文件退回供应商。</w:t>
      </w:r>
    </w:p>
    <w:p>
      <w:pPr>
        <w:pStyle w:val="5"/>
        <w:spacing w:before="0" w:after="0"/>
        <w:ind w:firstLine="482"/>
        <w:rPr>
          <w:color w:val="auto"/>
        </w:rPr>
      </w:pPr>
      <w:bookmarkStart w:id="336" w:name="_Toc101250627"/>
      <w:bookmarkStart w:id="337" w:name="_Toc101338345"/>
      <w:bookmarkStart w:id="338" w:name="_Toc532292511"/>
      <w:bookmarkStart w:id="339" w:name="_Toc531661839"/>
      <w:bookmarkStart w:id="340" w:name="_Toc531666020"/>
      <w:bookmarkStart w:id="341" w:name="_Toc430773917"/>
      <w:bookmarkStart w:id="342" w:name="_Toc534008373"/>
      <w:bookmarkStart w:id="343" w:name="_Toc209847058"/>
      <w:bookmarkStart w:id="344" w:name="_Toc532292791"/>
      <w:bookmarkStart w:id="345" w:name="_Toc531764911"/>
      <w:bookmarkStart w:id="346" w:name="_Toc532292593"/>
      <w:bookmarkStart w:id="347" w:name="_Toc532877842"/>
      <w:r>
        <w:rPr>
          <w:rFonts w:hint="eastAsia"/>
          <w:color w:val="auto"/>
        </w:rPr>
        <w:t>8．谈判截止时间</w:t>
      </w:r>
      <w:bookmarkEnd w:id="336"/>
      <w:bookmarkEnd w:id="337"/>
      <w:bookmarkEnd w:id="338"/>
      <w:bookmarkEnd w:id="339"/>
      <w:bookmarkEnd w:id="340"/>
      <w:bookmarkEnd w:id="341"/>
      <w:bookmarkEnd w:id="342"/>
      <w:bookmarkEnd w:id="343"/>
      <w:bookmarkEnd w:id="344"/>
      <w:bookmarkEnd w:id="345"/>
      <w:bookmarkEnd w:id="346"/>
      <w:bookmarkEnd w:id="347"/>
      <w:bookmarkStart w:id="348" w:name="_Hlt101255256"/>
      <w:bookmarkEnd w:id="348"/>
    </w:p>
    <w:p>
      <w:pPr>
        <w:adjustRightInd w:val="0"/>
        <w:snapToGrid w:val="0"/>
        <w:spacing w:line="360" w:lineRule="auto"/>
        <w:ind w:firstLine="480" w:firstLineChars="200"/>
        <w:rPr>
          <w:rFonts w:hAnsi="宋体"/>
          <w:color w:val="auto"/>
          <w:sz w:val="24"/>
          <w:szCs w:val="24"/>
        </w:rPr>
      </w:pPr>
      <w:r>
        <w:rPr>
          <w:rFonts w:hint="eastAsia" w:hAnsi="宋体"/>
          <w:color w:val="auto"/>
          <w:sz w:val="24"/>
          <w:szCs w:val="24"/>
        </w:rPr>
        <w:t>8</w:t>
      </w:r>
      <w:r>
        <w:rPr>
          <w:rFonts w:hAnsi="宋体"/>
          <w:color w:val="auto"/>
          <w:sz w:val="24"/>
          <w:szCs w:val="24"/>
        </w:rPr>
        <w:t>.</w:t>
      </w:r>
      <w:r>
        <w:rPr>
          <w:rFonts w:hint="eastAsia" w:hAnsi="宋体"/>
          <w:color w:val="auto"/>
          <w:sz w:val="24"/>
          <w:szCs w:val="24"/>
        </w:rPr>
        <w:t>1</w:t>
      </w:r>
      <w:bookmarkStart w:id="349" w:name="_Hlt101255326"/>
      <w:bookmarkEnd w:id="349"/>
      <w:bookmarkStart w:id="350" w:name="_Hlt101255290"/>
      <w:bookmarkEnd w:id="350"/>
      <w:r>
        <w:rPr>
          <w:rFonts w:hint="eastAsia" w:hAnsi="宋体"/>
          <w:color w:val="auto"/>
          <w:sz w:val="24"/>
          <w:szCs w:val="24"/>
        </w:rPr>
        <w:t>所有响应文件都必须按“竞争性谈判邀请”中规定的递交截止时间之前送达规定地点；</w:t>
      </w:r>
    </w:p>
    <w:p>
      <w:pPr>
        <w:adjustRightInd w:val="0"/>
        <w:snapToGrid w:val="0"/>
        <w:spacing w:line="360" w:lineRule="auto"/>
        <w:ind w:firstLine="480" w:firstLineChars="200"/>
        <w:rPr>
          <w:rFonts w:hAnsi="宋体"/>
          <w:color w:val="auto"/>
          <w:sz w:val="24"/>
          <w:szCs w:val="24"/>
        </w:rPr>
      </w:pPr>
      <w:r>
        <w:rPr>
          <w:rFonts w:hint="eastAsia" w:hAnsi="宋体"/>
          <w:color w:val="auto"/>
          <w:sz w:val="24"/>
          <w:szCs w:val="24"/>
        </w:rPr>
        <w:t>8</w:t>
      </w:r>
      <w:r>
        <w:rPr>
          <w:rFonts w:hAnsi="宋体"/>
          <w:color w:val="auto"/>
          <w:sz w:val="24"/>
          <w:szCs w:val="24"/>
        </w:rPr>
        <w:t>.</w:t>
      </w:r>
      <w:r>
        <w:rPr>
          <w:rFonts w:hint="eastAsia" w:hAnsi="宋体"/>
          <w:color w:val="auto"/>
          <w:sz w:val="24"/>
          <w:szCs w:val="24"/>
        </w:rPr>
        <w:t>2出现“第二部分供应商谈判须知中第7</w:t>
      </w:r>
      <w:r>
        <w:rPr>
          <w:rFonts w:hAnsi="宋体"/>
          <w:color w:val="auto"/>
          <w:sz w:val="24"/>
          <w:szCs w:val="24"/>
        </w:rPr>
        <w:t>.</w:t>
      </w:r>
      <w:r>
        <w:rPr>
          <w:rFonts w:hint="eastAsia" w:hAnsi="宋体"/>
          <w:color w:val="auto"/>
          <w:sz w:val="24"/>
          <w:szCs w:val="24"/>
        </w:rPr>
        <w:t>3款”因谈判文件的修改推迟递交截止日期时，则按采购代理修改通知规定的时间递交；</w:t>
      </w:r>
    </w:p>
    <w:p>
      <w:pPr>
        <w:adjustRightInd w:val="0"/>
        <w:snapToGrid w:val="0"/>
        <w:spacing w:line="360" w:lineRule="auto"/>
        <w:ind w:firstLine="480" w:firstLineChars="200"/>
        <w:rPr>
          <w:rFonts w:hAnsi="宋体"/>
          <w:color w:val="auto"/>
          <w:sz w:val="24"/>
          <w:szCs w:val="24"/>
        </w:rPr>
      </w:pPr>
      <w:r>
        <w:rPr>
          <w:rFonts w:hint="eastAsia" w:hAnsi="宋体"/>
          <w:color w:val="auto"/>
          <w:sz w:val="24"/>
          <w:szCs w:val="24"/>
        </w:rPr>
        <w:t>8</w:t>
      </w:r>
      <w:r>
        <w:rPr>
          <w:rFonts w:hAnsi="宋体"/>
          <w:color w:val="auto"/>
          <w:sz w:val="24"/>
          <w:szCs w:val="24"/>
        </w:rPr>
        <w:t>.</w:t>
      </w:r>
      <w:r>
        <w:rPr>
          <w:rFonts w:hint="eastAsia" w:hAnsi="宋体"/>
          <w:color w:val="auto"/>
          <w:sz w:val="24"/>
          <w:szCs w:val="24"/>
        </w:rPr>
        <w:t>3采购代理将拒绝接收并原封退回在递交截止时间后收到的任何响应文件；</w:t>
      </w:r>
    </w:p>
    <w:p>
      <w:pPr>
        <w:adjustRightInd w:val="0"/>
        <w:snapToGrid w:val="0"/>
        <w:spacing w:line="360" w:lineRule="auto"/>
        <w:ind w:firstLine="480" w:firstLineChars="200"/>
        <w:rPr>
          <w:rFonts w:hAnsi="宋体"/>
          <w:color w:val="auto"/>
          <w:sz w:val="24"/>
          <w:szCs w:val="24"/>
        </w:rPr>
      </w:pPr>
      <w:r>
        <w:rPr>
          <w:rFonts w:hint="eastAsia" w:hAnsi="宋体"/>
          <w:color w:val="auto"/>
          <w:sz w:val="24"/>
          <w:szCs w:val="24"/>
        </w:rPr>
        <w:t>8.4 本次采购不接受邮寄的响应文件；</w:t>
      </w:r>
    </w:p>
    <w:p>
      <w:pPr>
        <w:adjustRightInd w:val="0"/>
        <w:snapToGrid w:val="0"/>
        <w:spacing w:line="360" w:lineRule="auto"/>
        <w:ind w:firstLine="480" w:firstLineChars="200"/>
        <w:rPr>
          <w:rFonts w:hAnsi="宋体"/>
          <w:color w:val="auto"/>
          <w:sz w:val="24"/>
          <w:szCs w:val="24"/>
        </w:rPr>
      </w:pPr>
      <w:r>
        <w:rPr>
          <w:rFonts w:hint="eastAsia" w:hAnsi="宋体"/>
          <w:color w:val="auto"/>
          <w:sz w:val="24"/>
          <w:szCs w:val="24"/>
        </w:rPr>
        <w:t>8.5 递交响应文件的同时一并递交一份加盖鲜章的保证金退换申请表，以便尽快退换供应商的保证金。（仅作为退换保证金使用）</w:t>
      </w:r>
    </w:p>
    <w:p>
      <w:pPr>
        <w:pStyle w:val="5"/>
        <w:spacing w:before="0" w:after="0"/>
        <w:ind w:firstLine="482"/>
        <w:rPr>
          <w:color w:val="auto"/>
        </w:rPr>
      </w:pPr>
      <w:bookmarkStart w:id="351" w:name="_Toc532292595"/>
      <w:bookmarkStart w:id="352" w:name="_Toc532292793"/>
      <w:bookmarkStart w:id="353" w:name="_Toc531764913"/>
      <w:bookmarkStart w:id="354" w:name="_Toc531666022"/>
      <w:bookmarkStart w:id="355" w:name="_Toc532877844"/>
      <w:bookmarkStart w:id="356" w:name="_Toc430773918"/>
      <w:bookmarkStart w:id="357" w:name="_Toc531661841"/>
      <w:bookmarkStart w:id="358" w:name="_Toc534008375"/>
      <w:bookmarkStart w:id="359" w:name="_Toc101250629"/>
      <w:bookmarkStart w:id="360" w:name="_Toc532292513"/>
      <w:bookmarkStart w:id="361" w:name="_Toc101338347"/>
      <w:bookmarkStart w:id="362" w:name="_Toc209847059"/>
      <w:r>
        <w:rPr>
          <w:rFonts w:hint="eastAsia"/>
          <w:color w:val="auto"/>
        </w:rPr>
        <w:t>9．响应文件的修改和撤销</w:t>
      </w:r>
      <w:bookmarkEnd w:id="351"/>
      <w:bookmarkEnd w:id="352"/>
      <w:bookmarkEnd w:id="353"/>
      <w:bookmarkEnd w:id="354"/>
      <w:bookmarkEnd w:id="355"/>
      <w:bookmarkEnd w:id="356"/>
      <w:bookmarkEnd w:id="357"/>
      <w:bookmarkEnd w:id="358"/>
      <w:bookmarkEnd w:id="359"/>
      <w:bookmarkEnd w:id="360"/>
      <w:bookmarkEnd w:id="361"/>
      <w:bookmarkEnd w:id="362"/>
    </w:p>
    <w:p>
      <w:pPr>
        <w:adjustRightInd w:val="0"/>
        <w:snapToGrid w:val="0"/>
        <w:spacing w:line="360" w:lineRule="auto"/>
        <w:ind w:firstLine="480" w:firstLineChars="200"/>
        <w:rPr>
          <w:rFonts w:hAnsi="宋体"/>
          <w:color w:val="auto"/>
          <w:sz w:val="24"/>
          <w:szCs w:val="24"/>
        </w:rPr>
      </w:pPr>
      <w:r>
        <w:rPr>
          <w:rFonts w:hint="eastAsia" w:hAnsi="宋体"/>
          <w:color w:val="auto"/>
          <w:sz w:val="24"/>
          <w:szCs w:val="24"/>
        </w:rPr>
        <w:t>9</w:t>
      </w:r>
      <w:r>
        <w:rPr>
          <w:rFonts w:hAnsi="宋体"/>
          <w:color w:val="auto"/>
          <w:sz w:val="24"/>
          <w:szCs w:val="24"/>
        </w:rPr>
        <w:t>.</w:t>
      </w:r>
      <w:r>
        <w:rPr>
          <w:rFonts w:hint="eastAsia" w:hAnsi="宋体"/>
          <w:color w:val="auto"/>
          <w:sz w:val="24"/>
          <w:szCs w:val="24"/>
        </w:rPr>
        <w:t>1供应商在提交响应文件截止时间前，可以对所提交的响应文件进行补充、修改或者撤回，并书面通知采购人、采购代理机构。补充、修改的内容作为响应文件的组成部分。补充、修改的内容与响应文件不一致的，以补充、修改的内容为准。</w:t>
      </w:r>
    </w:p>
    <w:p>
      <w:pPr>
        <w:adjustRightInd w:val="0"/>
        <w:snapToGrid w:val="0"/>
        <w:spacing w:line="360" w:lineRule="auto"/>
        <w:ind w:firstLine="480" w:firstLineChars="200"/>
        <w:rPr>
          <w:rFonts w:hAnsi="宋体"/>
          <w:color w:val="auto"/>
          <w:sz w:val="24"/>
          <w:szCs w:val="24"/>
        </w:rPr>
      </w:pPr>
      <w:r>
        <w:rPr>
          <w:rFonts w:hint="eastAsia" w:hAnsi="宋体"/>
          <w:color w:val="auto"/>
          <w:sz w:val="24"/>
          <w:szCs w:val="24"/>
        </w:rPr>
        <w:t>9</w:t>
      </w:r>
      <w:r>
        <w:rPr>
          <w:rFonts w:hAnsi="宋体"/>
          <w:color w:val="auto"/>
          <w:sz w:val="24"/>
          <w:szCs w:val="24"/>
        </w:rPr>
        <w:t>.</w:t>
      </w:r>
      <w:r>
        <w:rPr>
          <w:rFonts w:hint="eastAsia" w:hAnsi="宋体"/>
          <w:color w:val="auto"/>
          <w:sz w:val="24"/>
          <w:szCs w:val="24"/>
        </w:rPr>
        <w:t>2供应商对响应文件修改的书面材料或撤销的通知应该按本部分第8条和9条规定进行编写、密封、标注和递送，并注明“修改响应文件”或“撤销谈判”字样。</w:t>
      </w:r>
    </w:p>
    <w:p>
      <w:pPr>
        <w:adjustRightInd w:val="0"/>
        <w:snapToGrid w:val="0"/>
        <w:spacing w:line="360" w:lineRule="auto"/>
        <w:ind w:firstLine="480" w:firstLineChars="200"/>
        <w:rPr>
          <w:rFonts w:hAnsi="宋体"/>
          <w:color w:val="auto"/>
          <w:sz w:val="24"/>
          <w:szCs w:val="24"/>
        </w:rPr>
      </w:pPr>
      <w:r>
        <w:rPr>
          <w:rFonts w:hint="eastAsia" w:hAnsi="宋体"/>
          <w:color w:val="auto"/>
          <w:sz w:val="24"/>
          <w:szCs w:val="24"/>
        </w:rPr>
        <w:t>9</w:t>
      </w:r>
      <w:r>
        <w:rPr>
          <w:rFonts w:hAnsi="宋体"/>
          <w:color w:val="auto"/>
          <w:sz w:val="24"/>
          <w:szCs w:val="24"/>
        </w:rPr>
        <w:t>.</w:t>
      </w:r>
      <w:r>
        <w:rPr>
          <w:rFonts w:hint="eastAsia" w:hAnsi="宋体"/>
          <w:color w:val="auto"/>
          <w:sz w:val="24"/>
          <w:szCs w:val="24"/>
        </w:rPr>
        <w:t>3在递交截止时间之后，供应商不得对其响应文件进行任何修改。</w:t>
      </w:r>
    </w:p>
    <w:p>
      <w:pPr>
        <w:adjustRightInd w:val="0"/>
        <w:snapToGrid w:val="0"/>
        <w:spacing w:line="360" w:lineRule="auto"/>
        <w:ind w:firstLine="480" w:firstLineChars="200"/>
        <w:rPr>
          <w:rFonts w:hAnsi="宋体"/>
          <w:color w:val="auto"/>
          <w:sz w:val="24"/>
          <w:szCs w:val="24"/>
        </w:rPr>
      </w:pPr>
      <w:r>
        <w:rPr>
          <w:rFonts w:hint="eastAsia" w:hAnsi="宋体"/>
          <w:color w:val="auto"/>
          <w:sz w:val="24"/>
          <w:szCs w:val="24"/>
        </w:rPr>
        <w:t>9</w:t>
      </w:r>
      <w:r>
        <w:rPr>
          <w:rFonts w:hAnsi="宋体"/>
          <w:color w:val="auto"/>
          <w:sz w:val="24"/>
          <w:szCs w:val="24"/>
        </w:rPr>
        <w:t>.</w:t>
      </w:r>
      <w:r>
        <w:rPr>
          <w:rFonts w:hint="eastAsia" w:hAnsi="宋体"/>
          <w:color w:val="auto"/>
          <w:sz w:val="24"/>
          <w:szCs w:val="24"/>
        </w:rPr>
        <w:t>4供应商不得在递交截止时间起至响应文件有效期期满前撤销其响应文件。否则其谈判保证金将按“第二部分供应商谈判须知中9.保证金第9.6条”的规定被没收。</w:t>
      </w:r>
    </w:p>
    <w:p>
      <w:pPr>
        <w:spacing w:line="360" w:lineRule="auto"/>
        <w:ind w:firstLine="480"/>
        <w:rPr>
          <w:rFonts w:hAnsi="宋体"/>
          <w:color w:val="auto"/>
          <w:sz w:val="24"/>
          <w:szCs w:val="24"/>
        </w:rPr>
      </w:pPr>
      <w:r>
        <w:rPr>
          <w:rFonts w:hint="eastAsia" w:hAnsi="宋体"/>
          <w:color w:val="auto"/>
          <w:sz w:val="24"/>
          <w:szCs w:val="24"/>
        </w:rPr>
        <w:t>9.5 响应文件中如果出现计算上或累加上的算术错误，可按以下原则进行修改：</w:t>
      </w:r>
    </w:p>
    <w:p>
      <w:pPr>
        <w:spacing w:line="360" w:lineRule="auto"/>
        <w:ind w:firstLine="480"/>
        <w:rPr>
          <w:rFonts w:hAnsi="宋体"/>
          <w:color w:val="auto"/>
          <w:sz w:val="24"/>
          <w:szCs w:val="24"/>
        </w:rPr>
      </w:pPr>
      <w:r>
        <w:rPr>
          <w:rFonts w:hint="eastAsia" w:hAnsi="宋体"/>
          <w:color w:val="auto"/>
          <w:sz w:val="24"/>
          <w:szCs w:val="24"/>
        </w:rPr>
        <w:t>（1）用数字表示的金额和用文字表示的金额不一致，应以文字表示的金额为准。</w:t>
      </w:r>
    </w:p>
    <w:p>
      <w:pPr>
        <w:spacing w:line="360" w:lineRule="auto"/>
        <w:ind w:firstLine="480"/>
        <w:rPr>
          <w:rFonts w:hAnsi="宋体"/>
          <w:color w:val="auto"/>
          <w:sz w:val="24"/>
          <w:szCs w:val="24"/>
        </w:rPr>
      </w:pPr>
      <w:r>
        <w:rPr>
          <w:rFonts w:hint="eastAsia" w:hAnsi="宋体"/>
          <w:color w:val="auto"/>
          <w:sz w:val="24"/>
          <w:szCs w:val="24"/>
        </w:rPr>
        <w:t>（2）单价和数量的乘积与总价不一致时，以单价为准，并修正总价。</w:t>
      </w:r>
    </w:p>
    <w:p>
      <w:pPr>
        <w:spacing w:line="360" w:lineRule="auto"/>
        <w:ind w:firstLine="480"/>
        <w:rPr>
          <w:rFonts w:hAnsi="宋体"/>
          <w:color w:val="auto"/>
          <w:sz w:val="24"/>
          <w:szCs w:val="24"/>
        </w:rPr>
      </w:pPr>
      <w:r>
        <w:rPr>
          <w:rFonts w:hint="eastAsia" w:hAnsi="宋体"/>
          <w:color w:val="auto"/>
          <w:sz w:val="24"/>
          <w:szCs w:val="24"/>
        </w:rPr>
        <w:t>（3）单价金额小数点有明显错误的，以总价为准，修正单价。</w:t>
      </w:r>
    </w:p>
    <w:p>
      <w:pPr>
        <w:spacing w:line="360" w:lineRule="auto"/>
        <w:ind w:firstLine="480"/>
        <w:rPr>
          <w:rFonts w:hAnsi="宋体"/>
          <w:color w:val="auto"/>
          <w:sz w:val="24"/>
          <w:szCs w:val="24"/>
        </w:rPr>
      </w:pPr>
      <w:r>
        <w:rPr>
          <w:rFonts w:hint="eastAsia" w:hAnsi="宋体"/>
          <w:color w:val="auto"/>
          <w:sz w:val="24"/>
          <w:szCs w:val="24"/>
        </w:rPr>
        <w:t>按上述修正错误的方法调整的报价应对供应商具有约束力。如果供应商不接受修正后的价格，其报价将被拒绝。</w:t>
      </w:r>
    </w:p>
    <w:p>
      <w:pPr>
        <w:adjustRightInd w:val="0"/>
        <w:snapToGrid w:val="0"/>
        <w:spacing w:line="360" w:lineRule="auto"/>
        <w:ind w:firstLine="480" w:firstLineChars="200"/>
        <w:rPr>
          <w:rFonts w:hint="eastAsia"/>
          <w:color w:val="auto"/>
          <w:sz w:val="24"/>
          <w:szCs w:val="24"/>
        </w:rPr>
      </w:pPr>
      <w:r>
        <w:rPr>
          <w:rFonts w:hint="eastAsia"/>
          <w:color w:val="auto"/>
          <w:sz w:val="24"/>
          <w:szCs w:val="24"/>
        </w:rPr>
        <w:t>9.6供应商对其提交的响应文件的真实性、合法性承担法律责任。</w:t>
      </w:r>
      <w:bookmarkStart w:id="363" w:name="_Toc209847087"/>
      <w:bookmarkStart w:id="364" w:name="_Toc430773938"/>
      <w:bookmarkStart w:id="365" w:name="_Toc462929213"/>
    </w:p>
    <w:p>
      <w:pPr>
        <w:pStyle w:val="3"/>
        <w:spacing w:before="0" w:after="0" w:line="360" w:lineRule="auto"/>
        <w:rPr>
          <w:rFonts w:hint="eastAsia"/>
          <w:color w:val="auto"/>
        </w:rPr>
      </w:pPr>
      <w:r>
        <w:rPr>
          <w:rFonts w:hint="eastAsia"/>
          <w:color w:val="auto"/>
        </w:rPr>
        <w:br w:type="page"/>
      </w:r>
    </w:p>
    <w:p>
      <w:pPr>
        <w:pStyle w:val="3"/>
        <w:spacing w:before="0" w:after="0" w:line="360" w:lineRule="auto"/>
        <w:rPr>
          <w:color w:val="auto"/>
        </w:rPr>
      </w:pPr>
      <w:bookmarkStart w:id="366" w:name="_Toc15331"/>
      <w:r>
        <w:rPr>
          <w:rFonts w:hint="eastAsia"/>
          <w:color w:val="auto"/>
        </w:rPr>
        <w:t xml:space="preserve">第十一部分 </w:t>
      </w:r>
      <w:bookmarkEnd w:id="363"/>
      <w:bookmarkEnd w:id="364"/>
      <w:r>
        <w:rPr>
          <w:rFonts w:hint="eastAsia"/>
          <w:color w:val="auto"/>
        </w:rPr>
        <w:t>供应商响应文件相关文书格式</w:t>
      </w:r>
      <w:bookmarkEnd w:id="365"/>
      <w:bookmarkEnd w:id="366"/>
    </w:p>
    <w:p>
      <w:pPr>
        <w:widowControl/>
        <w:spacing w:line="360" w:lineRule="auto"/>
        <w:ind w:firstLine="470" w:firstLineChars="196"/>
        <w:outlineLvl w:val="1"/>
        <w:rPr>
          <w:rFonts w:hAnsi="宋体"/>
          <w:color w:val="auto"/>
          <w:sz w:val="24"/>
        </w:rPr>
      </w:pPr>
      <w:r>
        <w:rPr>
          <w:rFonts w:hint="eastAsia" w:hAnsi="宋体"/>
          <w:color w:val="auto"/>
          <w:sz w:val="24"/>
        </w:rPr>
        <w:t>一、本章所制响应文件格式，除格式中明确将该格式作为实质性要求的，一律不具有强制性。</w:t>
      </w:r>
    </w:p>
    <w:p>
      <w:pPr>
        <w:widowControl/>
        <w:spacing w:line="360" w:lineRule="auto"/>
        <w:ind w:firstLine="470" w:firstLineChars="196"/>
        <w:outlineLvl w:val="1"/>
        <w:rPr>
          <w:rFonts w:hAnsi="宋体"/>
          <w:color w:val="auto"/>
          <w:sz w:val="24"/>
        </w:rPr>
      </w:pPr>
      <w:r>
        <w:rPr>
          <w:rFonts w:hint="eastAsia" w:hAnsi="宋体"/>
          <w:color w:val="auto"/>
          <w:sz w:val="24"/>
        </w:rPr>
        <w:t>二、本章所制响应文件格式有关表格中的备注栏，由供应商根据自身谈判情况作解释性说明，不作为必填项。</w:t>
      </w:r>
    </w:p>
    <w:p>
      <w:pPr>
        <w:widowControl/>
        <w:spacing w:line="360" w:lineRule="auto"/>
        <w:ind w:firstLine="470" w:firstLineChars="196"/>
        <w:outlineLvl w:val="1"/>
        <w:rPr>
          <w:rFonts w:hAnsi="宋体"/>
          <w:color w:val="auto"/>
          <w:sz w:val="24"/>
        </w:rPr>
      </w:pPr>
      <w:r>
        <w:rPr>
          <w:rFonts w:hint="eastAsia" w:hAnsi="宋体"/>
          <w:color w:val="auto"/>
          <w:sz w:val="24"/>
        </w:rPr>
        <w:t>三、本章所制响应文件格式中需要填写的相关内容事项，可能会与本采购项目无关，在不改变响应文件原义、不影响本项目采购需求的情况下，供应商可以不予填写，但应当注明。</w:t>
      </w:r>
    </w:p>
    <w:p>
      <w:pPr>
        <w:widowControl/>
        <w:spacing w:line="360" w:lineRule="auto"/>
        <w:jc w:val="left"/>
        <w:rPr>
          <w:color w:val="auto"/>
        </w:rPr>
      </w:pPr>
      <w:r>
        <w:rPr>
          <w:color w:val="auto"/>
        </w:rPr>
        <w:br w:type="page"/>
      </w:r>
    </w:p>
    <w:p>
      <w:pPr>
        <w:spacing w:line="360" w:lineRule="auto"/>
        <w:jc w:val="center"/>
        <w:rPr>
          <w:b/>
          <w:color w:val="auto"/>
          <w:sz w:val="72"/>
        </w:rPr>
      </w:pPr>
      <w:r>
        <w:rPr>
          <w:rFonts w:hAnsi="宋体"/>
          <w:b/>
          <w:color w:val="auto"/>
          <w:sz w:val="72"/>
        </w:rPr>
        <w:t>采购项目</w:t>
      </w:r>
    </w:p>
    <w:p>
      <w:pPr>
        <w:spacing w:line="360" w:lineRule="auto"/>
        <w:jc w:val="center"/>
        <w:rPr>
          <w:b/>
          <w:color w:val="auto"/>
          <w:sz w:val="72"/>
        </w:rPr>
      </w:pPr>
      <w:r>
        <w:rPr>
          <w:rFonts w:hAnsi="宋体"/>
          <w:b/>
          <w:color w:val="auto"/>
          <w:sz w:val="72"/>
        </w:rPr>
        <w:t>响应文件</w:t>
      </w:r>
    </w:p>
    <w:p>
      <w:pPr>
        <w:spacing w:line="360" w:lineRule="auto"/>
        <w:jc w:val="center"/>
        <w:rPr>
          <w:b/>
          <w:color w:val="auto"/>
          <w:sz w:val="44"/>
        </w:rPr>
      </w:pPr>
      <w:r>
        <w:rPr>
          <w:rFonts w:hAnsi="宋体"/>
          <w:b/>
          <w:color w:val="auto"/>
          <w:sz w:val="44"/>
        </w:rPr>
        <w:t>（封面）</w:t>
      </w:r>
    </w:p>
    <w:p>
      <w:pPr>
        <w:spacing w:line="360" w:lineRule="auto"/>
        <w:jc w:val="center"/>
        <w:rPr>
          <w:b/>
          <w:color w:val="auto"/>
          <w:sz w:val="36"/>
        </w:rPr>
      </w:pPr>
    </w:p>
    <w:p>
      <w:pPr>
        <w:spacing w:line="360" w:lineRule="auto"/>
        <w:ind w:firstLine="1970" w:firstLineChars="545"/>
        <w:rPr>
          <w:b/>
          <w:color w:val="auto"/>
          <w:sz w:val="36"/>
          <w:u w:val="single"/>
        </w:rPr>
      </w:pPr>
      <w:r>
        <w:rPr>
          <w:rFonts w:hAnsi="宋体"/>
          <w:b/>
          <w:color w:val="auto"/>
          <w:sz w:val="36"/>
        </w:rPr>
        <w:t>项目名称：</w:t>
      </w:r>
    </w:p>
    <w:p>
      <w:pPr>
        <w:spacing w:line="360" w:lineRule="auto"/>
        <w:ind w:firstLine="1970" w:firstLineChars="545"/>
        <w:rPr>
          <w:b/>
          <w:color w:val="auto"/>
          <w:sz w:val="36"/>
          <w:u w:val="single"/>
        </w:rPr>
      </w:pPr>
      <w:r>
        <w:rPr>
          <w:rFonts w:hint="eastAsia" w:hAnsi="宋体"/>
          <w:b/>
          <w:color w:val="auto"/>
          <w:sz w:val="36"/>
        </w:rPr>
        <w:t>项目编号</w:t>
      </w:r>
      <w:r>
        <w:rPr>
          <w:rFonts w:hAnsi="宋体"/>
          <w:b/>
          <w:color w:val="auto"/>
          <w:sz w:val="36"/>
        </w:rPr>
        <w:t>：</w:t>
      </w:r>
    </w:p>
    <w:p>
      <w:pPr>
        <w:spacing w:line="360" w:lineRule="auto"/>
        <w:jc w:val="center"/>
        <w:rPr>
          <w:b/>
          <w:color w:val="auto"/>
          <w:sz w:val="36"/>
        </w:rPr>
      </w:pPr>
    </w:p>
    <w:p>
      <w:pPr>
        <w:spacing w:line="360" w:lineRule="auto"/>
        <w:jc w:val="center"/>
        <w:rPr>
          <w:b/>
          <w:color w:val="auto"/>
          <w:sz w:val="36"/>
        </w:rPr>
      </w:pPr>
      <w:r>
        <w:rPr>
          <w:rFonts w:hAnsi="宋体"/>
          <w:b/>
          <w:color w:val="auto"/>
          <w:sz w:val="36"/>
        </w:rPr>
        <w:t>（正本</w:t>
      </w:r>
      <w:r>
        <w:rPr>
          <w:b/>
          <w:color w:val="auto"/>
          <w:sz w:val="36"/>
        </w:rPr>
        <w:t>/</w:t>
      </w:r>
      <w:r>
        <w:rPr>
          <w:rFonts w:hAnsi="宋体"/>
          <w:b/>
          <w:color w:val="auto"/>
          <w:sz w:val="36"/>
        </w:rPr>
        <w:t>副本）</w:t>
      </w:r>
    </w:p>
    <w:p>
      <w:pPr>
        <w:spacing w:line="360" w:lineRule="auto"/>
        <w:rPr>
          <w:b/>
          <w:color w:val="auto"/>
          <w:sz w:val="36"/>
        </w:rPr>
      </w:pPr>
    </w:p>
    <w:p>
      <w:pPr>
        <w:spacing w:line="360" w:lineRule="auto"/>
        <w:rPr>
          <w:b/>
          <w:color w:val="auto"/>
          <w:sz w:val="32"/>
          <w:u w:val="single"/>
        </w:rPr>
      </w:pPr>
      <w:r>
        <w:rPr>
          <w:rFonts w:hAnsi="宋体"/>
          <w:b/>
          <w:color w:val="auto"/>
          <w:sz w:val="32"/>
        </w:rPr>
        <w:t>供应商名称：</w:t>
      </w:r>
    </w:p>
    <w:p>
      <w:pPr>
        <w:spacing w:line="360" w:lineRule="auto"/>
        <w:rPr>
          <w:b/>
          <w:color w:val="auto"/>
          <w:sz w:val="32"/>
          <w:u w:val="single"/>
        </w:rPr>
      </w:pPr>
      <w:r>
        <w:rPr>
          <w:rFonts w:hAnsi="宋体"/>
          <w:b/>
          <w:color w:val="auto"/>
          <w:sz w:val="32"/>
        </w:rPr>
        <w:t>法定代表人姓名：</w:t>
      </w:r>
    </w:p>
    <w:p>
      <w:pPr>
        <w:spacing w:line="360" w:lineRule="auto"/>
        <w:rPr>
          <w:b/>
          <w:color w:val="auto"/>
          <w:sz w:val="32"/>
          <w:u w:val="single"/>
        </w:rPr>
      </w:pPr>
      <w:r>
        <w:rPr>
          <w:rFonts w:hAnsi="宋体"/>
          <w:b/>
          <w:color w:val="auto"/>
          <w:sz w:val="32"/>
        </w:rPr>
        <w:t>地址：</w:t>
      </w:r>
    </w:p>
    <w:p>
      <w:pPr>
        <w:spacing w:line="360" w:lineRule="auto"/>
        <w:rPr>
          <w:b/>
          <w:color w:val="auto"/>
          <w:sz w:val="32"/>
          <w:u w:val="single"/>
        </w:rPr>
      </w:pPr>
      <w:r>
        <w:rPr>
          <w:rFonts w:hAnsi="宋体"/>
          <w:b/>
          <w:color w:val="auto"/>
          <w:sz w:val="32"/>
        </w:rPr>
        <w:t>电话：</w:t>
      </w:r>
    </w:p>
    <w:p>
      <w:pPr>
        <w:spacing w:line="360" w:lineRule="auto"/>
        <w:rPr>
          <w:b/>
          <w:color w:val="auto"/>
          <w:sz w:val="32"/>
          <w:u w:val="single"/>
        </w:rPr>
      </w:pPr>
      <w:r>
        <w:rPr>
          <w:rFonts w:hint="eastAsia" w:hAnsi="宋体"/>
          <w:b/>
          <w:color w:val="auto"/>
          <w:sz w:val="32"/>
        </w:rPr>
        <w:t>授权代表</w:t>
      </w:r>
      <w:r>
        <w:rPr>
          <w:rFonts w:hAnsi="宋体"/>
          <w:b/>
          <w:color w:val="auto"/>
          <w:sz w:val="32"/>
        </w:rPr>
        <w:t>（印刷体）：签字：</w:t>
      </w:r>
    </w:p>
    <w:p>
      <w:pPr>
        <w:spacing w:line="360" w:lineRule="auto"/>
        <w:rPr>
          <w:b/>
          <w:color w:val="auto"/>
          <w:sz w:val="32"/>
        </w:rPr>
      </w:pPr>
      <w:r>
        <w:rPr>
          <w:rFonts w:hAnsi="宋体"/>
          <w:b/>
          <w:color w:val="auto"/>
          <w:sz w:val="32"/>
        </w:rPr>
        <w:t>手机：</w:t>
      </w:r>
    </w:p>
    <w:p>
      <w:pPr>
        <w:spacing w:line="360" w:lineRule="auto"/>
        <w:rPr>
          <w:rFonts w:hAnsi="宋体"/>
          <w:b/>
          <w:color w:val="auto"/>
          <w:sz w:val="32"/>
        </w:rPr>
      </w:pPr>
      <w:r>
        <w:rPr>
          <w:rFonts w:hAnsi="宋体"/>
          <w:b/>
          <w:color w:val="auto"/>
          <w:sz w:val="32"/>
        </w:rPr>
        <w:t>日期：</w:t>
      </w:r>
      <w:r>
        <w:rPr>
          <w:rFonts w:hint="eastAsia" w:hAnsi="宋体"/>
          <w:b/>
          <w:color w:val="auto"/>
          <w:sz w:val="32"/>
          <w:lang w:val="en-US" w:eastAsia="zh-CN"/>
        </w:rPr>
        <w:t xml:space="preserve">  </w:t>
      </w:r>
      <w:r>
        <w:rPr>
          <w:rFonts w:hAnsi="宋体"/>
          <w:b/>
          <w:color w:val="auto"/>
          <w:sz w:val="32"/>
        </w:rPr>
        <w:t>年</w:t>
      </w:r>
      <w:r>
        <w:rPr>
          <w:rFonts w:hint="eastAsia" w:hAnsi="宋体"/>
          <w:b/>
          <w:color w:val="auto"/>
          <w:sz w:val="32"/>
          <w:lang w:val="en-US" w:eastAsia="zh-CN"/>
        </w:rPr>
        <w:t xml:space="preserve">  </w:t>
      </w:r>
      <w:r>
        <w:rPr>
          <w:rFonts w:hAnsi="宋体"/>
          <w:b/>
          <w:color w:val="auto"/>
          <w:sz w:val="32"/>
        </w:rPr>
        <w:t>月</w:t>
      </w:r>
      <w:r>
        <w:rPr>
          <w:rFonts w:hint="eastAsia" w:hAnsi="宋体"/>
          <w:b/>
          <w:color w:val="auto"/>
          <w:sz w:val="32"/>
          <w:lang w:val="en-US" w:eastAsia="zh-CN"/>
        </w:rPr>
        <w:t xml:space="preserve">  </w:t>
      </w:r>
      <w:r>
        <w:rPr>
          <w:rFonts w:hAnsi="宋体"/>
          <w:b/>
          <w:color w:val="auto"/>
          <w:sz w:val="32"/>
        </w:rPr>
        <w:t>日</w:t>
      </w:r>
    </w:p>
    <w:p>
      <w:pPr>
        <w:spacing w:line="360" w:lineRule="auto"/>
        <w:rPr>
          <w:b/>
          <w:color w:val="auto"/>
        </w:rPr>
      </w:pPr>
      <w:r>
        <w:rPr>
          <w:rFonts w:hint="eastAsia" w:hAnsi="宋体"/>
          <w:b/>
          <w:color w:val="auto"/>
        </w:rPr>
        <w:t>（</w:t>
      </w:r>
      <w:r>
        <w:rPr>
          <w:rFonts w:hAnsi="宋体"/>
          <w:b/>
          <w:color w:val="auto"/>
        </w:rPr>
        <w:t>响应文件分资格性响应文件和</w:t>
      </w:r>
      <w:r>
        <w:rPr>
          <w:rFonts w:hint="eastAsia" w:hAnsi="宋体"/>
          <w:b/>
          <w:color w:val="auto"/>
        </w:rPr>
        <w:t>其他</w:t>
      </w:r>
      <w:r>
        <w:rPr>
          <w:rFonts w:hAnsi="宋体"/>
          <w:b/>
          <w:color w:val="auto"/>
        </w:rPr>
        <w:t>响应文件两部分，应分册装订密封</w:t>
      </w:r>
      <w:r>
        <w:rPr>
          <w:rFonts w:hint="eastAsia" w:hAnsi="宋体"/>
          <w:b/>
          <w:color w:val="auto"/>
        </w:rPr>
        <w:t>）</w:t>
      </w:r>
    </w:p>
    <w:p>
      <w:pPr>
        <w:widowControl/>
        <w:jc w:val="left"/>
        <w:rPr>
          <w:rFonts w:hAnsi="宋体"/>
          <w:b/>
          <w:color w:val="auto"/>
          <w:sz w:val="32"/>
        </w:rPr>
      </w:pPr>
      <w:r>
        <w:rPr>
          <w:rFonts w:hAnsi="宋体"/>
          <w:b/>
          <w:color w:val="auto"/>
          <w:sz w:val="32"/>
        </w:rPr>
        <w:br w:type="page"/>
      </w:r>
    </w:p>
    <w:p>
      <w:pPr>
        <w:tabs>
          <w:tab w:val="left" w:pos="900"/>
        </w:tabs>
        <w:spacing w:line="360" w:lineRule="auto"/>
        <w:jc w:val="center"/>
        <w:rPr>
          <w:b/>
          <w:color w:val="auto"/>
          <w:sz w:val="32"/>
        </w:rPr>
      </w:pPr>
      <w:r>
        <w:rPr>
          <w:rFonts w:hAnsi="宋体"/>
          <w:b/>
          <w:color w:val="auto"/>
          <w:sz w:val="32"/>
        </w:rPr>
        <w:t>第一部分</w:t>
      </w:r>
      <w:r>
        <w:rPr>
          <w:rFonts w:hint="eastAsia" w:hAnsi="宋体"/>
          <w:b/>
          <w:color w:val="auto"/>
          <w:sz w:val="32"/>
        </w:rPr>
        <w:t xml:space="preserve">  </w:t>
      </w:r>
      <w:r>
        <w:rPr>
          <w:rFonts w:hAnsi="宋体"/>
          <w:b/>
          <w:color w:val="auto"/>
          <w:sz w:val="32"/>
        </w:rPr>
        <w:t>资格性响应文件（格式）</w:t>
      </w:r>
    </w:p>
    <w:p>
      <w:pPr>
        <w:spacing w:line="360" w:lineRule="auto"/>
        <w:jc w:val="center"/>
        <w:rPr>
          <w:color w:val="auto"/>
        </w:rPr>
      </w:pPr>
      <w:r>
        <w:rPr>
          <w:rFonts w:hAnsi="宋体"/>
          <w:b/>
          <w:color w:val="auto"/>
        </w:rPr>
        <w:t>一、供应商的资格证明文件</w:t>
      </w:r>
    </w:p>
    <w:p>
      <w:pPr>
        <w:spacing w:line="360" w:lineRule="auto"/>
        <w:rPr>
          <w:b/>
          <w:color w:val="auto"/>
        </w:rPr>
      </w:pPr>
      <w:r>
        <w:rPr>
          <w:rFonts w:hAnsi="宋体"/>
          <w:b/>
          <w:color w:val="auto"/>
        </w:rPr>
        <w:t>附件</w:t>
      </w:r>
      <w:r>
        <w:rPr>
          <w:b/>
          <w:color w:val="auto"/>
        </w:rPr>
        <w:t>1</w:t>
      </w:r>
      <w:r>
        <w:rPr>
          <w:rFonts w:hAnsi="宋体"/>
          <w:b/>
          <w:color w:val="auto"/>
        </w:rPr>
        <w:t>－</w:t>
      </w:r>
      <w:r>
        <w:rPr>
          <w:b/>
          <w:color w:val="auto"/>
        </w:rPr>
        <w:t>1</w:t>
      </w:r>
    </w:p>
    <w:p>
      <w:pPr>
        <w:spacing w:line="360" w:lineRule="auto"/>
        <w:jc w:val="center"/>
        <w:rPr>
          <w:color w:val="auto"/>
        </w:rPr>
      </w:pPr>
      <w:r>
        <w:rPr>
          <w:rFonts w:hAnsi="宋体"/>
          <w:b/>
          <w:color w:val="auto"/>
        </w:rPr>
        <w:t>关于资格的声明函</w:t>
      </w:r>
    </w:p>
    <w:p>
      <w:pPr>
        <w:spacing w:line="360" w:lineRule="auto"/>
        <w:jc w:val="center"/>
        <w:rPr>
          <w:color w:val="auto"/>
        </w:rPr>
      </w:pPr>
    </w:p>
    <w:p>
      <w:pPr>
        <w:spacing w:line="360" w:lineRule="auto"/>
        <w:ind w:firstLine="480" w:firstLineChars="200"/>
        <w:jc w:val="left"/>
        <w:rPr>
          <w:rFonts w:hAnsi="宋体"/>
          <w:color w:val="auto"/>
          <w:sz w:val="24"/>
        </w:rPr>
      </w:pPr>
      <w:r>
        <w:rPr>
          <w:rFonts w:hint="eastAsia" w:hAnsi="宋体"/>
          <w:color w:val="auto"/>
          <w:sz w:val="24"/>
        </w:rPr>
        <w:t>致：</w:t>
      </w:r>
      <w:r>
        <w:rPr>
          <w:rFonts w:hint="eastAsia" w:hAnsi="宋体"/>
          <w:color w:val="auto"/>
          <w:sz w:val="24"/>
          <w:u w:val="single"/>
          <w:lang w:eastAsia="zh-CN"/>
        </w:rPr>
        <w:t>四川利阳招投标代理有限公司</w:t>
      </w:r>
      <w:r>
        <w:rPr>
          <w:rFonts w:hint="eastAsia" w:hAnsi="宋体"/>
          <w:color w:val="auto"/>
          <w:sz w:val="24"/>
          <w:u w:val="single"/>
        </w:rPr>
        <w:t>（采购代理机构）</w:t>
      </w:r>
    </w:p>
    <w:p>
      <w:pPr>
        <w:spacing w:line="360" w:lineRule="auto"/>
        <w:ind w:firstLine="480" w:firstLineChars="200"/>
        <w:jc w:val="left"/>
        <w:rPr>
          <w:rFonts w:hAnsi="宋体"/>
          <w:color w:val="auto"/>
          <w:sz w:val="24"/>
        </w:rPr>
      </w:pPr>
      <w:r>
        <w:rPr>
          <w:rFonts w:hint="eastAsia" w:hAnsi="宋体"/>
          <w:color w:val="auto"/>
          <w:sz w:val="24"/>
        </w:rPr>
        <w:t>关于贵方</w:t>
      </w:r>
      <w:r>
        <w:rPr>
          <w:rFonts w:hint="eastAsia" w:hAnsi="宋体"/>
          <w:color w:val="auto"/>
          <w:sz w:val="24"/>
          <w:u w:val="single"/>
        </w:rPr>
        <w:t xml:space="preserve"> </w:t>
      </w:r>
      <w:r>
        <w:rPr>
          <w:rFonts w:hAnsi="宋体"/>
          <w:color w:val="auto"/>
          <w:sz w:val="24"/>
          <w:u w:val="single"/>
        </w:rPr>
        <w:t xml:space="preserve"> </w:t>
      </w:r>
      <w:r>
        <w:rPr>
          <w:rFonts w:hint="eastAsia" w:hAnsi="宋体"/>
          <w:color w:val="auto"/>
          <w:sz w:val="24"/>
          <w:u w:val="single"/>
          <w:lang w:val="en-US" w:eastAsia="zh-CN"/>
        </w:rPr>
        <w:t xml:space="preserve">    </w:t>
      </w:r>
      <w:r>
        <w:rPr>
          <w:rFonts w:hint="eastAsia" w:hAnsi="宋体"/>
          <w:color w:val="auto"/>
          <w:sz w:val="24"/>
          <w:u w:val="single"/>
        </w:rPr>
        <w:t xml:space="preserve"> </w:t>
      </w:r>
      <w:r>
        <w:rPr>
          <w:rFonts w:hint="eastAsia" w:hAnsi="宋体"/>
          <w:color w:val="auto"/>
          <w:sz w:val="24"/>
        </w:rPr>
        <w:t>年</w:t>
      </w:r>
      <w:r>
        <w:rPr>
          <w:rFonts w:hint="eastAsia" w:hAnsi="宋体"/>
          <w:color w:val="auto"/>
          <w:sz w:val="24"/>
          <w:u w:val="single"/>
          <w:lang w:val="en-US" w:eastAsia="zh-CN"/>
        </w:rPr>
        <w:t xml:space="preserve">   </w:t>
      </w:r>
      <w:r>
        <w:rPr>
          <w:rFonts w:hAnsi="宋体"/>
          <w:color w:val="auto"/>
          <w:sz w:val="24"/>
          <w:u w:val="single"/>
        </w:rPr>
        <w:t xml:space="preserve"> </w:t>
      </w:r>
      <w:r>
        <w:rPr>
          <w:rFonts w:hint="eastAsia" w:hAnsi="宋体"/>
          <w:color w:val="auto"/>
          <w:sz w:val="24"/>
        </w:rPr>
        <w:t>月</w:t>
      </w:r>
      <w:r>
        <w:rPr>
          <w:rFonts w:hint="eastAsia" w:hAnsi="宋体"/>
          <w:color w:val="auto"/>
          <w:sz w:val="24"/>
          <w:u w:val="single"/>
        </w:rPr>
        <w:t xml:space="preserve">  </w:t>
      </w:r>
      <w:r>
        <w:rPr>
          <w:rFonts w:hint="eastAsia" w:hAnsi="宋体"/>
          <w:color w:val="auto"/>
          <w:sz w:val="24"/>
          <w:u w:val="single"/>
          <w:lang w:val="en-US" w:eastAsia="zh-CN"/>
        </w:rPr>
        <w:t xml:space="preserve"> </w:t>
      </w:r>
      <w:r>
        <w:rPr>
          <w:rFonts w:hAnsi="宋体"/>
          <w:color w:val="auto"/>
          <w:sz w:val="24"/>
          <w:u w:val="single"/>
        </w:rPr>
        <w:t xml:space="preserve"> </w:t>
      </w:r>
      <w:r>
        <w:rPr>
          <w:rFonts w:hint="eastAsia" w:hAnsi="宋体"/>
          <w:color w:val="auto"/>
          <w:sz w:val="24"/>
        </w:rPr>
        <w:t>日第</w:t>
      </w:r>
      <w:r>
        <w:rPr>
          <w:rFonts w:hint="eastAsia" w:hAnsi="宋体"/>
          <w:color w:val="auto"/>
          <w:sz w:val="24"/>
          <w:u w:val="single"/>
        </w:rPr>
        <w:t xml:space="preserve">      </w:t>
      </w:r>
      <w:r>
        <w:rPr>
          <w:rFonts w:hint="eastAsia" w:hAnsi="宋体"/>
          <w:color w:val="auto"/>
          <w:sz w:val="24"/>
          <w:u w:val="single"/>
          <w:lang w:val="en-US" w:eastAsia="zh-CN"/>
        </w:rPr>
        <w:t xml:space="preserve">    </w:t>
      </w:r>
      <w:r>
        <w:rPr>
          <w:rFonts w:hint="eastAsia" w:hAnsi="宋体"/>
          <w:color w:val="auto"/>
          <w:sz w:val="24"/>
          <w:u w:val="single"/>
        </w:rPr>
        <w:t xml:space="preserve">   </w:t>
      </w:r>
      <w:r>
        <w:rPr>
          <w:rFonts w:hint="eastAsia" w:hAnsi="宋体"/>
          <w:color w:val="auto"/>
          <w:sz w:val="24"/>
        </w:rPr>
        <w:t>（项目编号）谈判邀请，本</w:t>
      </w:r>
      <w:r>
        <w:rPr>
          <w:rFonts w:hint="eastAsia" w:hAnsi="宋体"/>
          <w:color w:val="auto"/>
          <w:sz w:val="24"/>
          <w:lang w:eastAsia="zh-CN"/>
        </w:rPr>
        <w:t>人</w:t>
      </w:r>
      <w:r>
        <w:rPr>
          <w:rFonts w:hint="eastAsia" w:hAnsi="宋体"/>
          <w:color w:val="auto"/>
          <w:sz w:val="24"/>
        </w:rPr>
        <w:t>（签字人）愿意参加谈判，提供谈判文件“采购项目及要求”中规定的 （项目名称）货物/服务，本</w:t>
      </w:r>
      <w:r>
        <w:rPr>
          <w:rFonts w:hint="eastAsia" w:hAnsi="宋体"/>
          <w:color w:val="auto"/>
          <w:sz w:val="24"/>
          <w:lang w:eastAsia="zh-CN"/>
        </w:rPr>
        <w:t>人</w:t>
      </w:r>
      <w:r>
        <w:rPr>
          <w:rFonts w:hint="eastAsia" w:hAnsi="宋体"/>
          <w:color w:val="auto"/>
          <w:sz w:val="24"/>
        </w:rPr>
        <w:t>（签字人）确认资格文件中的说明以及响应文件中所有提交的文件和材料是真实的、准确的。</w:t>
      </w:r>
    </w:p>
    <w:p>
      <w:pPr>
        <w:spacing w:line="360" w:lineRule="auto"/>
        <w:ind w:firstLine="480" w:firstLineChars="200"/>
        <w:jc w:val="left"/>
        <w:rPr>
          <w:rFonts w:hAnsi="宋体"/>
          <w:color w:val="auto"/>
          <w:sz w:val="24"/>
        </w:rPr>
      </w:pPr>
    </w:p>
    <w:p>
      <w:pPr>
        <w:spacing w:line="360" w:lineRule="auto"/>
        <w:ind w:firstLine="480" w:firstLineChars="200"/>
        <w:jc w:val="left"/>
        <w:rPr>
          <w:rFonts w:hAnsi="宋体"/>
          <w:color w:val="auto"/>
          <w:sz w:val="24"/>
        </w:rPr>
      </w:pPr>
    </w:p>
    <w:p>
      <w:pPr>
        <w:spacing w:line="360" w:lineRule="auto"/>
        <w:ind w:firstLine="480" w:firstLineChars="200"/>
        <w:jc w:val="left"/>
        <w:rPr>
          <w:rFonts w:hAnsi="宋体"/>
          <w:color w:val="auto"/>
          <w:sz w:val="24"/>
          <w:u w:val="single"/>
        </w:rPr>
      </w:pPr>
      <w:r>
        <w:rPr>
          <w:rFonts w:hint="eastAsia" w:hAnsi="宋体"/>
          <w:color w:val="auto"/>
          <w:sz w:val="24"/>
        </w:rPr>
        <w:t>供应商名称：</w:t>
      </w:r>
      <w:r>
        <w:rPr>
          <w:rFonts w:hint="eastAsia"/>
          <w:color w:val="auto"/>
          <w:sz w:val="24"/>
        </w:rPr>
        <w:t>（盖单位公章）</w:t>
      </w:r>
    </w:p>
    <w:p>
      <w:pPr>
        <w:spacing w:line="360" w:lineRule="auto"/>
        <w:ind w:firstLine="480" w:firstLineChars="200"/>
        <w:jc w:val="left"/>
        <w:rPr>
          <w:rFonts w:hAnsi="宋体"/>
          <w:color w:val="auto"/>
          <w:sz w:val="24"/>
        </w:rPr>
      </w:pPr>
      <w:r>
        <w:rPr>
          <w:rFonts w:hint="eastAsia" w:hAnsi="宋体"/>
          <w:color w:val="auto"/>
          <w:sz w:val="24"/>
        </w:rPr>
        <w:t>法定代表人或授权代表（签字）：</w:t>
      </w:r>
    </w:p>
    <w:p>
      <w:pPr>
        <w:spacing w:line="360" w:lineRule="auto"/>
        <w:ind w:firstLine="480" w:firstLineChars="200"/>
        <w:jc w:val="left"/>
        <w:rPr>
          <w:rFonts w:hAnsi="宋体"/>
          <w:color w:val="auto"/>
        </w:rPr>
      </w:pPr>
      <w:r>
        <w:rPr>
          <w:rFonts w:hint="eastAsia" w:hAnsi="宋体"/>
          <w:color w:val="auto"/>
          <w:sz w:val="24"/>
        </w:rPr>
        <w:t>日期：</w:t>
      </w:r>
    </w:p>
    <w:p>
      <w:pPr>
        <w:spacing w:line="360" w:lineRule="auto"/>
        <w:rPr>
          <w:b/>
          <w:color w:val="auto"/>
        </w:rPr>
      </w:pPr>
      <w:r>
        <w:rPr>
          <w:b/>
          <w:color w:val="auto"/>
        </w:rPr>
        <w:br w:type="page"/>
      </w:r>
      <w:r>
        <w:rPr>
          <w:rFonts w:hAnsi="宋体"/>
          <w:b/>
          <w:color w:val="auto"/>
        </w:rPr>
        <w:t>附件</w:t>
      </w:r>
      <w:r>
        <w:rPr>
          <w:b/>
          <w:color w:val="auto"/>
        </w:rPr>
        <w:t>1</w:t>
      </w:r>
      <w:r>
        <w:rPr>
          <w:rFonts w:hAnsi="宋体"/>
          <w:b/>
          <w:color w:val="auto"/>
        </w:rPr>
        <w:t>－</w:t>
      </w:r>
      <w:r>
        <w:rPr>
          <w:b/>
          <w:color w:val="auto"/>
        </w:rPr>
        <w:t>2</w:t>
      </w:r>
    </w:p>
    <w:p>
      <w:pPr>
        <w:spacing w:line="360" w:lineRule="auto"/>
        <w:jc w:val="center"/>
        <w:rPr>
          <w:color w:val="auto"/>
        </w:rPr>
      </w:pPr>
      <w:r>
        <w:rPr>
          <w:rFonts w:hAnsi="宋体"/>
          <w:b/>
          <w:color w:val="auto"/>
        </w:rPr>
        <w:t>供应商的资格声明</w:t>
      </w:r>
    </w:p>
    <w:p>
      <w:pPr>
        <w:spacing w:line="360" w:lineRule="auto"/>
        <w:rPr>
          <w:color w:val="auto"/>
          <w:sz w:val="24"/>
          <w:szCs w:val="24"/>
        </w:rPr>
      </w:pPr>
      <w:r>
        <w:rPr>
          <w:color w:val="auto"/>
          <w:sz w:val="24"/>
          <w:szCs w:val="24"/>
        </w:rPr>
        <w:t>1</w:t>
      </w:r>
      <w:r>
        <w:rPr>
          <w:rFonts w:hAnsi="宋体"/>
          <w:color w:val="auto"/>
        </w:rPr>
        <w:t>．</w:t>
      </w:r>
      <w:r>
        <w:rPr>
          <w:rFonts w:hAnsi="宋体"/>
          <w:color w:val="auto"/>
          <w:sz w:val="24"/>
          <w:szCs w:val="24"/>
        </w:rPr>
        <w:t>供应商概况：</w:t>
      </w:r>
    </w:p>
    <w:tbl>
      <w:tblPr>
        <w:tblStyle w:val="55"/>
        <w:tblW w:w="8811" w:type="dxa"/>
        <w:jc w:val="center"/>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809"/>
        <w:gridCol w:w="958"/>
        <w:gridCol w:w="1237"/>
        <w:gridCol w:w="1241"/>
        <w:gridCol w:w="7"/>
        <w:gridCol w:w="1314"/>
        <w:gridCol w:w="1161"/>
        <w:gridCol w:w="1084"/>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462" w:hRule="atLeast"/>
          <w:jc w:val="center"/>
        </w:trPr>
        <w:tc>
          <w:tcPr>
            <w:tcW w:w="1809" w:type="dxa"/>
            <w:vAlign w:val="center"/>
          </w:tcPr>
          <w:p>
            <w:pPr>
              <w:autoSpaceDE w:val="0"/>
              <w:autoSpaceDN w:val="0"/>
              <w:spacing w:line="360" w:lineRule="auto"/>
              <w:jc w:val="center"/>
              <w:rPr>
                <w:color w:val="auto"/>
                <w:sz w:val="24"/>
                <w:szCs w:val="24"/>
              </w:rPr>
            </w:pPr>
            <w:r>
              <w:rPr>
                <w:rFonts w:hAnsi="宋体"/>
                <w:color w:val="auto"/>
                <w:sz w:val="24"/>
                <w:szCs w:val="24"/>
              </w:rPr>
              <w:t>供应商名称</w:t>
            </w:r>
          </w:p>
        </w:tc>
        <w:tc>
          <w:tcPr>
            <w:tcW w:w="7002" w:type="dxa"/>
            <w:gridSpan w:val="7"/>
            <w:vAlign w:val="center"/>
          </w:tcPr>
          <w:p>
            <w:pPr>
              <w:autoSpaceDE w:val="0"/>
              <w:autoSpaceDN w:val="0"/>
              <w:spacing w:line="360" w:lineRule="auto"/>
              <w:jc w:val="center"/>
              <w:rPr>
                <w:color w:val="auto"/>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462" w:hRule="atLeast"/>
          <w:jc w:val="center"/>
        </w:trPr>
        <w:tc>
          <w:tcPr>
            <w:tcW w:w="1809" w:type="dxa"/>
            <w:vAlign w:val="center"/>
          </w:tcPr>
          <w:p>
            <w:pPr>
              <w:autoSpaceDE w:val="0"/>
              <w:autoSpaceDN w:val="0"/>
              <w:spacing w:line="360" w:lineRule="auto"/>
              <w:jc w:val="center"/>
              <w:rPr>
                <w:color w:val="auto"/>
                <w:sz w:val="24"/>
                <w:szCs w:val="24"/>
              </w:rPr>
            </w:pPr>
            <w:r>
              <w:rPr>
                <w:rFonts w:hAnsi="宋体"/>
                <w:color w:val="auto"/>
                <w:sz w:val="24"/>
                <w:szCs w:val="24"/>
              </w:rPr>
              <w:t>注册地址</w:t>
            </w:r>
          </w:p>
        </w:tc>
        <w:tc>
          <w:tcPr>
            <w:tcW w:w="3443" w:type="dxa"/>
            <w:gridSpan w:val="4"/>
            <w:vAlign w:val="center"/>
          </w:tcPr>
          <w:p>
            <w:pPr>
              <w:autoSpaceDE w:val="0"/>
              <w:autoSpaceDN w:val="0"/>
              <w:spacing w:line="360" w:lineRule="auto"/>
              <w:jc w:val="center"/>
              <w:rPr>
                <w:color w:val="auto"/>
                <w:sz w:val="24"/>
                <w:szCs w:val="24"/>
              </w:rPr>
            </w:pPr>
          </w:p>
        </w:tc>
        <w:tc>
          <w:tcPr>
            <w:tcW w:w="1314" w:type="dxa"/>
            <w:vAlign w:val="center"/>
          </w:tcPr>
          <w:p>
            <w:pPr>
              <w:autoSpaceDE w:val="0"/>
              <w:autoSpaceDN w:val="0"/>
              <w:spacing w:line="360" w:lineRule="auto"/>
              <w:jc w:val="center"/>
              <w:rPr>
                <w:color w:val="auto"/>
                <w:sz w:val="24"/>
                <w:szCs w:val="24"/>
              </w:rPr>
            </w:pPr>
            <w:r>
              <w:rPr>
                <w:rFonts w:hAnsi="宋体"/>
                <w:color w:val="auto"/>
                <w:sz w:val="24"/>
                <w:szCs w:val="24"/>
              </w:rPr>
              <w:t>邮政编码</w:t>
            </w:r>
          </w:p>
        </w:tc>
        <w:tc>
          <w:tcPr>
            <w:tcW w:w="2245" w:type="dxa"/>
            <w:gridSpan w:val="2"/>
            <w:vAlign w:val="center"/>
          </w:tcPr>
          <w:p>
            <w:pPr>
              <w:autoSpaceDE w:val="0"/>
              <w:autoSpaceDN w:val="0"/>
              <w:spacing w:line="360" w:lineRule="auto"/>
              <w:jc w:val="center"/>
              <w:rPr>
                <w:color w:val="auto"/>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442" w:hRule="atLeast"/>
          <w:jc w:val="center"/>
        </w:trPr>
        <w:tc>
          <w:tcPr>
            <w:tcW w:w="1809" w:type="dxa"/>
            <w:vMerge w:val="restart"/>
            <w:vAlign w:val="center"/>
          </w:tcPr>
          <w:p>
            <w:pPr>
              <w:autoSpaceDE w:val="0"/>
              <w:autoSpaceDN w:val="0"/>
              <w:spacing w:line="360" w:lineRule="auto"/>
              <w:jc w:val="center"/>
              <w:rPr>
                <w:color w:val="auto"/>
                <w:sz w:val="24"/>
                <w:szCs w:val="24"/>
              </w:rPr>
            </w:pPr>
            <w:r>
              <w:rPr>
                <w:rFonts w:hAnsi="宋体"/>
                <w:color w:val="auto"/>
                <w:sz w:val="24"/>
                <w:szCs w:val="24"/>
              </w:rPr>
              <w:t>联系方式</w:t>
            </w:r>
          </w:p>
        </w:tc>
        <w:tc>
          <w:tcPr>
            <w:tcW w:w="958" w:type="dxa"/>
            <w:vAlign w:val="center"/>
          </w:tcPr>
          <w:p>
            <w:pPr>
              <w:autoSpaceDE w:val="0"/>
              <w:autoSpaceDN w:val="0"/>
              <w:spacing w:line="360" w:lineRule="auto"/>
              <w:jc w:val="center"/>
              <w:rPr>
                <w:color w:val="auto"/>
                <w:sz w:val="24"/>
                <w:szCs w:val="24"/>
              </w:rPr>
            </w:pPr>
            <w:r>
              <w:rPr>
                <w:rFonts w:hAnsi="宋体"/>
                <w:color w:val="auto"/>
                <w:sz w:val="24"/>
                <w:szCs w:val="24"/>
              </w:rPr>
              <w:t>联系人</w:t>
            </w:r>
          </w:p>
        </w:tc>
        <w:tc>
          <w:tcPr>
            <w:tcW w:w="2478" w:type="dxa"/>
            <w:gridSpan w:val="2"/>
            <w:vAlign w:val="center"/>
          </w:tcPr>
          <w:p>
            <w:pPr>
              <w:autoSpaceDE w:val="0"/>
              <w:autoSpaceDN w:val="0"/>
              <w:spacing w:line="360" w:lineRule="auto"/>
              <w:jc w:val="center"/>
              <w:rPr>
                <w:color w:val="auto"/>
                <w:sz w:val="24"/>
                <w:szCs w:val="24"/>
              </w:rPr>
            </w:pPr>
          </w:p>
        </w:tc>
        <w:tc>
          <w:tcPr>
            <w:tcW w:w="1321" w:type="dxa"/>
            <w:gridSpan w:val="2"/>
            <w:vAlign w:val="center"/>
          </w:tcPr>
          <w:p>
            <w:pPr>
              <w:autoSpaceDE w:val="0"/>
              <w:autoSpaceDN w:val="0"/>
              <w:spacing w:line="360" w:lineRule="auto"/>
              <w:jc w:val="center"/>
              <w:rPr>
                <w:color w:val="auto"/>
                <w:sz w:val="24"/>
                <w:szCs w:val="24"/>
              </w:rPr>
            </w:pPr>
            <w:r>
              <w:rPr>
                <w:rFonts w:hAnsi="宋体"/>
                <w:color w:val="auto"/>
                <w:sz w:val="24"/>
                <w:szCs w:val="24"/>
              </w:rPr>
              <w:t>电话</w:t>
            </w:r>
          </w:p>
        </w:tc>
        <w:tc>
          <w:tcPr>
            <w:tcW w:w="2245" w:type="dxa"/>
            <w:gridSpan w:val="2"/>
            <w:vAlign w:val="center"/>
          </w:tcPr>
          <w:p>
            <w:pPr>
              <w:autoSpaceDE w:val="0"/>
              <w:autoSpaceDN w:val="0"/>
              <w:spacing w:line="360" w:lineRule="auto"/>
              <w:jc w:val="center"/>
              <w:rPr>
                <w:color w:val="auto"/>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148" w:hRule="atLeast"/>
          <w:jc w:val="center"/>
        </w:trPr>
        <w:tc>
          <w:tcPr>
            <w:tcW w:w="1809" w:type="dxa"/>
            <w:vMerge w:val="continue"/>
            <w:vAlign w:val="center"/>
          </w:tcPr>
          <w:p>
            <w:pPr>
              <w:autoSpaceDE w:val="0"/>
              <w:autoSpaceDN w:val="0"/>
              <w:spacing w:line="360" w:lineRule="auto"/>
              <w:jc w:val="center"/>
              <w:rPr>
                <w:color w:val="auto"/>
                <w:sz w:val="24"/>
                <w:szCs w:val="24"/>
              </w:rPr>
            </w:pPr>
          </w:p>
        </w:tc>
        <w:tc>
          <w:tcPr>
            <w:tcW w:w="958" w:type="dxa"/>
            <w:vAlign w:val="center"/>
          </w:tcPr>
          <w:p>
            <w:pPr>
              <w:autoSpaceDE w:val="0"/>
              <w:autoSpaceDN w:val="0"/>
              <w:spacing w:line="360" w:lineRule="auto"/>
              <w:jc w:val="center"/>
              <w:rPr>
                <w:color w:val="auto"/>
                <w:sz w:val="24"/>
                <w:szCs w:val="24"/>
              </w:rPr>
            </w:pPr>
            <w:r>
              <w:rPr>
                <w:rFonts w:hAnsi="宋体"/>
                <w:color w:val="auto"/>
                <w:sz w:val="24"/>
                <w:szCs w:val="24"/>
              </w:rPr>
              <w:t>传真</w:t>
            </w:r>
          </w:p>
        </w:tc>
        <w:tc>
          <w:tcPr>
            <w:tcW w:w="2478" w:type="dxa"/>
            <w:gridSpan w:val="2"/>
            <w:vAlign w:val="center"/>
          </w:tcPr>
          <w:p>
            <w:pPr>
              <w:autoSpaceDE w:val="0"/>
              <w:autoSpaceDN w:val="0"/>
              <w:spacing w:line="360" w:lineRule="auto"/>
              <w:jc w:val="center"/>
              <w:rPr>
                <w:color w:val="auto"/>
                <w:sz w:val="24"/>
                <w:szCs w:val="24"/>
              </w:rPr>
            </w:pPr>
          </w:p>
        </w:tc>
        <w:tc>
          <w:tcPr>
            <w:tcW w:w="1321" w:type="dxa"/>
            <w:gridSpan w:val="2"/>
            <w:vAlign w:val="center"/>
          </w:tcPr>
          <w:p>
            <w:pPr>
              <w:autoSpaceDE w:val="0"/>
              <w:autoSpaceDN w:val="0"/>
              <w:spacing w:line="360" w:lineRule="auto"/>
              <w:jc w:val="center"/>
              <w:rPr>
                <w:color w:val="auto"/>
                <w:sz w:val="24"/>
                <w:szCs w:val="24"/>
              </w:rPr>
            </w:pPr>
            <w:r>
              <w:rPr>
                <w:rFonts w:hAnsi="宋体"/>
                <w:color w:val="auto"/>
                <w:sz w:val="24"/>
                <w:szCs w:val="24"/>
              </w:rPr>
              <w:t>网址</w:t>
            </w:r>
          </w:p>
        </w:tc>
        <w:tc>
          <w:tcPr>
            <w:tcW w:w="2245" w:type="dxa"/>
            <w:gridSpan w:val="2"/>
            <w:vAlign w:val="center"/>
          </w:tcPr>
          <w:p>
            <w:pPr>
              <w:autoSpaceDE w:val="0"/>
              <w:autoSpaceDN w:val="0"/>
              <w:spacing w:line="360" w:lineRule="auto"/>
              <w:jc w:val="center"/>
              <w:rPr>
                <w:color w:val="auto"/>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442" w:hRule="atLeast"/>
          <w:jc w:val="center"/>
        </w:trPr>
        <w:tc>
          <w:tcPr>
            <w:tcW w:w="1809" w:type="dxa"/>
            <w:vAlign w:val="center"/>
          </w:tcPr>
          <w:p>
            <w:pPr>
              <w:autoSpaceDE w:val="0"/>
              <w:autoSpaceDN w:val="0"/>
              <w:spacing w:line="360" w:lineRule="auto"/>
              <w:jc w:val="center"/>
              <w:rPr>
                <w:color w:val="auto"/>
                <w:sz w:val="24"/>
                <w:szCs w:val="24"/>
              </w:rPr>
            </w:pPr>
            <w:r>
              <w:rPr>
                <w:rFonts w:hAnsi="宋体"/>
                <w:color w:val="auto"/>
                <w:sz w:val="24"/>
                <w:szCs w:val="24"/>
              </w:rPr>
              <w:t>组织结构</w:t>
            </w:r>
          </w:p>
        </w:tc>
        <w:tc>
          <w:tcPr>
            <w:tcW w:w="7002" w:type="dxa"/>
            <w:gridSpan w:val="7"/>
            <w:vAlign w:val="center"/>
          </w:tcPr>
          <w:p>
            <w:pPr>
              <w:autoSpaceDE w:val="0"/>
              <w:autoSpaceDN w:val="0"/>
              <w:spacing w:line="360" w:lineRule="auto"/>
              <w:jc w:val="center"/>
              <w:rPr>
                <w:color w:val="auto"/>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462" w:hRule="atLeast"/>
          <w:jc w:val="center"/>
        </w:trPr>
        <w:tc>
          <w:tcPr>
            <w:tcW w:w="1809" w:type="dxa"/>
            <w:vAlign w:val="center"/>
          </w:tcPr>
          <w:p>
            <w:pPr>
              <w:autoSpaceDE w:val="0"/>
              <w:autoSpaceDN w:val="0"/>
              <w:spacing w:line="360" w:lineRule="auto"/>
              <w:jc w:val="center"/>
              <w:rPr>
                <w:color w:val="auto"/>
                <w:sz w:val="24"/>
                <w:szCs w:val="24"/>
              </w:rPr>
            </w:pPr>
            <w:r>
              <w:rPr>
                <w:rFonts w:hAnsi="宋体"/>
                <w:color w:val="auto"/>
                <w:sz w:val="24"/>
                <w:szCs w:val="24"/>
              </w:rPr>
              <w:t>法定代表人</w:t>
            </w:r>
          </w:p>
        </w:tc>
        <w:tc>
          <w:tcPr>
            <w:tcW w:w="958" w:type="dxa"/>
            <w:vAlign w:val="center"/>
          </w:tcPr>
          <w:p>
            <w:pPr>
              <w:autoSpaceDE w:val="0"/>
              <w:autoSpaceDN w:val="0"/>
              <w:spacing w:line="360" w:lineRule="auto"/>
              <w:jc w:val="center"/>
              <w:rPr>
                <w:color w:val="auto"/>
                <w:sz w:val="24"/>
                <w:szCs w:val="24"/>
              </w:rPr>
            </w:pPr>
            <w:r>
              <w:rPr>
                <w:rFonts w:hAnsi="宋体"/>
                <w:color w:val="auto"/>
                <w:sz w:val="24"/>
                <w:szCs w:val="24"/>
              </w:rPr>
              <w:t>姓名</w:t>
            </w:r>
          </w:p>
        </w:tc>
        <w:tc>
          <w:tcPr>
            <w:tcW w:w="1237" w:type="dxa"/>
            <w:vAlign w:val="center"/>
          </w:tcPr>
          <w:p>
            <w:pPr>
              <w:autoSpaceDE w:val="0"/>
              <w:autoSpaceDN w:val="0"/>
              <w:spacing w:line="360" w:lineRule="auto"/>
              <w:jc w:val="center"/>
              <w:rPr>
                <w:color w:val="auto"/>
                <w:sz w:val="24"/>
                <w:szCs w:val="24"/>
              </w:rPr>
            </w:pPr>
          </w:p>
        </w:tc>
        <w:tc>
          <w:tcPr>
            <w:tcW w:w="1241" w:type="dxa"/>
            <w:vAlign w:val="center"/>
          </w:tcPr>
          <w:p>
            <w:pPr>
              <w:autoSpaceDE w:val="0"/>
              <w:autoSpaceDN w:val="0"/>
              <w:spacing w:line="360" w:lineRule="auto"/>
              <w:jc w:val="center"/>
              <w:rPr>
                <w:color w:val="auto"/>
                <w:sz w:val="24"/>
                <w:szCs w:val="24"/>
              </w:rPr>
            </w:pPr>
            <w:r>
              <w:rPr>
                <w:rFonts w:hAnsi="宋体"/>
                <w:color w:val="auto"/>
                <w:sz w:val="24"/>
                <w:szCs w:val="24"/>
              </w:rPr>
              <w:t>技术职称</w:t>
            </w:r>
          </w:p>
        </w:tc>
        <w:tc>
          <w:tcPr>
            <w:tcW w:w="1321" w:type="dxa"/>
            <w:gridSpan w:val="2"/>
            <w:vAlign w:val="center"/>
          </w:tcPr>
          <w:p>
            <w:pPr>
              <w:autoSpaceDE w:val="0"/>
              <w:autoSpaceDN w:val="0"/>
              <w:spacing w:line="360" w:lineRule="auto"/>
              <w:jc w:val="center"/>
              <w:rPr>
                <w:color w:val="auto"/>
                <w:sz w:val="24"/>
                <w:szCs w:val="24"/>
              </w:rPr>
            </w:pPr>
          </w:p>
        </w:tc>
        <w:tc>
          <w:tcPr>
            <w:tcW w:w="1161" w:type="dxa"/>
            <w:vAlign w:val="center"/>
          </w:tcPr>
          <w:p>
            <w:pPr>
              <w:autoSpaceDE w:val="0"/>
              <w:autoSpaceDN w:val="0"/>
              <w:spacing w:line="360" w:lineRule="auto"/>
              <w:jc w:val="center"/>
              <w:rPr>
                <w:color w:val="auto"/>
                <w:sz w:val="24"/>
                <w:szCs w:val="24"/>
              </w:rPr>
            </w:pPr>
            <w:r>
              <w:rPr>
                <w:rFonts w:hAnsi="宋体"/>
                <w:color w:val="auto"/>
                <w:sz w:val="24"/>
                <w:szCs w:val="24"/>
              </w:rPr>
              <w:t>电话</w:t>
            </w:r>
          </w:p>
        </w:tc>
        <w:tc>
          <w:tcPr>
            <w:tcW w:w="1084" w:type="dxa"/>
            <w:vAlign w:val="center"/>
          </w:tcPr>
          <w:p>
            <w:pPr>
              <w:autoSpaceDE w:val="0"/>
              <w:autoSpaceDN w:val="0"/>
              <w:spacing w:line="360" w:lineRule="auto"/>
              <w:jc w:val="center"/>
              <w:rPr>
                <w:b/>
                <w:bCs/>
                <w:color w:val="auto"/>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442" w:hRule="atLeast"/>
          <w:jc w:val="center"/>
        </w:trPr>
        <w:tc>
          <w:tcPr>
            <w:tcW w:w="1809" w:type="dxa"/>
            <w:vAlign w:val="center"/>
          </w:tcPr>
          <w:p>
            <w:pPr>
              <w:autoSpaceDE w:val="0"/>
              <w:autoSpaceDN w:val="0"/>
              <w:spacing w:line="360" w:lineRule="auto"/>
              <w:jc w:val="center"/>
              <w:rPr>
                <w:color w:val="auto"/>
                <w:sz w:val="24"/>
                <w:szCs w:val="24"/>
              </w:rPr>
            </w:pPr>
            <w:r>
              <w:rPr>
                <w:rFonts w:hAnsi="宋体"/>
                <w:color w:val="auto"/>
                <w:sz w:val="24"/>
                <w:szCs w:val="24"/>
              </w:rPr>
              <w:t>技术负责人</w:t>
            </w:r>
          </w:p>
        </w:tc>
        <w:tc>
          <w:tcPr>
            <w:tcW w:w="958" w:type="dxa"/>
            <w:vAlign w:val="center"/>
          </w:tcPr>
          <w:p>
            <w:pPr>
              <w:autoSpaceDE w:val="0"/>
              <w:autoSpaceDN w:val="0"/>
              <w:spacing w:line="360" w:lineRule="auto"/>
              <w:jc w:val="center"/>
              <w:rPr>
                <w:color w:val="auto"/>
                <w:sz w:val="24"/>
                <w:szCs w:val="24"/>
              </w:rPr>
            </w:pPr>
            <w:r>
              <w:rPr>
                <w:rFonts w:hAnsi="宋体"/>
                <w:color w:val="auto"/>
                <w:sz w:val="24"/>
                <w:szCs w:val="24"/>
              </w:rPr>
              <w:t>姓名</w:t>
            </w:r>
          </w:p>
        </w:tc>
        <w:tc>
          <w:tcPr>
            <w:tcW w:w="1237" w:type="dxa"/>
            <w:vAlign w:val="center"/>
          </w:tcPr>
          <w:p>
            <w:pPr>
              <w:autoSpaceDE w:val="0"/>
              <w:autoSpaceDN w:val="0"/>
              <w:spacing w:line="360" w:lineRule="auto"/>
              <w:jc w:val="center"/>
              <w:rPr>
                <w:color w:val="auto"/>
                <w:sz w:val="24"/>
                <w:szCs w:val="24"/>
              </w:rPr>
            </w:pPr>
          </w:p>
        </w:tc>
        <w:tc>
          <w:tcPr>
            <w:tcW w:w="1241" w:type="dxa"/>
            <w:vAlign w:val="center"/>
          </w:tcPr>
          <w:p>
            <w:pPr>
              <w:autoSpaceDE w:val="0"/>
              <w:autoSpaceDN w:val="0"/>
              <w:spacing w:line="360" w:lineRule="auto"/>
              <w:jc w:val="center"/>
              <w:rPr>
                <w:color w:val="auto"/>
                <w:sz w:val="24"/>
                <w:szCs w:val="24"/>
              </w:rPr>
            </w:pPr>
            <w:r>
              <w:rPr>
                <w:rFonts w:hAnsi="宋体"/>
                <w:color w:val="auto"/>
                <w:sz w:val="24"/>
                <w:szCs w:val="24"/>
              </w:rPr>
              <w:t>技术职称</w:t>
            </w:r>
          </w:p>
        </w:tc>
        <w:tc>
          <w:tcPr>
            <w:tcW w:w="1321" w:type="dxa"/>
            <w:gridSpan w:val="2"/>
            <w:vAlign w:val="center"/>
          </w:tcPr>
          <w:p>
            <w:pPr>
              <w:autoSpaceDE w:val="0"/>
              <w:autoSpaceDN w:val="0"/>
              <w:spacing w:line="360" w:lineRule="auto"/>
              <w:jc w:val="center"/>
              <w:rPr>
                <w:color w:val="auto"/>
                <w:sz w:val="24"/>
                <w:szCs w:val="24"/>
              </w:rPr>
            </w:pPr>
          </w:p>
        </w:tc>
        <w:tc>
          <w:tcPr>
            <w:tcW w:w="1161" w:type="dxa"/>
            <w:vAlign w:val="center"/>
          </w:tcPr>
          <w:p>
            <w:pPr>
              <w:autoSpaceDE w:val="0"/>
              <w:autoSpaceDN w:val="0"/>
              <w:spacing w:line="360" w:lineRule="auto"/>
              <w:jc w:val="center"/>
              <w:rPr>
                <w:color w:val="auto"/>
                <w:sz w:val="24"/>
                <w:szCs w:val="24"/>
              </w:rPr>
            </w:pPr>
            <w:r>
              <w:rPr>
                <w:rFonts w:hAnsi="宋体"/>
                <w:color w:val="auto"/>
                <w:sz w:val="24"/>
                <w:szCs w:val="24"/>
              </w:rPr>
              <w:t>电话</w:t>
            </w:r>
          </w:p>
        </w:tc>
        <w:tc>
          <w:tcPr>
            <w:tcW w:w="1084" w:type="dxa"/>
            <w:vAlign w:val="center"/>
          </w:tcPr>
          <w:p>
            <w:pPr>
              <w:autoSpaceDE w:val="0"/>
              <w:autoSpaceDN w:val="0"/>
              <w:spacing w:line="360" w:lineRule="auto"/>
              <w:jc w:val="center"/>
              <w:rPr>
                <w:b/>
                <w:bCs/>
                <w:color w:val="auto"/>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442" w:hRule="atLeast"/>
          <w:jc w:val="center"/>
        </w:trPr>
        <w:tc>
          <w:tcPr>
            <w:tcW w:w="1809" w:type="dxa"/>
            <w:vAlign w:val="center"/>
          </w:tcPr>
          <w:p>
            <w:pPr>
              <w:autoSpaceDE w:val="0"/>
              <w:autoSpaceDN w:val="0"/>
              <w:spacing w:line="360" w:lineRule="auto"/>
              <w:jc w:val="center"/>
              <w:rPr>
                <w:color w:val="auto"/>
                <w:sz w:val="24"/>
                <w:szCs w:val="24"/>
              </w:rPr>
            </w:pPr>
            <w:r>
              <w:rPr>
                <w:rFonts w:hAnsi="宋体"/>
                <w:color w:val="auto"/>
                <w:sz w:val="24"/>
                <w:szCs w:val="24"/>
              </w:rPr>
              <w:t>成立时间</w:t>
            </w:r>
          </w:p>
        </w:tc>
        <w:tc>
          <w:tcPr>
            <w:tcW w:w="2195" w:type="dxa"/>
            <w:gridSpan w:val="2"/>
            <w:vAlign w:val="center"/>
          </w:tcPr>
          <w:p>
            <w:pPr>
              <w:autoSpaceDE w:val="0"/>
              <w:autoSpaceDN w:val="0"/>
              <w:spacing w:line="360" w:lineRule="auto"/>
              <w:jc w:val="center"/>
              <w:rPr>
                <w:color w:val="auto"/>
                <w:sz w:val="24"/>
                <w:szCs w:val="24"/>
              </w:rPr>
            </w:pPr>
          </w:p>
        </w:tc>
        <w:tc>
          <w:tcPr>
            <w:tcW w:w="4807" w:type="dxa"/>
            <w:gridSpan w:val="5"/>
            <w:vAlign w:val="center"/>
          </w:tcPr>
          <w:p>
            <w:pPr>
              <w:autoSpaceDE w:val="0"/>
              <w:autoSpaceDN w:val="0"/>
              <w:spacing w:line="360" w:lineRule="auto"/>
              <w:ind w:firstLine="1680" w:firstLineChars="700"/>
              <w:rPr>
                <w:color w:val="auto"/>
                <w:sz w:val="24"/>
                <w:szCs w:val="24"/>
              </w:rPr>
            </w:pPr>
            <w:r>
              <w:rPr>
                <w:rFonts w:hAnsi="宋体"/>
                <w:color w:val="auto"/>
                <w:sz w:val="24"/>
                <w:szCs w:val="24"/>
              </w:rPr>
              <w:t>员工总人数：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462" w:hRule="atLeast"/>
          <w:jc w:val="center"/>
        </w:trPr>
        <w:tc>
          <w:tcPr>
            <w:tcW w:w="1809" w:type="dxa"/>
            <w:vAlign w:val="center"/>
          </w:tcPr>
          <w:p>
            <w:pPr>
              <w:autoSpaceDE w:val="0"/>
              <w:autoSpaceDN w:val="0"/>
              <w:spacing w:line="360" w:lineRule="auto"/>
              <w:jc w:val="center"/>
              <w:rPr>
                <w:color w:val="auto"/>
                <w:sz w:val="24"/>
                <w:szCs w:val="24"/>
              </w:rPr>
            </w:pPr>
            <w:r>
              <w:rPr>
                <w:rFonts w:hAnsi="宋体"/>
                <w:color w:val="auto"/>
                <w:sz w:val="24"/>
                <w:szCs w:val="24"/>
              </w:rPr>
              <w:t>企业资质等级</w:t>
            </w:r>
          </w:p>
        </w:tc>
        <w:tc>
          <w:tcPr>
            <w:tcW w:w="2195" w:type="dxa"/>
            <w:gridSpan w:val="2"/>
            <w:vAlign w:val="center"/>
          </w:tcPr>
          <w:p>
            <w:pPr>
              <w:autoSpaceDE w:val="0"/>
              <w:autoSpaceDN w:val="0"/>
              <w:spacing w:line="360" w:lineRule="auto"/>
              <w:jc w:val="center"/>
              <w:rPr>
                <w:color w:val="auto"/>
                <w:sz w:val="24"/>
                <w:szCs w:val="24"/>
              </w:rPr>
            </w:pPr>
          </w:p>
        </w:tc>
        <w:tc>
          <w:tcPr>
            <w:tcW w:w="4807" w:type="dxa"/>
            <w:gridSpan w:val="5"/>
            <w:vMerge w:val="restart"/>
            <w:vAlign w:val="center"/>
          </w:tcPr>
          <w:p>
            <w:pPr>
              <w:autoSpaceDE w:val="0"/>
              <w:autoSpaceDN w:val="0"/>
              <w:spacing w:line="360" w:lineRule="auto"/>
              <w:jc w:val="center"/>
              <w:rPr>
                <w:b/>
                <w:bCs/>
                <w:color w:val="auto"/>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442" w:hRule="atLeast"/>
          <w:jc w:val="center"/>
        </w:trPr>
        <w:tc>
          <w:tcPr>
            <w:tcW w:w="1809" w:type="dxa"/>
            <w:vAlign w:val="center"/>
          </w:tcPr>
          <w:p>
            <w:pPr>
              <w:autoSpaceDE w:val="0"/>
              <w:autoSpaceDN w:val="0"/>
              <w:spacing w:line="360" w:lineRule="auto"/>
              <w:jc w:val="center"/>
              <w:rPr>
                <w:color w:val="auto"/>
                <w:sz w:val="24"/>
                <w:szCs w:val="24"/>
              </w:rPr>
            </w:pPr>
            <w:r>
              <w:rPr>
                <w:rFonts w:hAnsi="宋体"/>
                <w:color w:val="auto"/>
                <w:sz w:val="24"/>
                <w:szCs w:val="24"/>
              </w:rPr>
              <w:t>营业执照号</w:t>
            </w:r>
          </w:p>
        </w:tc>
        <w:tc>
          <w:tcPr>
            <w:tcW w:w="2195" w:type="dxa"/>
            <w:gridSpan w:val="2"/>
            <w:vAlign w:val="center"/>
          </w:tcPr>
          <w:p>
            <w:pPr>
              <w:autoSpaceDE w:val="0"/>
              <w:autoSpaceDN w:val="0"/>
              <w:spacing w:line="360" w:lineRule="auto"/>
              <w:jc w:val="center"/>
              <w:rPr>
                <w:color w:val="auto"/>
                <w:sz w:val="24"/>
                <w:szCs w:val="24"/>
              </w:rPr>
            </w:pPr>
          </w:p>
        </w:tc>
        <w:tc>
          <w:tcPr>
            <w:tcW w:w="4807" w:type="dxa"/>
            <w:gridSpan w:val="5"/>
            <w:vMerge w:val="continue"/>
            <w:vAlign w:val="center"/>
          </w:tcPr>
          <w:p>
            <w:pPr>
              <w:autoSpaceDE w:val="0"/>
              <w:autoSpaceDN w:val="0"/>
              <w:spacing w:line="360" w:lineRule="auto"/>
              <w:jc w:val="center"/>
              <w:rPr>
                <w:b/>
                <w:bCs/>
                <w:color w:val="auto"/>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442" w:hRule="atLeast"/>
          <w:jc w:val="center"/>
        </w:trPr>
        <w:tc>
          <w:tcPr>
            <w:tcW w:w="1809" w:type="dxa"/>
            <w:vAlign w:val="center"/>
          </w:tcPr>
          <w:p>
            <w:pPr>
              <w:autoSpaceDE w:val="0"/>
              <w:autoSpaceDN w:val="0"/>
              <w:spacing w:line="360" w:lineRule="auto"/>
              <w:jc w:val="center"/>
              <w:rPr>
                <w:color w:val="auto"/>
                <w:sz w:val="24"/>
                <w:szCs w:val="24"/>
              </w:rPr>
            </w:pPr>
            <w:r>
              <w:rPr>
                <w:rFonts w:hAnsi="宋体"/>
                <w:color w:val="auto"/>
                <w:sz w:val="24"/>
                <w:szCs w:val="24"/>
              </w:rPr>
              <w:t>注册资金</w:t>
            </w:r>
          </w:p>
        </w:tc>
        <w:tc>
          <w:tcPr>
            <w:tcW w:w="2195" w:type="dxa"/>
            <w:gridSpan w:val="2"/>
            <w:vAlign w:val="center"/>
          </w:tcPr>
          <w:p>
            <w:pPr>
              <w:autoSpaceDE w:val="0"/>
              <w:autoSpaceDN w:val="0"/>
              <w:spacing w:line="360" w:lineRule="auto"/>
              <w:jc w:val="center"/>
              <w:rPr>
                <w:color w:val="auto"/>
                <w:sz w:val="24"/>
                <w:szCs w:val="24"/>
              </w:rPr>
            </w:pPr>
          </w:p>
        </w:tc>
        <w:tc>
          <w:tcPr>
            <w:tcW w:w="4807" w:type="dxa"/>
            <w:gridSpan w:val="5"/>
            <w:vMerge w:val="continue"/>
            <w:vAlign w:val="center"/>
          </w:tcPr>
          <w:p>
            <w:pPr>
              <w:autoSpaceDE w:val="0"/>
              <w:autoSpaceDN w:val="0"/>
              <w:spacing w:line="360" w:lineRule="auto"/>
              <w:jc w:val="center"/>
              <w:rPr>
                <w:b/>
                <w:bCs/>
                <w:color w:val="auto"/>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462" w:hRule="atLeast"/>
          <w:jc w:val="center"/>
        </w:trPr>
        <w:tc>
          <w:tcPr>
            <w:tcW w:w="1809" w:type="dxa"/>
            <w:vAlign w:val="center"/>
          </w:tcPr>
          <w:p>
            <w:pPr>
              <w:autoSpaceDE w:val="0"/>
              <w:autoSpaceDN w:val="0"/>
              <w:spacing w:line="360" w:lineRule="auto"/>
              <w:jc w:val="center"/>
              <w:rPr>
                <w:color w:val="auto"/>
                <w:sz w:val="24"/>
                <w:szCs w:val="24"/>
              </w:rPr>
            </w:pPr>
            <w:r>
              <w:rPr>
                <w:rFonts w:hAnsi="宋体"/>
                <w:color w:val="auto"/>
                <w:sz w:val="24"/>
                <w:szCs w:val="24"/>
              </w:rPr>
              <w:t>开户银行</w:t>
            </w:r>
          </w:p>
        </w:tc>
        <w:tc>
          <w:tcPr>
            <w:tcW w:w="2195" w:type="dxa"/>
            <w:gridSpan w:val="2"/>
            <w:vAlign w:val="center"/>
          </w:tcPr>
          <w:p>
            <w:pPr>
              <w:autoSpaceDE w:val="0"/>
              <w:autoSpaceDN w:val="0"/>
              <w:spacing w:line="360" w:lineRule="auto"/>
              <w:jc w:val="center"/>
              <w:rPr>
                <w:color w:val="auto"/>
                <w:sz w:val="24"/>
                <w:szCs w:val="24"/>
              </w:rPr>
            </w:pPr>
          </w:p>
        </w:tc>
        <w:tc>
          <w:tcPr>
            <w:tcW w:w="4807" w:type="dxa"/>
            <w:gridSpan w:val="5"/>
            <w:vMerge w:val="continue"/>
            <w:vAlign w:val="center"/>
          </w:tcPr>
          <w:p>
            <w:pPr>
              <w:autoSpaceDE w:val="0"/>
              <w:autoSpaceDN w:val="0"/>
              <w:spacing w:line="360" w:lineRule="auto"/>
              <w:jc w:val="center"/>
              <w:rPr>
                <w:b/>
                <w:bCs/>
                <w:color w:val="auto"/>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442" w:hRule="atLeast"/>
          <w:jc w:val="center"/>
        </w:trPr>
        <w:tc>
          <w:tcPr>
            <w:tcW w:w="1809" w:type="dxa"/>
            <w:vAlign w:val="center"/>
          </w:tcPr>
          <w:p>
            <w:pPr>
              <w:autoSpaceDE w:val="0"/>
              <w:autoSpaceDN w:val="0"/>
              <w:spacing w:line="360" w:lineRule="auto"/>
              <w:jc w:val="center"/>
              <w:rPr>
                <w:color w:val="auto"/>
                <w:sz w:val="24"/>
                <w:szCs w:val="24"/>
              </w:rPr>
            </w:pPr>
            <w:r>
              <w:rPr>
                <w:rFonts w:hAnsi="宋体"/>
                <w:color w:val="auto"/>
                <w:sz w:val="24"/>
                <w:szCs w:val="24"/>
              </w:rPr>
              <w:t>账号</w:t>
            </w:r>
          </w:p>
        </w:tc>
        <w:tc>
          <w:tcPr>
            <w:tcW w:w="2195" w:type="dxa"/>
            <w:gridSpan w:val="2"/>
            <w:vAlign w:val="center"/>
          </w:tcPr>
          <w:p>
            <w:pPr>
              <w:autoSpaceDE w:val="0"/>
              <w:autoSpaceDN w:val="0"/>
              <w:spacing w:line="360" w:lineRule="auto"/>
              <w:jc w:val="center"/>
              <w:rPr>
                <w:color w:val="auto"/>
                <w:sz w:val="24"/>
                <w:szCs w:val="24"/>
              </w:rPr>
            </w:pPr>
          </w:p>
        </w:tc>
        <w:tc>
          <w:tcPr>
            <w:tcW w:w="4807" w:type="dxa"/>
            <w:gridSpan w:val="5"/>
            <w:vMerge w:val="continue"/>
            <w:vAlign w:val="center"/>
          </w:tcPr>
          <w:p>
            <w:pPr>
              <w:autoSpaceDE w:val="0"/>
              <w:autoSpaceDN w:val="0"/>
              <w:spacing w:line="360" w:lineRule="auto"/>
              <w:jc w:val="center"/>
              <w:rPr>
                <w:b/>
                <w:bCs/>
                <w:color w:val="auto"/>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921" w:hRule="atLeast"/>
          <w:jc w:val="center"/>
        </w:trPr>
        <w:tc>
          <w:tcPr>
            <w:tcW w:w="1809" w:type="dxa"/>
            <w:vAlign w:val="center"/>
          </w:tcPr>
          <w:p>
            <w:pPr>
              <w:autoSpaceDE w:val="0"/>
              <w:autoSpaceDN w:val="0"/>
              <w:spacing w:line="360" w:lineRule="auto"/>
              <w:jc w:val="center"/>
              <w:rPr>
                <w:color w:val="auto"/>
                <w:sz w:val="24"/>
                <w:szCs w:val="24"/>
              </w:rPr>
            </w:pPr>
            <w:r>
              <w:rPr>
                <w:rFonts w:hAnsi="宋体"/>
                <w:color w:val="auto"/>
                <w:sz w:val="24"/>
                <w:szCs w:val="24"/>
              </w:rPr>
              <w:t>经营范围</w:t>
            </w:r>
          </w:p>
        </w:tc>
        <w:tc>
          <w:tcPr>
            <w:tcW w:w="7002" w:type="dxa"/>
            <w:gridSpan w:val="7"/>
            <w:vAlign w:val="center"/>
          </w:tcPr>
          <w:p>
            <w:pPr>
              <w:autoSpaceDE w:val="0"/>
              <w:autoSpaceDN w:val="0"/>
              <w:spacing w:line="360" w:lineRule="auto"/>
              <w:rPr>
                <w:b/>
                <w:bCs/>
                <w:color w:val="auto"/>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1072" w:hRule="atLeast"/>
          <w:jc w:val="center"/>
        </w:trPr>
        <w:tc>
          <w:tcPr>
            <w:tcW w:w="1809" w:type="dxa"/>
          </w:tcPr>
          <w:p>
            <w:pPr>
              <w:autoSpaceDE w:val="0"/>
              <w:autoSpaceDN w:val="0"/>
              <w:spacing w:line="360" w:lineRule="auto"/>
              <w:jc w:val="center"/>
              <w:rPr>
                <w:color w:val="auto"/>
                <w:sz w:val="24"/>
                <w:szCs w:val="24"/>
              </w:rPr>
            </w:pPr>
            <w:r>
              <w:rPr>
                <w:rFonts w:hAnsi="宋体"/>
                <w:color w:val="auto"/>
                <w:sz w:val="24"/>
                <w:szCs w:val="24"/>
              </w:rPr>
              <w:t>备注</w:t>
            </w:r>
          </w:p>
        </w:tc>
        <w:tc>
          <w:tcPr>
            <w:tcW w:w="7002" w:type="dxa"/>
            <w:gridSpan w:val="7"/>
          </w:tcPr>
          <w:p>
            <w:pPr>
              <w:autoSpaceDE w:val="0"/>
              <w:autoSpaceDN w:val="0"/>
              <w:spacing w:line="360" w:lineRule="auto"/>
              <w:rPr>
                <w:color w:val="auto"/>
                <w:sz w:val="24"/>
                <w:szCs w:val="24"/>
              </w:rPr>
            </w:pPr>
          </w:p>
        </w:tc>
      </w:tr>
    </w:tbl>
    <w:p>
      <w:pPr>
        <w:spacing w:line="360" w:lineRule="auto"/>
        <w:rPr>
          <w:color w:val="auto"/>
          <w:sz w:val="24"/>
          <w:szCs w:val="24"/>
        </w:rPr>
      </w:pPr>
    </w:p>
    <w:p>
      <w:pPr>
        <w:spacing w:line="360" w:lineRule="auto"/>
        <w:rPr>
          <w:color w:val="auto"/>
          <w:sz w:val="24"/>
          <w:szCs w:val="24"/>
        </w:rPr>
      </w:pPr>
      <w:r>
        <w:rPr>
          <w:color w:val="auto"/>
          <w:sz w:val="24"/>
          <w:szCs w:val="24"/>
        </w:rPr>
        <w:t>2</w:t>
      </w:r>
      <w:r>
        <w:rPr>
          <w:rFonts w:hAnsi="宋体"/>
          <w:color w:val="auto"/>
          <w:sz w:val="24"/>
          <w:szCs w:val="24"/>
        </w:rPr>
        <w:t>．我方在此声明，我方具备并满足下列各项条款的规定。本声明如有虚假或不实之处，我方将失去合格供应商资格且我方的</w:t>
      </w:r>
      <w:r>
        <w:rPr>
          <w:rFonts w:hint="eastAsia" w:hAnsi="宋体"/>
          <w:color w:val="auto"/>
          <w:sz w:val="24"/>
          <w:szCs w:val="24"/>
        </w:rPr>
        <w:t>谈判</w:t>
      </w:r>
      <w:r>
        <w:rPr>
          <w:rFonts w:hAnsi="宋体"/>
          <w:color w:val="auto"/>
          <w:sz w:val="24"/>
          <w:szCs w:val="24"/>
        </w:rPr>
        <w:t>保证金将不予退还。就我方全部所知，兹证明上述声明是真实、正确的，</w:t>
      </w:r>
      <w:r>
        <w:rPr>
          <w:color w:val="auto"/>
          <w:sz w:val="24"/>
          <w:szCs w:val="24"/>
        </w:rPr>
        <w:t></w:t>
      </w:r>
      <w:r>
        <w:rPr>
          <w:rFonts w:hAnsi="宋体"/>
          <w:color w:val="auto"/>
          <w:sz w:val="24"/>
          <w:szCs w:val="24"/>
        </w:rPr>
        <w:t>并已提供了全部现有资料和数据，我方同意根据贵方要求出示文件予以证实。</w:t>
      </w:r>
    </w:p>
    <w:p>
      <w:pPr>
        <w:spacing w:line="360" w:lineRule="auto"/>
        <w:rPr>
          <w:color w:val="auto"/>
          <w:sz w:val="24"/>
          <w:szCs w:val="24"/>
        </w:rPr>
      </w:pPr>
      <w:r>
        <w:rPr>
          <w:rFonts w:hAnsi="宋体"/>
          <w:color w:val="auto"/>
          <w:sz w:val="24"/>
          <w:szCs w:val="24"/>
        </w:rPr>
        <w:t>供应商（单位公章）：</w:t>
      </w:r>
    </w:p>
    <w:p>
      <w:pPr>
        <w:spacing w:line="360" w:lineRule="auto"/>
        <w:rPr>
          <w:color w:val="auto"/>
          <w:sz w:val="24"/>
          <w:szCs w:val="24"/>
          <w:u w:val="single"/>
        </w:rPr>
      </w:pPr>
      <w:r>
        <w:rPr>
          <w:rFonts w:hAnsi="宋体"/>
          <w:color w:val="auto"/>
          <w:sz w:val="24"/>
          <w:szCs w:val="24"/>
        </w:rPr>
        <w:t>法定代表人或授权代表（签字）</w:t>
      </w:r>
      <w:r>
        <w:rPr>
          <w:rFonts w:hAnsi="宋体"/>
          <w:bCs/>
          <w:color w:val="auto"/>
          <w:sz w:val="24"/>
          <w:szCs w:val="24"/>
        </w:rPr>
        <w:t>：</w:t>
      </w:r>
    </w:p>
    <w:p>
      <w:pPr>
        <w:spacing w:line="360" w:lineRule="auto"/>
        <w:rPr>
          <w:b/>
          <w:color w:val="auto"/>
        </w:rPr>
      </w:pPr>
      <w:r>
        <w:rPr>
          <w:rFonts w:hAnsi="宋体"/>
          <w:color w:val="auto"/>
          <w:sz w:val="24"/>
          <w:szCs w:val="24"/>
        </w:rPr>
        <w:t>日期：</w:t>
      </w:r>
      <w:r>
        <w:rPr>
          <w:color w:val="auto"/>
        </w:rPr>
        <w:br w:type="page"/>
      </w:r>
      <w:r>
        <w:rPr>
          <w:rFonts w:hAnsi="宋体"/>
          <w:b/>
          <w:color w:val="auto"/>
        </w:rPr>
        <w:t>附件</w:t>
      </w:r>
      <w:r>
        <w:rPr>
          <w:b/>
          <w:color w:val="auto"/>
        </w:rPr>
        <w:t>1</w:t>
      </w:r>
      <w:r>
        <w:rPr>
          <w:rFonts w:hAnsi="宋体"/>
          <w:b/>
          <w:color w:val="auto"/>
        </w:rPr>
        <w:t>－</w:t>
      </w:r>
      <w:r>
        <w:rPr>
          <w:b/>
          <w:color w:val="auto"/>
        </w:rPr>
        <w:t>3</w:t>
      </w:r>
    </w:p>
    <w:p>
      <w:pPr>
        <w:spacing w:line="360" w:lineRule="auto"/>
        <w:ind w:right="480"/>
        <w:jc w:val="center"/>
        <w:rPr>
          <w:color w:val="auto"/>
        </w:rPr>
      </w:pPr>
      <w:r>
        <w:rPr>
          <w:rFonts w:hAnsi="宋体"/>
          <w:b/>
          <w:color w:val="auto"/>
        </w:rPr>
        <w:t>法定代表人授权书</w:t>
      </w:r>
    </w:p>
    <w:p>
      <w:pPr>
        <w:pStyle w:val="221"/>
        <w:tabs>
          <w:tab w:val="clear" w:pos="1740"/>
        </w:tabs>
        <w:adjustRightInd/>
        <w:spacing w:before="0" w:line="360" w:lineRule="auto"/>
        <w:ind w:left="0" w:firstLine="0"/>
        <w:outlineLvl w:val="9"/>
        <w:rPr>
          <w:rFonts w:ascii="Times New Roman" w:hAnsi="Times New Roman" w:eastAsia="宋体"/>
          <w:color w:val="auto"/>
          <w:sz w:val="24"/>
        </w:rPr>
      </w:pPr>
    </w:p>
    <w:p>
      <w:pPr>
        <w:spacing w:line="360" w:lineRule="auto"/>
        <w:rPr>
          <w:color w:val="auto"/>
          <w:sz w:val="24"/>
          <w:szCs w:val="24"/>
        </w:rPr>
      </w:pPr>
      <w:r>
        <w:rPr>
          <w:rFonts w:hAnsi="宋体"/>
          <w:color w:val="auto"/>
          <w:sz w:val="24"/>
          <w:szCs w:val="24"/>
        </w:rPr>
        <w:t>致：</w:t>
      </w:r>
      <w:r>
        <w:rPr>
          <w:rFonts w:hint="eastAsia" w:hAnsi="宋体"/>
          <w:color w:val="auto"/>
          <w:sz w:val="24"/>
          <w:szCs w:val="24"/>
          <w:u w:val="single"/>
          <w:lang w:eastAsia="zh-CN"/>
        </w:rPr>
        <w:t>四川利阳招投标代理有限公司</w:t>
      </w:r>
      <w:r>
        <w:rPr>
          <w:rFonts w:hAnsi="宋体"/>
          <w:color w:val="auto"/>
          <w:sz w:val="24"/>
          <w:szCs w:val="24"/>
          <w:u w:val="single"/>
        </w:rPr>
        <w:t>（采购代理机构）</w:t>
      </w:r>
    </w:p>
    <w:p>
      <w:pPr>
        <w:pStyle w:val="26"/>
        <w:snapToGrid w:val="0"/>
        <w:spacing w:line="360" w:lineRule="auto"/>
        <w:ind w:left="0" w:leftChars="0" w:firstLine="338" w:firstLineChars="141"/>
        <w:jc w:val="left"/>
        <w:rPr>
          <w:rFonts w:ascii="Times New Roman" w:hAnsi="Times New Roman"/>
          <w:color w:val="auto"/>
          <w:sz w:val="24"/>
          <w:szCs w:val="24"/>
        </w:rPr>
      </w:pPr>
      <w:r>
        <w:rPr>
          <w:rFonts w:hint="eastAsia" w:ascii="Times New Roman" w:hAnsi="宋体"/>
          <w:color w:val="auto"/>
          <w:sz w:val="24"/>
          <w:szCs w:val="24"/>
          <w:u w:val="single"/>
          <w:lang w:val="en-US" w:eastAsia="zh-CN"/>
        </w:rPr>
        <w:t xml:space="preserve">                  （</w:t>
      </w:r>
      <w:r>
        <w:rPr>
          <w:rFonts w:ascii="Times New Roman" w:hAnsi="宋体"/>
          <w:color w:val="auto"/>
          <w:sz w:val="24"/>
          <w:szCs w:val="24"/>
          <w:u w:val="single"/>
        </w:rPr>
        <w:t>供应商全称）</w:t>
      </w:r>
      <w:r>
        <w:rPr>
          <w:rFonts w:ascii="Times New Roman" w:hAnsi="宋体"/>
          <w:color w:val="auto"/>
          <w:sz w:val="24"/>
          <w:szCs w:val="24"/>
        </w:rPr>
        <w:t>法定代表人</w:t>
      </w:r>
      <w:r>
        <w:rPr>
          <w:rFonts w:hint="eastAsia" w:ascii="Times New Roman" w:hAnsi="宋体"/>
          <w:color w:val="auto"/>
          <w:sz w:val="24"/>
          <w:szCs w:val="24"/>
          <w:u w:val="single"/>
          <w:lang w:val="en-US" w:eastAsia="zh-CN"/>
        </w:rPr>
        <w:t xml:space="preserve">         </w:t>
      </w:r>
      <w:r>
        <w:rPr>
          <w:rFonts w:ascii="Times New Roman" w:hAnsi="宋体"/>
          <w:color w:val="auto"/>
          <w:sz w:val="24"/>
          <w:szCs w:val="24"/>
        </w:rPr>
        <w:t>授权</w:t>
      </w:r>
      <w:r>
        <w:rPr>
          <w:rFonts w:hint="eastAsia" w:ascii="Times New Roman" w:hAnsi="宋体"/>
          <w:color w:val="auto"/>
          <w:sz w:val="24"/>
          <w:szCs w:val="24"/>
          <w:u w:val="single"/>
          <w:lang w:val="en-US" w:eastAsia="zh-CN"/>
        </w:rPr>
        <w:t xml:space="preserve">      </w:t>
      </w:r>
      <w:r>
        <w:rPr>
          <w:rFonts w:ascii="Times New Roman" w:hAnsi="宋体"/>
          <w:color w:val="auto"/>
          <w:sz w:val="24"/>
          <w:szCs w:val="24"/>
          <w:u w:val="single"/>
        </w:rPr>
        <w:t>（</w:t>
      </w:r>
      <w:r>
        <w:rPr>
          <w:rFonts w:hint="eastAsia" w:ascii="Times New Roman" w:hAnsi="宋体"/>
          <w:color w:val="auto"/>
          <w:sz w:val="24"/>
          <w:szCs w:val="24"/>
          <w:u w:val="single"/>
        </w:rPr>
        <w:t>被授权人</w:t>
      </w:r>
      <w:r>
        <w:rPr>
          <w:rFonts w:ascii="Times New Roman" w:hAnsi="宋体"/>
          <w:color w:val="auto"/>
          <w:sz w:val="24"/>
          <w:szCs w:val="24"/>
          <w:u w:val="single"/>
        </w:rPr>
        <w:t>姓名）</w:t>
      </w:r>
      <w:r>
        <w:rPr>
          <w:rFonts w:ascii="Times New Roman" w:hAnsi="宋体"/>
          <w:color w:val="auto"/>
          <w:sz w:val="24"/>
          <w:szCs w:val="24"/>
        </w:rPr>
        <w:t>为</w:t>
      </w:r>
      <w:r>
        <w:rPr>
          <w:rFonts w:hint="eastAsia" w:ascii="Times New Roman" w:hAnsi="宋体"/>
          <w:color w:val="auto"/>
          <w:sz w:val="24"/>
          <w:szCs w:val="24"/>
        </w:rPr>
        <w:t>授权代表</w:t>
      </w:r>
      <w:r>
        <w:rPr>
          <w:rFonts w:ascii="Times New Roman" w:hAnsi="宋体"/>
          <w:color w:val="auto"/>
          <w:sz w:val="24"/>
          <w:szCs w:val="24"/>
        </w:rPr>
        <w:t>，代表本公司参加贵司组织的</w:t>
      </w:r>
      <w:r>
        <w:rPr>
          <w:rFonts w:hint="eastAsia" w:ascii="Times New Roman" w:hAnsi="宋体"/>
          <w:color w:val="auto"/>
          <w:sz w:val="24"/>
          <w:szCs w:val="24"/>
          <w:u w:val="single"/>
          <w:lang w:val="en-US" w:eastAsia="zh-CN"/>
        </w:rPr>
        <w:t xml:space="preserve">                   </w:t>
      </w:r>
      <w:r>
        <w:rPr>
          <w:rFonts w:ascii="Times New Roman" w:hAnsi="宋体"/>
          <w:color w:val="auto"/>
          <w:sz w:val="24"/>
          <w:szCs w:val="24"/>
        </w:rPr>
        <w:t>项目（</w:t>
      </w:r>
      <w:r>
        <w:rPr>
          <w:rFonts w:hint="eastAsia" w:ascii="Times New Roman" w:hAnsi="宋体"/>
          <w:color w:val="auto"/>
          <w:sz w:val="24"/>
          <w:szCs w:val="24"/>
        </w:rPr>
        <w:t>项目编号</w:t>
      </w:r>
      <w:r>
        <w:rPr>
          <w:rFonts w:hint="eastAsia" w:ascii="Times New Roman" w:hAnsi="宋体"/>
          <w:color w:val="auto"/>
          <w:sz w:val="24"/>
          <w:szCs w:val="24"/>
          <w:u w:val="single"/>
          <w:lang w:val="en-US" w:eastAsia="zh-CN"/>
        </w:rPr>
        <w:t xml:space="preserve">     </w:t>
      </w:r>
      <w:r>
        <w:rPr>
          <w:rFonts w:ascii="Times New Roman" w:hAnsi="宋体"/>
          <w:color w:val="auto"/>
          <w:sz w:val="24"/>
          <w:szCs w:val="24"/>
        </w:rPr>
        <w:t>）</w:t>
      </w:r>
      <w:r>
        <w:rPr>
          <w:rFonts w:hint="eastAsia" w:ascii="Times New Roman" w:hAnsi="宋体"/>
          <w:color w:val="auto"/>
          <w:sz w:val="24"/>
          <w:szCs w:val="24"/>
        </w:rPr>
        <w:t>采购</w:t>
      </w:r>
      <w:r>
        <w:rPr>
          <w:rFonts w:ascii="Times New Roman" w:hAnsi="宋体"/>
          <w:color w:val="auto"/>
          <w:sz w:val="24"/>
          <w:szCs w:val="24"/>
        </w:rPr>
        <w:t>活动，全权代表本公司处理响应过程的一切事宜，包括但不限于：参与</w:t>
      </w:r>
      <w:r>
        <w:rPr>
          <w:rFonts w:hint="eastAsia" w:ascii="Times New Roman" w:hAnsi="宋体"/>
          <w:color w:val="auto"/>
          <w:sz w:val="24"/>
          <w:szCs w:val="24"/>
        </w:rPr>
        <w:t>谈判</w:t>
      </w:r>
      <w:r>
        <w:rPr>
          <w:rFonts w:ascii="Times New Roman" w:hAnsi="宋体"/>
          <w:color w:val="auto"/>
          <w:sz w:val="24"/>
          <w:szCs w:val="24"/>
        </w:rPr>
        <w:t>、</w:t>
      </w:r>
      <w:r>
        <w:rPr>
          <w:rFonts w:hint="eastAsia" w:ascii="Times New Roman" w:hAnsi="宋体"/>
          <w:color w:val="auto"/>
          <w:sz w:val="24"/>
          <w:szCs w:val="24"/>
        </w:rPr>
        <w:t>报价、签约</w:t>
      </w:r>
      <w:r>
        <w:rPr>
          <w:rFonts w:ascii="Times New Roman" w:hAnsi="宋体"/>
          <w:color w:val="auto"/>
          <w:sz w:val="24"/>
          <w:szCs w:val="24"/>
        </w:rPr>
        <w:t>等。</w:t>
      </w:r>
      <w:r>
        <w:rPr>
          <w:rFonts w:hint="eastAsia" w:ascii="Times New Roman" w:hAnsi="宋体"/>
          <w:color w:val="auto"/>
          <w:sz w:val="24"/>
          <w:szCs w:val="24"/>
        </w:rPr>
        <w:t>授权代表</w:t>
      </w:r>
      <w:r>
        <w:rPr>
          <w:rFonts w:ascii="Times New Roman" w:hAnsi="宋体"/>
          <w:color w:val="auto"/>
          <w:sz w:val="24"/>
          <w:szCs w:val="24"/>
        </w:rPr>
        <w:t>在</w:t>
      </w:r>
      <w:r>
        <w:rPr>
          <w:rFonts w:hint="eastAsia" w:ascii="Times New Roman" w:hAnsi="宋体"/>
          <w:color w:val="auto"/>
          <w:sz w:val="24"/>
          <w:szCs w:val="24"/>
        </w:rPr>
        <w:t>谈判</w:t>
      </w:r>
      <w:r>
        <w:rPr>
          <w:rFonts w:ascii="Times New Roman" w:hAnsi="宋体"/>
          <w:color w:val="auto"/>
          <w:sz w:val="24"/>
          <w:szCs w:val="24"/>
        </w:rPr>
        <w:t>过程中所签署的一切文件和处理与之有关的一切事务，本公司均予以认可并对此承担责任。</w:t>
      </w:r>
      <w:r>
        <w:rPr>
          <w:rFonts w:hint="eastAsia" w:ascii="Times New Roman" w:hAnsi="宋体"/>
          <w:color w:val="auto"/>
          <w:sz w:val="24"/>
          <w:szCs w:val="24"/>
        </w:rPr>
        <w:t>授权代表</w:t>
      </w:r>
      <w:r>
        <w:rPr>
          <w:rFonts w:ascii="Times New Roman" w:hAnsi="宋体"/>
          <w:color w:val="auto"/>
          <w:sz w:val="24"/>
          <w:szCs w:val="24"/>
        </w:rPr>
        <w:t>无转委托权。</w:t>
      </w:r>
    </w:p>
    <w:p>
      <w:pPr>
        <w:pStyle w:val="26"/>
        <w:snapToGrid w:val="0"/>
        <w:spacing w:line="360" w:lineRule="auto"/>
        <w:ind w:firstLine="480" w:firstLineChars="200"/>
        <w:jc w:val="left"/>
        <w:rPr>
          <w:rFonts w:ascii="Times New Roman" w:hAnsi="Times New Roman"/>
          <w:color w:val="auto"/>
          <w:sz w:val="24"/>
          <w:szCs w:val="24"/>
        </w:rPr>
      </w:pPr>
      <w:r>
        <w:rPr>
          <w:rFonts w:ascii="Times New Roman" w:hAnsi="宋体"/>
          <w:color w:val="auto"/>
          <w:sz w:val="24"/>
          <w:szCs w:val="24"/>
        </w:rPr>
        <w:t>特此授权！本授权书自出具之日起生效。</w:t>
      </w:r>
    </w:p>
    <w:p>
      <w:pPr>
        <w:spacing w:line="360" w:lineRule="auto"/>
        <w:rPr>
          <w:color w:val="auto"/>
          <w:sz w:val="24"/>
          <w:szCs w:val="24"/>
        </w:rPr>
      </w:pPr>
    </w:p>
    <w:p>
      <w:pPr>
        <w:spacing w:line="360" w:lineRule="auto"/>
        <w:rPr>
          <w:color w:val="auto"/>
          <w:sz w:val="24"/>
          <w:szCs w:val="24"/>
        </w:rPr>
      </w:pPr>
      <w:r>
        <w:rPr>
          <w:rFonts w:hAnsi="宋体"/>
          <w:color w:val="auto"/>
          <w:sz w:val="24"/>
          <w:szCs w:val="24"/>
        </w:rPr>
        <w:t>法定代表人：</w:t>
      </w:r>
      <w:r>
        <w:rPr>
          <w:rFonts w:hint="eastAsia" w:hAnsi="宋体"/>
          <w:color w:val="auto"/>
          <w:sz w:val="24"/>
          <w:szCs w:val="24"/>
          <w:lang w:val="en-US" w:eastAsia="zh-CN"/>
        </w:rPr>
        <w:t xml:space="preserve">            </w:t>
      </w:r>
      <w:r>
        <w:rPr>
          <w:rFonts w:hAnsi="宋体"/>
          <w:color w:val="auto"/>
          <w:sz w:val="24"/>
          <w:szCs w:val="24"/>
        </w:rPr>
        <w:t>性别：</w:t>
      </w:r>
      <w:r>
        <w:rPr>
          <w:rFonts w:hint="eastAsia" w:hAnsi="宋体"/>
          <w:color w:val="auto"/>
          <w:sz w:val="24"/>
          <w:szCs w:val="24"/>
          <w:lang w:val="en-US" w:eastAsia="zh-CN"/>
        </w:rPr>
        <w:t xml:space="preserve">                </w:t>
      </w:r>
      <w:r>
        <w:rPr>
          <w:rFonts w:hAnsi="宋体"/>
          <w:color w:val="auto"/>
          <w:sz w:val="24"/>
          <w:szCs w:val="24"/>
        </w:rPr>
        <w:t>身份证号：</w:t>
      </w:r>
    </w:p>
    <w:p>
      <w:pPr>
        <w:spacing w:line="360" w:lineRule="auto"/>
        <w:rPr>
          <w:color w:val="auto"/>
          <w:sz w:val="24"/>
          <w:szCs w:val="24"/>
        </w:rPr>
      </w:pPr>
      <w:r>
        <w:rPr>
          <w:rFonts w:hint="eastAsia" w:hAnsi="宋体"/>
          <w:color w:val="auto"/>
          <w:sz w:val="24"/>
          <w:szCs w:val="24"/>
        </w:rPr>
        <w:t>授权代表</w:t>
      </w:r>
      <w:r>
        <w:rPr>
          <w:rFonts w:hAnsi="宋体"/>
          <w:color w:val="auto"/>
          <w:sz w:val="24"/>
          <w:szCs w:val="24"/>
        </w:rPr>
        <w:t>：</w:t>
      </w:r>
      <w:r>
        <w:rPr>
          <w:rFonts w:hint="eastAsia" w:hAnsi="宋体"/>
          <w:color w:val="auto"/>
          <w:sz w:val="24"/>
          <w:szCs w:val="24"/>
          <w:lang w:val="en-US" w:eastAsia="zh-CN"/>
        </w:rPr>
        <w:t xml:space="preserve">              </w:t>
      </w:r>
      <w:r>
        <w:rPr>
          <w:rFonts w:hAnsi="宋体"/>
          <w:color w:val="auto"/>
          <w:sz w:val="24"/>
          <w:szCs w:val="24"/>
        </w:rPr>
        <w:t>性别：</w:t>
      </w:r>
      <w:r>
        <w:rPr>
          <w:rFonts w:hint="eastAsia" w:hAnsi="宋体"/>
          <w:color w:val="auto"/>
          <w:sz w:val="24"/>
          <w:szCs w:val="24"/>
          <w:lang w:val="en-US" w:eastAsia="zh-CN"/>
        </w:rPr>
        <w:t xml:space="preserve">                </w:t>
      </w:r>
      <w:r>
        <w:rPr>
          <w:rFonts w:hAnsi="宋体"/>
          <w:color w:val="auto"/>
          <w:sz w:val="24"/>
          <w:szCs w:val="24"/>
        </w:rPr>
        <w:t>身份证号：</w:t>
      </w:r>
    </w:p>
    <w:p>
      <w:pPr>
        <w:spacing w:line="360" w:lineRule="auto"/>
        <w:rPr>
          <w:color w:val="auto"/>
          <w:sz w:val="24"/>
          <w:szCs w:val="24"/>
        </w:rPr>
      </w:pPr>
      <w:r>
        <w:rPr>
          <w:rFonts w:hAnsi="宋体"/>
          <w:color w:val="auto"/>
          <w:sz w:val="24"/>
          <w:szCs w:val="24"/>
        </w:rPr>
        <w:t>单位：</w:t>
      </w:r>
      <w:r>
        <w:rPr>
          <w:rFonts w:hint="eastAsia" w:hAnsi="宋体"/>
          <w:color w:val="auto"/>
          <w:sz w:val="24"/>
          <w:szCs w:val="24"/>
          <w:lang w:val="en-US" w:eastAsia="zh-CN"/>
        </w:rPr>
        <w:t xml:space="preserve">                  </w:t>
      </w:r>
      <w:r>
        <w:rPr>
          <w:rFonts w:hAnsi="宋体"/>
          <w:color w:val="auto"/>
          <w:sz w:val="24"/>
          <w:szCs w:val="24"/>
        </w:rPr>
        <w:t>部门：</w:t>
      </w:r>
      <w:r>
        <w:rPr>
          <w:rFonts w:hint="eastAsia" w:hAnsi="宋体"/>
          <w:color w:val="auto"/>
          <w:sz w:val="24"/>
          <w:szCs w:val="24"/>
          <w:lang w:val="en-US" w:eastAsia="zh-CN"/>
        </w:rPr>
        <w:t xml:space="preserve">                </w:t>
      </w:r>
      <w:r>
        <w:rPr>
          <w:rFonts w:hAnsi="宋体"/>
          <w:color w:val="auto"/>
          <w:sz w:val="24"/>
          <w:szCs w:val="24"/>
        </w:rPr>
        <w:t>职务：</w:t>
      </w:r>
    </w:p>
    <w:p>
      <w:pPr>
        <w:spacing w:line="360" w:lineRule="auto"/>
        <w:rPr>
          <w:rFonts w:hint="eastAsia" w:hAnsi="宋体"/>
          <w:color w:val="auto"/>
          <w:sz w:val="24"/>
          <w:szCs w:val="24"/>
          <w:lang w:val="en-US" w:eastAsia="zh-CN"/>
        </w:rPr>
      </w:pPr>
      <w:r>
        <w:rPr>
          <w:rFonts w:hAnsi="宋体"/>
          <w:color w:val="auto"/>
          <w:sz w:val="24"/>
          <w:szCs w:val="24"/>
        </w:rPr>
        <w:t>详细通讯地址：</w:t>
      </w:r>
      <w:r>
        <w:rPr>
          <w:rFonts w:hint="eastAsia" w:hAnsi="宋体"/>
          <w:color w:val="auto"/>
          <w:sz w:val="24"/>
          <w:szCs w:val="24"/>
          <w:lang w:val="en-US" w:eastAsia="zh-CN"/>
        </w:rPr>
        <w:t xml:space="preserve">          </w:t>
      </w:r>
    </w:p>
    <w:p>
      <w:pPr>
        <w:spacing w:line="360" w:lineRule="auto"/>
        <w:rPr>
          <w:color w:val="auto"/>
          <w:sz w:val="24"/>
          <w:szCs w:val="24"/>
        </w:rPr>
      </w:pPr>
      <w:r>
        <w:rPr>
          <w:rFonts w:hAnsi="宋体"/>
          <w:color w:val="auto"/>
          <w:sz w:val="24"/>
          <w:szCs w:val="24"/>
        </w:rPr>
        <w:t>邮政编码</w:t>
      </w:r>
      <w:r>
        <w:rPr>
          <w:color w:val="auto"/>
          <w:sz w:val="24"/>
          <w:szCs w:val="24"/>
        </w:rPr>
        <w:t>:</w:t>
      </w:r>
      <w:r>
        <w:rPr>
          <w:rFonts w:hint="eastAsia"/>
          <w:color w:val="auto"/>
          <w:sz w:val="24"/>
          <w:szCs w:val="24"/>
          <w:lang w:val="en-US" w:eastAsia="zh-CN"/>
        </w:rPr>
        <w:t xml:space="preserve">               </w:t>
      </w:r>
      <w:r>
        <w:rPr>
          <w:rFonts w:hAnsi="宋体"/>
          <w:color w:val="auto"/>
          <w:sz w:val="24"/>
          <w:szCs w:val="24"/>
        </w:rPr>
        <w:t>电话：</w:t>
      </w:r>
    </w:p>
    <w:p>
      <w:pPr>
        <w:spacing w:line="360" w:lineRule="auto"/>
        <w:rPr>
          <w:color w:val="auto"/>
          <w:sz w:val="24"/>
          <w:szCs w:val="24"/>
        </w:rPr>
      </w:pPr>
    </w:p>
    <w:p>
      <w:pPr>
        <w:tabs>
          <w:tab w:val="left" w:pos="420"/>
          <w:tab w:val="left" w:pos="1134"/>
        </w:tabs>
        <w:spacing w:line="360" w:lineRule="auto"/>
        <w:rPr>
          <w:b/>
          <w:color w:val="auto"/>
          <w:sz w:val="24"/>
          <w:szCs w:val="24"/>
        </w:rPr>
      </w:pPr>
      <w:r>
        <w:rPr>
          <w:rFonts w:hAnsi="宋体"/>
          <w:b/>
          <w:color w:val="auto"/>
          <w:sz w:val="24"/>
          <w:szCs w:val="24"/>
        </w:rPr>
        <w:t>附：法定代表人</w:t>
      </w:r>
      <w:r>
        <w:rPr>
          <w:rFonts w:hint="eastAsia" w:hAnsi="宋体"/>
          <w:b/>
          <w:color w:val="auto"/>
          <w:sz w:val="24"/>
          <w:szCs w:val="24"/>
        </w:rPr>
        <w:t>和</w:t>
      </w:r>
      <w:r>
        <w:rPr>
          <w:rFonts w:hAnsi="宋体"/>
          <w:b/>
          <w:color w:val="auto"/>
          <w:sz w:val="24"/>
          <w:szCs w:val="24"/>
        </w:rPr>
        <w:t>被授权人</w:t>
      </w:r>
      <w:r>
        <w:rPr>
          <w:b/>
          <w:color w:val="auto"/>
          <w:sz w:val="24"/>
          <w:szCs w:val="24"/>
        </w:rPr>
        <w:t>(</w:t>
      </w:r>
      <w:r>
        <w:rPr>
          <w:rFonts w:hint="eastAsia" w:hAnsi="宋体"/>
          <w:b/>
          <w:color w:val="auto"/>
          <w:sz w:val="24"/>
          <w:szCs w:val="24"/>
        </w:rPr>
        <w:t>授权代表</w:t>
      </w:r>
      <w:r>
        <w:rPr>
          <w:b/>
          <w:color w:val="auto"/>
          <w:sz w:val="24"/>
          <w:szCs w:val="24"/>
        </w:rPr>
        <w:t>)</w:t>
      </w:r>
      <w:r>
        <w:rPr>
          <w:rFonts w:hAnsi="宋体"/>
          <w:b/>
          <w:color w:val="auto"/>
          <w:sz w:val="24"/>
          <w:szCs w:val="24"/>
        </w:rPr>
        <w:t>身份证件复印件。</w:t>
      </w:r>
    </w:p>
    <w:p>
      <w:pPr>
        <w:spacing w:line="360" w:lineRule="auto"/>
        <w:rPr>
          <w:color w:val="auto"/>
          <w:sz w:val="24"/>
          <w:szCs w:val="24"/>
        </w:rPr>
      </w:pPr>
    </w:p>
    <w:p>
      <w:pPr>
        <w:spacing w:line="360" w:lineRule="auto"/>
        <w:rPr>
          <w:color w:val="auto"/>
          <w:sz w:val="24"/>
          <w:szCs w:val="24"/>
        </w:rPr>
      </w:pPr>
      <w:r>
        <w:rPr>
          <w:rFonts w:hAnsi="宋体"/>
          <w:color w:val="auto"/>
          <w:sz w:val="24"/>
          <w:szCs w:val="24"/>
        </w:rPr>
        <w:t>供应商（单位公章）：</w:t>
      </w:r>
    </w:p>
    <w:p>
      <w:pPr>
        <w:spacing w:line="360" w:lineRule="auto"/>
        <w:rPr>
          <w:rFonts w:hAnsi="宋体"/>
          <w:color w:val="auto"/>
          <w:sz w:val="24"/>
          <w:szCs w:val="24"/>
        </w:rPr>
      </w:pPr>
      <w:bookmarkStart w:id="367" w:name="OLE_LINK1"/>
      <w:r>
        <w:rPr>
          <w:rFonts w:hint="eastAsia"/>
          <w:color w:val="auto"/>
          <w:sz w:val="24"/>
        </w:rPr>
        <w:t>法定代表人签字或盖法定代表人名章</w:t>
      </w:r>
      <w:r>
        <w:rPr>
          <w:rFonts w:hAnsi="宋体"/>
          <w:bCs/>
          <w:color w:val="auto"/>
          <w:sz w:val="24"/>
          <w:szCs w:val="24"/>
        </w:rPr>
        <w:t>：</w:t>
      </w:r>
    </w:p>
    <w:bookmarkEnd w:id="367"/>
    <w:p>
      <w:pPr>
        <w:spacing w:line="360" w:lineRule="auto"/>
        <w:rPr>
          <w:color w:val="auto"/>
          <w:sz w:val="24"/>
          <w:szCs w:val="24"/>
        </w:rPr>
      </w:pPr>
      <w:r>
        <w:rPr>
          <w:rFonts w:hAnsi="宋体"/>
          <w:color w:val="auto"/>
          <w:sz w:val="24"/>
          <w:szCs w:val="24"/>
        </w:rPr>
        <w:t>授权代表（签字）</w:t>
      </w:r>
      <w:r>
        <w:rPr>
          <w:rFonts w:hAnsi="宋体"/>
          <w:bCs/>
          <w:color w:val="auto"/>
          <w:sz w:val="24"/>
          <w:szCs w:val="24"/>
        </w:rPr>
        <w:t>：</w:t>
      </w:r>
    </w:p>
    <w:p>
      <w:pPr>
        <w:spacing w:line="360" w:lineRule="auto"/>
        <w:rPr>
          <w:color w:val="auto"/>
          <w:sz w:val="24"/>
          <w:szCs w:val="24"/>
          <w:u w:val="single"/>
        </w:rPr>
      </w:pPr>
      <w:r>
        <w:rPr>
          <w:rFonts w:hAnsi="宋体"/>
          <w:color w:val="auto"/>
          <w:sz w:val="24"/>
          <w:szCs w:val="24"/>
        </w:rPr>
        <w:t>日期：</w:t>
      </w:r>
    </w:p>
    <w:p>
      <w:pPr>
        <w:widowControl/>
        <w:spacing w:line="360" w:lineRule="auto"/>
        <w:jc w:val="left"/>
        <w:rPr>
          <w:color w:val="auto"/>
        </w:rPr>
      </w:pPr>
      <w:r>
        <w:rPr>
          <w:color w:val="auto"/>
        </w:rPr>
        <w:br w:type="page"/>
      </w:r>
    </w:p>
    <w:p>
      <w:pPr>
        <w:spacing w:line="360" w:lineRule="auto"/>
        <w:jc w:val="left"/>
        <w:rPr>
          <w:b/>
          <w:color w:val="auto"/>
        </w:rPr>
      </w:pPr>
      <w:bookmarkStart w:id="368" w:name="_Toc430773939"/>
      <w:bookmarkStart w:id="369" w:name="_Toc209847088"/>
      <w:r>
        <w:rPr>
          <w:rFonts w:hAnsi="宋体"/>
          <w:b/>
          <w:color w:val="auto"/>
        </w:rPr>
        <w:t>附件</w:t>
      </w:r>
      <w:r>
        <w:rPr>
          <w:b/>
          <w:color w:val="auto"/>
        </w:rPr>
        <w:t>1</w:t>
      </w:r>
      <w:r>
        <w:rPr>
          <w:rFonts w:hAnsi="宋体"/>
          <w:b/>
          <w:color w:val="auto"/>
        </w:rPr>
        <w:t>－</w:t>
      </w:r>
      <w:r>
        <w:rPr>
          <w:rFonts w:hint="eastAsia"/>
          <w:b/>
          <w:color w:val="auto"/>
          <w:lang w:val="en-US" w:eastAsia="zh-CN"/>
        </w:rPr>
        <w:t>4</w:t>
      </w:r>
    </w:p>
    <w:p>
      <w:pPr>
        <w:spacing w:line="360" w:lineRule="auto"/>
        <w:jc w:val="center"/>
        <w:rPr>
          <w:b/>
          <w:color w:val="auto"/>
          <w:sz w:val="28"/>
        </w:rPr>
      </w:pPr>
      <w:r>
        <w:rPr>
          <w:rFonts w:hint="eastAsia" w:hAnsi="宋体"/>
          <w:b/>
          <w:color w:val="auto"/>
          <w:sz w:val="28"/>
          <w:szCs w:val="28"/>
        </w:rPr>
        <w:t>承诺函</w:t>
      </w:r>
    </w:p>
    <w:p>
      <w:pPr>
        <w:tabs>
          <w:tab w:val="left" w:pos="7669"/>
        </w:tabs>
        <w:spacing w:line="360" w:lineRule="auto"/>
        <w:rPr>
          <w:rFonts w:hAnsi="宋体"/>
          <w:color w:val="auto"/>
          <w:sz w:val="24"/>
          <w:szCs w:val="24"/>
          <w:u w:val="single"/>
        </w:rPr>
      </w:pPr>
      <w:r>
        <w:rPr>
          <w:rFonts w:hint="eastAsia" w:hAnsi="宋体"/>
          <w:color w:val="auto"/>
          <w:sz w:val="24"/>
          <w:szCs w:val="24"/>
        </w:rPr>
        <w:t>致：</w:t>
      </w:r>
      <w:r>
        <w:rPr>
          <w:rFonts w:hint="eastAsia" w:hAnsi="宋体"/>
          <w:color w:val="auto"/>
          <w:sz w:val="24"/>
          <w:szCs w:val="24"/>
          <w:u w:val="single"/>
          <w:lang w:eastAsia="zh-CN"/>
        </w:rPr>
        <w:t>四川利阳招投标代理有限公司</w:t>
      </w:r>
      <w:r>
        <w:rPr>
          <w:rFonts w:hint="eastAsia" w:hAnsi="宋体"/>
          <w:color w:val="auto"/>
          <w:sz w:val="24"/>
          <w:szCs w:val="24"/>
          <w:u w:val="single"/>
        </w:rPr>
        <w:t>（采购代理机构）</w:t>
      </w:r>
    </w:p>
    <w:p>
      <w:pPr>
        <w:tabs>
          <w:tab w:val="left" w:pos="7669"/>
        </w:tabs>
        <w:spacing w:line="360" w:lineRule="auto"/>
        <w:ind w:firstLine="480" w:firstLineChars="200"/>
        <w:rPr>
          <w:rFonts w:hAnsi="宋体"/>
          <w:color w:val="auto"/>
          <w:sz w:val="24"/>
          <w:szCs w:val="24"/>
        </w:rPr>
      </w:pPr>
      <w:r>
        <w:rPr>
          <w:rFonts w:hint="eastAsia" w:hAnsi="宋体"/>
          <w:color w:val="auto"/>
          <w:sz w:val="24"/>
          <w:szCs w:val="24"/>
        </w:rPr>
        <w:t>我公司作为本次采购项目的供应商，根据谈判文件要求，现郑重承诺如下：</w:t>
      </w:r>
    </w:p>
    <w:p>
      <w:pPr>
        <w:tabs>
          <w:tab w:val="left" w:pos="7669"/>
        </w:tabs>
        <w:spacing w:line="360" w:lineRule="auto"/>
        <w:ind w:firstLine="480" w:firstLineChars="200"/>
        <w:rPr>
          <w:rFonts w:hAnsi="宋体"/>
          <w:color w:val="auto"/>
          <w:sz w:val="24"/>
          <w:szCs w:val="24"/>
        </w:rPr>
      </w:pPr>
      <w:r>
        <w:rPr>
          <w:rFonts w:hint="eastAsia" w:hAnsi="宋体"/>
          <w:color w:val="auto"/>
          <w:sz w:val="24"/>
          <w:szCs w:val="24"/>
        </w:rPr>
        <w:t>一、具备《中华人民共和国政府采购法》第二十二条第一款和本项目规定的条件：</w:t>
      </w:r>
    </w:p>
    <w:p>
      <w:pPr>
        <w:tabs>
          <w:tab w:val="left" w:pos="7669"/>
        </w:tabs>
        <w:spacing w:line="360" w:lineRule="auto"/>
        <w:ind w:firstLine="480" w:firstLineChars="200"/>
        <w:rPr>
          <w:rFonts w:hAnsi="宋体"/>
          <w:color w:val="auto"/>
          <w:sz w:val="24"/>
          <w:szCs w:val="24"/>
        </w:rPr>
      </w:pPr>
      <w:r>
        <w:rPr>
          <w:rFonts w:hint="eastAsia" w:hAnsi="宋体"/>
          <w:color w:val="auto"/>
          <w:sz w:val="24"/>
          <w:szCs w:val="24"/>
        </w:rPr>
        <w:t xml:space="preserve">（1）具有独立承担民事责任的能力； </w:t>
      </w:r>
    </w:p>
    <w:p>
      <w:pPr>
        <w:tabs>
          <w:tab w:val="left" w:pos="7669"/>
        </w:tabs>
        <w:spacing w:line="360" w:lineRule="auto"/>
        <w:ind w:firstLine="480" w:firstLineChars="200"/>
        <w:rPr>
          <w:rFonts w:hAnsi="宋体"/>
          <w:color w:val="auto"/>
          <w:sz w:val="24"/>
          <w:szCs w:val="24"/>
        </w:rPr>
      </w:pPr>
      <w:r>
        <w:rPr>
          <w:rFonts w:hint="eastAsia" w:hAnsi="宋体"/>
          <w:color w:val="auto"/>
          <w:sz w:val="24"/>
          <w:szCs w:val="24"/>
        </w:rPr>
        <w:t xml:space="preserve">（2）具有良好的商业信誉和健全的财务会计制度； </w:t>
      </w:r>
    </w:p>
    <w:p>
      <w:pPr>
        <w:tabs>
          <w:tab w:val="left" w:pos="7669"/>
        </w:tabs>
        <w:spacing w:line="360" w:lineRule="auto"/>
        <w:ind w:firstLine="480" w:firstLineChars="200"/>
        <w:rPr>
          <w:rFonts w:hAnsi="宋体"/>
          <w:color w:val="auto"/>
          <w:sz w:val="24"/>
          <w:szCs w:val="24"/>
        </w:rPr>
      </w:pPr>
      <w:r>
        <w:rPr>
          <w:rFonts w:hint="eastAsia" w:hAnsi="宋体"/>
          <w:color w:val="auto"/>
          <w:sz w:val="24"/>
          <w:szCs w:val="24"/>
        </w:rPr>
        <w:t xml:space="preserve">（3）具有履行合同所必需的设备和专业技术能力； </w:t>
      </w:r>
    </w:p>
    <w:p>
      <w:pPr>
        <w:tabs>
          <w:tab w:val="left" w:pos="7669"/>
        </w:tabs>
        <w:spacing w:line="360" w:lineRule="auto"/>
        <w:ind w:firstLine="480" w:firstLineChars="200"/>
        <w:rPr>
          <w:rFonts w:hAnsi="宋体"/>
          <w:color w:val="auto"/>
          <w:sz w:val="24"/>
          <w:szCs w:val="24"/>
        </w:rPr>
      </w:pPr>
      <w:r>
        <w:rPr>
          <w:rFonts w:hint="eastAsia" w:hAnsi="宋体"/>
          <w:color w:val="auto"/>
          <w:sz w:val="24"/>
          <w:szCs w:val="24"/>
        </w:rPr>
        <w:t xml:space="preserve">（4）有依法缴纳税收和社会保障资金的良好记录； </w:t>
      </w:r>
    </w:p>
    <w:p>
      <w:pPr>
        <w:tabs>
          <w:tab w:val="left" w:pos="7669"/>
        </w:tabs>
        <w:spacing w:line="360" w:lineRule="auto"/>
        <w:ind w:firstLine="480" w:firstLineChars="200"/>
        <w:rPr>
          <w:rFonts w:hAnsi="宋体"/>
          <w:color w:val="auto"/>
          <w:sz w:val="24"/>
          <w:szCs w:val="24"/>
        </w:rPr>
      </w:pPr>
      <w:r>
        <w:rPr>
          <w:rFonts w:hint="eastAsia" w:hAnsi="宋体"/>
          <w:color w:val="auto"/>
          <w:sz w:val="24"/>
          <w:szCs w:val="24"/>
        </w:rPr>
        <w:t>（5）参加政府采购活动前三年内，在经营活动中没有重大违法记录；</w:t>
      </w:r>
    </w:p>
    <w:p>
      <w:pPr>
        <w:tabs>
          <w:tab w:val="left" w:pos="7669"/>
        </w:tabs>
        <w:spacing w:line="360" w:lineRule="auto"/>
        <w:ind w:firstLine="480" w:firstLineChars="200"/>
        <w:rPr>
          <w:rFonts w:hAnsi="宋体"/>
          <w:color w:val="auto"/>
          <w:sz w:val="24"/>
          <w:szCs w:val="24"/>
        </w:rPr>
      </w:pPr>
      <w:r>
        <w:rPr>
          <w:rFonts w:hint="eastAsia" w:hAnsi="宋体"/>
          <w:color w:val="auto"/>
          <w:sz w:val="24"/>
          <w:szCs w:val="24"/>
        </w:rPr>
        <w:t>（6）法律、行政法规规定的其他条件；</w:t>
      </w:r>
    </w:p>
    <w:p>
      <w:pPr>
        <w:tabs>
          <w:tab w:val="left" w:pos="7669"/>
        </w:tabs>
        <w:spacing w:line="360" w:lineRule="auto"/>
        <w:ind w:firstLine="480" w:firstLineChars="200"/>
        <w:rPr>
          <w:rFonts w:hAnsi="宋体"/>
          <w:color w:val="auto"/>
          <w:sz w:val="24"/>
          <w:szCs w:val="24"/>
        </w:rPr>
      </w:pPr>
      <w:r>
        <w:rPr>
          <w:rFonts w:hint="eastAsia" w:hAnsi="宋体"/>
          <w:color w:val="auto"/>
          <w:sz w:val="24"/>
          <w:szCs w:val="24"/>
        </w:rPr>
        <w:t>（7）根据采购项目提出的特殊条件。</w:t>
      </w:r>
    </w:p>
    <w:p>
      <w:pPr>
        <w:tabs>
          <w:tab w:val="left" w:pos="7669"/>
        </w:tabs>
        <w:spacing w:line="360" w:lineRule="auto"/>
        <w:ind w:firstLine="480" w:firstLineChars="200"/>
        <w:rPr>
          <w:rFonts w:hAnsi="宋体"/>
          <w:color w:val="auto"/>
          <w:sz w:val="24"/>
          <w:szCs w:val="24"/>
        </w:rPr>
      </w:pPr>
      <w:r>
        <w:rPr>
          <w:rFonts w:hint="eastAsia" w:hAnsi="宋体"/>
          <w:color w:val="auto"/>
          <w:sz w:val="24"/>
          <w:szCs w:val="24"/>
        </w:rPr>
        <w:t>二、完全接受和满足本项目谈判文件中规定的实质性要求，如对谈判文件有异议，已经在谈判截止时间届满前依法进行维权救济，不存在对谈判文件有异议的同时又参加谈判以求侥幸成交或者为实现其他非法目的的行为。</w:t>
      </w:r>
    </w:p>
    <w:p>
      <w:pPr>
        <w:tabs>
          <w:tab w:val="left" w:pos="7669"/>
        </w:tabs>
        <w:spacing w:line="360" w:lineRule="auto"/>
        <w:ind w:firstLine="480" w:firstLineChars="200"/>
        <w:rPr>
          <w:rFonts w:hAnsi="宋体"/>
          <w:color w:val="auto"/>
          <w:sz w:val="24"/>
          <w:szCs w:val="24"/>
        </w:rPr>
      </w:pPr>
      <w:r>
        <w:rPr>
          <w:rFonts w:hint="eastAsia" w:hAnsi="宋体"/>
          <w:color w:val="auto"/>
          <w:sz w:val="24"/>
          <w:szCs w:val="24"/>
        </w:rPr>
        <w:t>三、参加本次谈判采购活动，不存在与单位负责人为同一人或者存在直接控股、管理关系的其他供应商参与同一合同项下的政府采购活动的行为。我方未参与本采购项目前期咨询论证，不属于禁止参加本项目谈判的供应商。</w:t>
      </w:r>
    </w:p>
    <w:p>
      <w:pPr>
        <w:tabs>
          <w:tab w:val="left" w:pos="7669"/>
        </w:tabs>
        <w:spacing w:line="360" w:lineRule="auto"/>
        <w:ind w:firstLine="480" w:firstLineChars="200"/>
        <w:rPr>
          <w:rFonts w:hAnsi="宋体"/>
          <w:color w:val="auto"/>
          <w:sz w:val="24"/>
          <w:szCs w:val="24"/>
        </w:rPr>
      </w:pPr>
      <w:r>
        <w:rPr>
          <w:rFonts w:hint="eastAsia" w:hAnsi="宋体"/>
          <w:color w:val="auto"/>
          <w:sz w:val="24"/>
          <w:szCs w:val="24"/>
        </w:rPr>
        <w:t>四、参加本次谈判采购活动，不存在和其他供应商在同一合同项下的采购项目中，同时委托同一个自然人、同一家庭的人员、同一单位的人员作为代理人的行为。</w:t>
      </w:r>
    </w:p>
    <w:p>
      <w:pPr>
        <w:tabs>
          <w:tab w:val="left" w:pos="7669"/>
        </w:tabs>
        <w:spacing w:line="360" w:lineRule="auto"/>
        <w:ind w:firstLine="480" w:firstLineChars="200"/>
        <w:rPr>
          <w:rFonts w:hAnsi="宋体"/>
          <w:color w:val="auto"/>
          <w:sz w:val="24"/>
          <w:szCs w:val="24"/>
        </w:rPr>
      </w:pPr>
      <w:r>
        <w:rPr>
          <w:rFonts w:hint="eastAsia" w:hAnsi="宋体"/>
          <w:color w:val="auto"/>
          <w:sz w:val="24"/>
          <w:szCs w:val="24"/>
        </w:rPr>
        <w:t>五、我公司未被对列入按财库[2016]125号规定的失信被执行人、重大税收违法案件当事人名单、政府采购严重违法失信行为记录名单及其他不符合《中华人民共和国政府采购法》第二十二条规定条件的供应商。</w:t>
      </w:r>
    </w:p>
    <w:p>
      <w:pPr>
        <w:tabs>
          <w:tab w:val="left" w:pos="7669"/>
        </w:tabs>
        <w:spacing w:line="360" w:lineRule="auto"/>
        <w:ind w:firstLine="480" w:firstLineChars="200"/>
        <w:rPr>
          <w:rFonts w:hAnsi="宋体"/>
          <w:color w:val="auto"/>
          <w:sz w:val="24"/>
          <w:szCs w:val="24"/>
        </w:rPr>
      </w:pPr>
      <w:r>
        <w:rPr>
          <w:rFonts w:hint="eastAsia" w:hAnsi="宋体"/>
          <w:color w:val="auto"/>
          <w:sz w:val="24"/>
          <w:szCs w:val="24"/>
        </w:rPr>
        <w:t>六、响应文件中提供的能够给予我公司带来优惠、好处的任何材料资料和技术、服务、商务等响应承诺情况都是真实的、有效的、合法的。</w:t>
      </w:r>
    </w:p>
    <w:p>
      <w:pPr>
        <w:tabs>
          <w:tab w:val="left" w:pos="7669"/>
        </w:tabs>
        <w:spacing w:line="360" w:lineRule="auto"/>
        <w:ind w:firstLine="480" w:firstLineChars="200"/>
        <w:rPr>
          <w:rFonts w:hAnsi="宋体"/>
          <w:color w:val="auto"/>
          <w:sz w:val="24"/>
          <w:szCs w:val="24"/>
        </w:rPr>
      </w:pPr>
      <w:r>
        <w:rPr>
          <w:rFonts w:hint="eastAsia" w:hAnsi="宋体"/>
          <w:color w:val="auto"/>
          <w:sz w:val="24"/>
          <w:szCs w:val="24"/>
        </w:rPr>
        <w:t>七、如本项目评审过程中需要提供样品，则我公司提供的样品即为成交后将要提供的成交产品，我公司对提供样品的性能和质量负责，因样品存在缺陷或者不符合谈判文件要求导致未能成交的，我公司愿意承担相应不利后果。</w:t>
      </w:r>
    </w:p>
    <w:p>
      <w:pPr>
        <w:tabs>
          <w:tab w:val="left" w:pos="7669"/>
        </w:tabs>
        <w:spacing w:line="360" w:lineRule="auto"/>
        <w:ind w:firstLine="480" w:firstLineChars="200"/>
        <w:rPr>
          <w:rFonts w:hAnsi="宋体"/>
          <w:color w:val="auto"/>
          <w:sz w:val="24"/>
          <w:szCs w:val="24"/>
        </w:rPr>
      </w:pPr>
      <w:r>
        <w:rPr>
          <w:rFonts w:hint="eastAsia" w:hAnsi="宋体"/>
          <w:color w:val="auto"/>
          <w:sz w:val="24"/>
          <w:szCs w:val="24"/>
        </w:rPr>
        <w:t>八、我司完全同意谈判文件中关于知识产权的说明，承诺由此造成的纠纷由我单位全权负责。</w:t>
      </w:r>
    </w:p>
    <w:p>
      <w:pPr>
        <w:spacing w:line="360" w:lineRule="auto"/>
        <w:rPr>
          <w:rFonts w:hAnsi="宋体"/>
          <w:color w:val="auto"/>
          <w:sz w:val="24"/>
          <w:szCs w:val="24"/>
        </w:rPr>
      </w:pPr>
      <w:r>
        <w:rPr>
          <w:rFonts w:hint="eastAsia" w:hAnsi="宋体"/>
          <w:color w:val="auto"/>
          <w:sz w:val="24"/>
          <w:szCs w:val="24"/>
        </w:rPr>
        <w:t>本公司对上述承诺的内容事项真实性负责。如经查实上述承诺的内容事项存在虚假，我公司愿意接受以提供虚假材料谋取成交追究法律责任。</w:t>
      </w:r>
    </w:p>
    <w:p>
      <w:pPr>
        <w:spacing w:line="360" w:lineRule="auto"/>
        <w:rPr>
          <w:rFonts w:hAnsi="宋体"/>
          <w:color w:val="auto"/>
          <w:sz w:val="24"/>
          <w:szCs w:val="24"/>
        </w:rPr>
      </w:pPr>
    </w:p>
    <w:p>
      <w:pPr>
        <w:pStyle w:val="43"/>
        <w:spacing w:before="0" w:beforeAutospacing="0" w:after="0" w:afterAutospacing="0" w:line="360" w:lineRule="auto"/>
        <w:ind w:firstLine="470" w:firstLineChars="196"/>
        <w:rPr>
          <w:color w:val="auto"/>
          <w:kern w:val="2"/>
          <w:sz w:val="24"/>
          <w:szCs w:val="24"/>
        </w:rPr>
      </w:pPr>
      <w:r>
        <w:rPr>
          <w:rFonts w:hint="eastAsia"/>
          <w:color w:val="auto"/>
          <w:kern w:val="2"/>
          <w:sz w:val="24"/>
          <w:szCs w:val="24"/>
        </w:rPr>
        <w:t>供应商名称：        （盖章）</w:t>
      </w:r>
    </w:p>
    <w:p>
      <w:pPr>
        <w:pStyle w:val="43"/>
        <w:spacing w:before="0" w:beforeAutospacing="0" w:after="0" w:afterAutospacing="0" w:line="360" w:lineRule="auto"/>
        <w:ind w:firstLine="470" w:firstLineChars="196"/>
        <w:rPr>
          <w:color w:val="auto"/>
          <w:kern w:val="2"/>
          <w:sz w:val="24"/>
          <w:szCs w:val="24"/>
        </w:rPr>
      </w:pPr>
      <w:r>
        <w:rPr>
          <w:rFonts w:hint="eastAsia"/>
          <w:color w:val="auto"/>
          <w:kern w:val="2"/>
          <w:sz w:val="24"/>
          <w:szCs w:val="24"/>
        </w:rPr>
        <w:t>法定代表人或授权代表（签字）：</w:t>
      </w:r>
    </w:p>
    <w:p>
      <w:pPr>
        <w:pStyle w:val="43"/>
        <w:spacing w:before="0" w:beforeAutospacing="0" w:after="0" w:afterAutospacing="0" w:line="360" w:lineRule="auto"/>
        <w:ind w:firstLine="470" w:firstLineChars="196"/>
        <w:rPr>
          <w:color w:val="auto"/>
          <w:kern w:val="2"/>
          <w:sz w:val="24"/>
          <w:szCs w:val="24"/>
        </w:rPr>
      </w:pPr>
      <w:r>
        <w:rPr>
          <w:rFonts w:hint="eastAsia"/>
          <w:color w:val="auto"/>
          <w:kern w:val="2"/>
          <w:sz w:val="24"/>
          <w:szCs w:val="24"/>
        </w:rPr>
        <w:t>日 期：</w:t>
      </w:r>
    </w:p>
    <w:p>
      <w:pPr>
        <w:widowControl/>
        <w:jc w:val="left"/>
        <w:rPr>
          <w:rFonts w:hAnsi="宋体"/>
          <w:color w:val="auto"/>
          <w:kern w:val="2"/>
          <w:sz w:val="24"/>
          <w:szCs w:val="24"/>
        </w:rPr>
      </w:pPr>
      <w:r>
        <w:rPr>
          <w:rFonts w:hAnsi="宋体"/>
          <w:color w:val="auto"/>
          <w:kern w:val="2"/>
          <w:sz w:val="24"/>
          <w:szCs w:val="24"/>
        </w:rPr>
        <w:br w:type="page"/>
      </w:r>
    </w:p>
    <w:p>
      <w:pPr>
        <w:spacing w:line="360" w:lineRule="auto"/>
        <w:ind w:right="480"/>
        <w:rPr>
          <w:b/>
          <w:color w:val="auto"/>
        </w:rPr>
      </w:pPr>
      <w:r>
        <w:rPr>
          <w:rFonts w:hAnsi="宋体"/>
          <w:b/>
          <w:color w:val="auto"/>
        </w:rPr>
        <w:t>附件</w:t>
      </w:r>
      <w:r>
        <w:rPr>
          <w:b/>
          <w:color w:val="auto"/>
        </w:rPr>
        <w:t>1-</w:t>
      </w:r>
      <w:r>
        <w:rPr>
          <w:rFonts w:hint="eastAsia"/>
          <w:b/>
          <w:color w:val="auto"/>
          <w:lang w:val="en-US" w:eastAsia="zh-CN"/>
        </w:rPr>
        <w:t>5</w:t>
      </w:r>
    </w:p>
    <w:p>
      <w:pPr>
        <w:pStyle w:val="4"/>
        <w:spacing w:before="0" w:after="0"/>
        <w:rPr>
          <w:rFonts w:ascii="宋体" w:hAnsi="宋体" w:eastAsia="宋体"/>
          <w:color w:val="auto"/>
        </w:rPr>
      </w:pPr>
      <w:r>
        <w:rPr>
          <w:rFonts w:hint="eastAsia" w:ascii="宋体" w:hAnsi="宋体" w:eastAsia="宋体"/>
          <w:color w:val="auto"/>
        </w:rPr>
        <w:t>近三年在经营活动中没有重大违法记录的书面声明</w:t>
      </w:r>
    </w:p>
    <w:p>
      <w:pPr>
        <w:spacing w:line="360" w:lineRule="auto"/>
        <w:rPr>
          <w:rFonts w:hAnsi="宋体" w:cs="宋体"/>
          <w:color w:val="auto"/>
        </w:rPr>
      </w:pPr>
    </w:p>
    <w:p>
      <w:pPr>
        <w:adjustRightInd w:val="0"/>
        <w:snapToGrid w:val="0"/>
        <w:spacing w:line="360" w:lineRule="auto"/>
        <w:ind w:left="480" w:hanging="480" w:hangingChars="200"/>
        <w:rPr>
          <w:rFonts w:hAnsi="宋体" w:cs="宋体"/>
          <w:color w:val="auto"/>
          <w:sz w:val="24"/>
          <w:u w:val="single"/>
        </w:rPr>
      </w:pPr>
      <w:r>
        <w:rPr>
          <w:rFonts w:hint="eastAsia" w:hAnsi="宋体" w:cs="宋体"/>
          <w:color w:val="auto"/>
          <w:sz w:val="24"/>
        </w:rPr>
        <w:t>致：</w:t>
      </w:r>
      <w:r>
        <w:rPr>
          <w:rFonts w:hint="eastAsia" w:hAnsi="宋体" w:cs="宋体"/>
          <w:color w:val="auto"/>
          <w:sz w:val="24"/>
          <w:u w:val="single"/>
          <w:lang w:eastAsia="zh-CN"/>
        </w:rPr>
        <w:t>四川利阳招投标代理有限公司</w:t>
      </w:r>
      <w:r>
        <w:rPr>
          <w:rFonts w:hint="eastAsia" w:hAnsi="宋体"/>
          <w:color w:val="auto"/>
          <w:sz w:val="24"/>
          <w:szCs w:val="24"/>
          <w:u w:val="single"/>
        </w:rPr>
        <w:t>（采购代理机构）</w:t>
      </w:r>
    </w:p>
    <w:p>
      <w:pPr>
        <w:adjustRightInd w:val="0"/>
        <w:snapToGrid w:val="0"/>
        <w:spacing w:line="360" w:lineRule="auto"/>
        <w:ind w:left="480" w:hanging="480" w:hangingChars="200"/>
        <w:rPr>
          <w:rFonts w:hAnsi="宋体" w:cs="宋体"/>
          <w:color w:val="auto"/>
          <w:sz w:val="24"/>
        </w:rPr>
      </w:pPr>
    </w:p>
    <w:p>
      <w:pPr>
        <w:spacing w:line="360" w:lineRule="auto"/>
        <w:ind w:firstLine="480" w:firstLineChars="200"/>
        <w:rPr>
          <w:rFonts w:hAnsi="宋体" w:cs="宋体"/>
          <w:color w:val="auto"/>
          <w:sz w:val="24"/>
        </w:rPr>
      </w:pPr>
      <w:r>
        <w:rPr>
          <w:rFonts w:hint="eastAsia" w:hAnsi="宋体" w:cs="宋体"/>
          <w:color w:val="auto"/>
          <w:sz w:val="24"/>
        </w:rPr>
        <w:t>本公司（公司名称）参加（项目名称）的谈判活动，现承诺我公司在参加政府采购活动前三年内，在经营活动中没有重大违法记录。</w:t>
      </w:r>
    </w:p>
    <w:p>
      <w:pPr>
        <w:spacing w:line="360" w:lineRule="auto"/>
        <w:ind w:firstLine="480" w:firstLineChars="200"/>
        <w:rPr>
          <w:rFonts w:hAnsi="宋体" w:cs="宋体"/>
          <w:color w:val="auto"/>
          <w:sz w:val="24"/>
        </w:rPr>
      </w:pPr>
      <w:r>
        <w:rPr>
          <w:rFonts w:hint="eastAsia" w:hAnsi="宋体" w:cs="宋体"/>
          <w:color w:val="auto"/>
          <w:sz w:val="24"/>
        </w:rPr>
        <w:t>如违反以上承诺，本公司愿承担一切法律责任。</w:t>
      </w:r>
    </w:p>
    <w:p>
      <w:pPr>
        <w:spacing w:line="360" w:lineRule="auto"/>
        <w:rPr>
          <w:rFonts w:hAnsi="宋体" w:cs="宋体"/>
          <w:color w:val="auto"/>
        </w:rPr>
      </w:pPr>
    </w:p>
    <w:p>
      <w:pPr>
        <w:spacing w:line="360" w:lineRule="auto"/>
        <w:rPr>
          <w:rFonts w:hAnsi="宋体" w:cs="宋体"/>
          <w:color w:val="auto"/>
        </w:rPr>
      </w:pPr>
    </w:p>
    <w:p>
      <w:pPr>
        <w:spacing w:line="360" w:lineRule="auto"/>
        <w:rPr>
          <w:rFonts w:hAnsi="宋体" w:cs="宋体"/>
          <w:color w:val="auto"/>
        </w:rPr>
      </w:pPr>
    </w:p>
    <w:p>
      <w:pPr>
        <w:spacing w:line="360" w:lineRule="auto"/>
        <w:rPr>
          <w:rFonts w:hAnsi="宋体" w:cs="宋体"/>
          <w:color w:val="auto"/>
        </w:rPr>
      </w:pPr>
    </w:p>
    <w:p>
      <w:pPr>
        <w:adjustRightInd w:val="0"/>
        <w:snapToGrid w:val="0"/>
        <w:spacing w:line="360" w:lineRule="auto"/>
        <w:rPr>
          <w:rFonts w:hAnsi="宋体" w:cs="宋体"/>
          <w:color w:val="auto"/>
          <w:sz w:val="24"/>
        </w:rPr>
      </w:pPr>
      <w:r>
        <w:rPr>
          <w:rFonts w:hint="eastAsia" w:hAnsi="宋体" w:cs="宋体"/>
          <w:color w:val="auto"/>
          <w:sz w:val="24"/>
        </w:rPr>
        <w:t>供应商名称：        （盖章）</w:t>
      </w:r>
    </w:p>
    <w:p>
      <w:pPr>
        <w:adjustRightInd w:val="0"/>
        <w:snapToGrid w:val="0"/>
        <w:spacing w:line="360" w:lineRule="auto"/>
        <w:rPr>
          <w:rFonts w:hAnsi="宋体" w:cs="宋体"/>
          <w:color w:val="auto"/>
          <w:sz w:val="24"/>
        </w:rPr>
      </w:pPr>
      <w:r>
        <w:rPr>
          <w:rFonts w:hint="eastAsia" w:hAnsi="宋体" w:cs="宋体"/>
          <w:color w:val="auto"/>
          <w:sz w:val="24"/>
        </w:rPr>
        <w:t>法定代表人或授权代表（签字）：</w:t>
      </w:r>
    </w:p>
    <w:p>
      <w:pPr>
        <w:adjustRightInd w:val="0"/>
        <w:snapToGrid w:val="0"/>
        <w:spacing w:line="360" w:lineRule="auto"/>
        <w:rPr>
          <w:rFonts w:hAnsi="宋体"/>
          <w:color w:val="auto"/>
        </w:rPr>
      </w:pPr>
      <w:r>
        <w:rPr>
          <w:rFonts w:hint="eastAsia" w:hAnsi="宋体" w:cs="宋体"/>
          <w:color w:val="auto"/>
          <w:sz w:val="24"/>
        </w:rPr>
        <w:t>日期：</w:t>
      </w:r>
    </w:p>
    <w:p>
      <w:pPr>
        <w:widowControl/>
        <w:spacing w:line="360" w:lineRule="auto"/>
        <w:jc w:val="left"/>
        <w:rPr>
          <w:b/>
          <w:color w:val="auto"/>
        </w:rPr>
      </w:pPr>
      <w:r>
        <w:rPr>
          <w:b/>
          <w:color w:val="auto"/>
        </w:rPr>
        <w:br w:type="page"/>
      </w:r>
    </w:p>
    <w:p>
      <w:pPr>
        <w:spacing w:line="360" w:lineRule="auto"/>
        <w:ind w:right="480"/>
        <w:rPr>
          <w:b/>
          <w:color w:val="auto"/>
        </w:rPr>
      </w:pPr>
      <w:r>
        <w:rPr>
          <w:rFonts w:hAnsi="宋体"/>
          <w:b/>
          <w:color w:val="auto"/>
        </w:rPr>
        <w:t>附件</w:t>
      </w:r>
      <w:r>
        <w:rPr>
          <w:b/>
          <w:color w:val="auto"/>
        </w:rPr>
        <w:t>1-</w:t>
      </w:r>
      <w:r>
        <w:rPr>
          <w:rFonts w:hint="eastAsia"/>
          <w:b/>
          <w:color w:val="auto"/>
          <w:lang w:val="en-US" w:eastAsia="zh-CN"/>
        </w:rPr>
        <w:t>6</w:t>
      </w:r>
    </w:p>
    <w:p>
      <w:pPr>
        <w:spacing w:line="360" w:lineRule="auto"/>
        <w:jc w:val="center"/>
        <w:rPr>
          <w:rFonts w:hAnsi="宋体" w:eastAsia="黑体"/>
          <w:b/>
          <w:color w:val="auto"/>
          <w:sz w:val="30"/>
          <w:szCs w:val="30"/>
        </w:rPr>
      </w:pPr>
      <w:r>
        <w:rPr>
          <w:rFonts w:hint="eastAsia" w:hAnsi="宋体"/>
          <w:b/>
          <w:color w:val="auto"/>
          <w:sz w:val="28"/>
          <w:szCs w:val="28"/>
        </w:rPr>
        <w:t>具有良好商业信誉及健全的财务制度的承诺函</w:t>
      </w:r>
    </w:p>
    <w:p>
      <w:pPr>
        <w:spacing w:line="360" w:lineRule="auto"/>
        <w:rPr>
          <w:rFonts w:hAnsi="宋体" w:eastAsia="黑体"/>
          <w:b/>
          <w:color w:val="auto"/>
          <w:sz w:val="30"/>
          <w:szCs w:val="30"/>
        </w:rPr>
      </w:pPr>
    </w:p>
    <w:p>
      <w:pPr>
        <w:spacing w:line="360" w:lineRule="auto"/>
        <w:rPr>
          <w:rFonts w:hAnsi="宋体" w:eastAsia="黑体"/>
          <w:b/>
          <w:color w:val="auto"/>
          <w:sz w:val="30"/>
          <w:szCs w:val="30"/>
        </w:rPr>
      </w:pPr>
    </w:p>
    <w:p>
      <w:pPr>
        <w:spacing w:line="360" w:lineRule="auto"/>
        <w:rPr>
          <w:rFonts w:hAnsi="宋体" w:eastAsia="黑体"/>
          <w:b/>
          <w:color w:val="auto"/>
          <w:sz w:val="30"/>
          <w:szCs w:val="30"/>
        </w:rPr>
      </w:pPr>
    </w:p>
    <w:p>
      <w:pPr>
        <w:spacing w:line="360" w:lineRule="auto"/>
        <w:rPr>
          <w:rFonts w:hAnsi="宋体"/>
          <w:color w:val="auto"/>
          <w:sz w:val="24"/>
          <w:szCs w:val="24"/>
        </w:rPr>
      </w:pPr>
      <w:r>
        <w:rPr>
          <w:rFonts w:hint="eastAsia" w:hAnsi="宋体"/>
          <w:color w:val="auto"/>
          <w:sz w:val="24"/>
          <w:szCs w:val="24"/>
        </w:rPr>
        <w:t>项目名称：                                   项目编号：</w:t>
      </w:r>
    </w:p>
    <w:p>
      <w:pPr>
        <w:spacing w:line="360" w:lineRule="auto"/>
        <w:rPr>
          <w:rFonts w:hAnsi="宋体"/>
          <w:b/>
          <w:color w:val="auto"/>
          <w:sz w:val="24"/>
          <w:u w:val="single"/>
        </w:rPr>
      </w:pPr>
    </w:p>
    <w:p>
      <w:pPr>
        <w:spacing w:line="360" w:lineRule="auto"/>
        <w:jc w:val="center"/>
        <w:rPr>
          <w:rFonts w:hAnsi="宋体"/>
          <w:color w:val="auto"/>
          <w:sz w:val="24"/>
          <w:szCs w:val="24"/>
        </w:rPr>
      </w:pPr>
      <w:r>
        <w:rPr>
          <w:rFonts w:hint="eastAsia" w:hAnsi="宋体"/>
          <w:color w:val="auto"/>
          <w:sz w:val="24"/>
          <w:szCs w:val="24"/>
        </w:rPr>
        <w:t>（格式自拟）</w:t>
      </w:r>
    </w:p>
    <w:p>
      <w:pPr>
        <w:spacing w:line="360" w:lineRule="auto"/>
        <w:ind w:firstLine="477" w:firstLineChars="198"/>
        <w:rPr>
          <w:rFonts w:hAnsi="宋体"/>
          <w:b/>
          <w:color w:val="auto"/>
          <w:sz w:val="24"/>
        </w:rPr>
      </w:pPr>
    </w:p>
    <w:p>
      <w:pPr>
        <w:spacing w:line="360" w:lineRule="auto"/>
        <w:ind w:firstLine="477" w:firstLineChars="198"/>
        <w:rPr>
          <w:rFonts w:hAnsi="宋体"/>
          <w:b/>
          <w:color w:val="auto"/>
          <w:sz w:val="24"/>
        </w:rPr>
      </w:pPr>
    </w:p>
    <w:p>
      <w:pPr>
        <w:spacing w:line="360" w:lineRule="auto"/>
        <w:ind w:firstLine="477" w:firstLineChars="198"/>
        <w:rPr>
          <w:rFonts w:hAnsi="宋体"/>
          <w:b/>
          <w:color w:val="auto"/>
          <w:sz w:val="24"/>
        </w:rPr>
      </w:pPr>
    </w:p>
    <w:p>
      <w:pPr>
        <w:spacing w:line="360" w:lineRule="auto"/>
        <w:ind w:firstLine="477" w:firstLineChars="198"/>
        <w:rPr>
          <w:rFonts w:hAnsi="宋体"/>
          <w:b/>
          <w:color w:val="auto"/>
          <w:sz w:val="24"/>
        </w:rPr>
      </w:pPr>
    </w:p>
    <w:p>
      <w:pPr>
        <w:spacing w:line="360" w:lineRule="auto"/>
        <w:ind w:firstLine="477" w:firstLineChars="198"/>
        <w:rPr>
          <w:rFonts w:hAnsi="宋体"/>
          <w:b/>
          <w:color w:val="auto"/>
          <w:sz w:val="24"/>
        </w:rPr>
      </w:pPr>
    </w:p>
    <w:p>
      <w:pPr>
        <w:adjustRightInd w:val="0"/>
        <w:spacing w:line="360" w:lineRule="auto"/>
        <w:jc w:val="left"/>
        <w:rPr>
          <w:rFonts w:hAnsi="宋体"/>
          <w:bCs/>
          <w:color w:val="auto"/>
          <w:sz w:val="24"/>
        </w:rPr>
      </w:pPr>
      <w:r>
        <w:rPr>
          <w:rFonts w:hint="eastAsia" w:hAnsi="宋体"/>
          <w:bCs/>
          <w:color w:val="auto"/>
          <w:sz w:val="24"/>
        </w:rPr>
        <w:t>供应商名称：        （盖章）</w:t>
      </w:r>
    </w:p>
    <w:p>
      <w:pPr>
        <w:adjustRightInd w:val="0"/>
        <w:spacing w:line="360" w:lineRule="auto"/>
        <w:jc w:val="left"/>
        <w:rPr>
          <w:bCs/>
          <w:color w:val="auto"/>
          <w:sz w:val="24"/>
        </w:rPr>
      </w:pPr>
      <w:r>
        <w:rPr>
          <w:rFonts w:hint="eastAsia"/>
          <w:bCs/>
          <w:color w:val="auto"/>
          <w:sz w:val="24"/>
        </w:rPr>
        <w:t>法定代表人或授权代表（</w:t>
      </w:r>
      <w:r>
        <w:rPr>
          <w:rFonts w:hint="eastAsia" w:hAnsi="宋体"/>
          <w:bCs/>
          <w:color w:val="auto"/>
          <w:sz w:val="24"/>
        </w:rPr>
        <w:t>签字或盖章</w:t>
      </w:r>
      <w:r>
        <w:rPr>
          <w:rFonts w:hint="eastAsia"/>
          <w:bCs/>
          <w:color w:val="auto"/>
          <w:sz w:val="24"/>
        </w:rPr>
        <w:t>）：</w:t>
      </w:r>
    </w:p>
    <w:p>
      <w:pPr>
        <w:adjustRightInd w:val="0"/>
        <w:spacing w:line="360" w:lineRule="auto"/>
        <w:jc w:val="left"/>
        <w:rPr>
          <w:rFonts w:hAnsi="宋体"/>
          <w:bCs/>
          <w:color w:val="auto"/>
        </w:rPr>
      </w:pPr>
      <w:r>
        <w:rPr>
          <w:rFonts w:hint="eastAsia"/>
          <w:bCs/>
          <w:color w:val="auto"/>
          <w:sz w:val="24"/>
        </w:rPr>
        <w:t>日期：</w:t>
      </w:r>
    </w:p>
    <w:p>
      <w:pPr>
        <w:widowControl/>
        <w:spacing w:line="360" w:lineRule="auto"/>
        <w:jc w:val="left"/>
        <w:rPr>
          <w:rFonts w:hAnsi="宋体"/>
          <w:b/>
          <w:color w:val="auto"/>
        </w:rPr>
      </w:pPr>
      <w:r>
        <w:rPr>
          <w:rFonts w:hAnsi="宋体"/>
          <w:b/>
          <w:color w:val="auto"/>
        </w:rPr>
        <w:br w:type="page"/>
      </w:r>
    </w:p>
    <w:p>
      <w:pPr>
        <w:spacing w:line="360" w:lineRule="auto"/>
        <w:ind w:right="480"/>
        <w:rPr>
          <w:b/>
          <w:color w:val="auto"/>
        </w:rPr>
      </w:pPr>
      <w:r>
        <w:rPr>
          <w:rFonts w:hAnsi="宋体"/>
          <w:b/>
          <w:color w:val="auto"/>
        </w:rPr>
        <w:t>附件</w:t>
      </w:r>
      <w:r>
        <w:rPr>
          <w:b/>
          <w:color w:val="auto"/>
        </w:rPr>
        <w:t>1-</w:t>
      </w:r>
      <w:r>
        <w:rPr>
          <w:rFonts w:hint="eastAsia"/>
          <w:b/>
          <w:color w:val="auto"/>
          <w:lang w:val="en-US" w:eastAsia="zh-CN"/>
        </w:rPr>
        <w:t>7</w:t>
      </w:r>
    </w:p>
    <w:p>
      <w:pPr>
        <w:spacing w:line="360" w:lineRule="auto"/>
        <w:jc w:val="center"/>
        <w:rPr>
          <w:rFonts w:hAnsi="宋体"/>
          <w:b/>
          <w:color w:val="auto"/>
          <w:sz w:val="28"/>
          <w:szCs w:val="28"/>
        </w:rPr>
      </w:pPr>
      <w:r>
        <w:rPr>
          <w:rFonts w:hint="eastAsia" w:hAnsi="宋体"/>
          <w:b/>
          <w:color w:val="auto"/>
          <w:sz w:val="28"/>
          <w:szCs w:val="28"/>
        </w:rPr>
        <w:t>供应商诚信情况的承诺</w:t>
      </w:r>
    </w:p>
    <w:p>
      <w:pPr>
        <w:adjustRightInd w:val="0"/>
        <w:snapToGrid w:val="0"/>
        <w:spacing w:line="360" w:lineRule="auto"/>
        <w:ind w:left="480" w:hanging="480" w:hangingChars="200"/>
        <w:rPr>
          <w:rFonts w:hAnsi="宋体" w:cs="宋体"/>
          <w:color w:val="auto"/>
          <w:sz w:val="24"/>
          <w:u w:val="single"/>
        </w:rPr>
      </w:pPr>
      <w:bookmarkStart w:id="370" w:name="_Toc462929214"/>
      <w:bookmarkStart w:id="371" w:name="_Toc462929232"/>
      <w:r>
        <w:rPr>
          <w:rFonts w:hint="eastAsia"/>
          <w:color w:val="auto"/>
          <w:sz w:val="24"/>
          <w:szCs w:val="24"/>
        </w:rPr>
        <w:t>致：</w:t>
      </w:r>
      <w:bookmarkEnd w:id="370"/>
      <w:bookmarkEnd w:id="371"/>
      <w:bookmarkStart w:id="372" w:name="_Toc462929215"/>
      <w:bookmarkStart w:id="373" w:name="_Toc462929233"/>
      <w:r>
        <w:rPr>
          <w:rFonts w:hint="eastAsia" w:hAnsi="宋体" w:cs="宋体"/>
          <w:color w:val="auto"/>
          <w:sz w:val="24"/>
          <w:u w:val="single"/>
          <w:lang w:eastAsia="zh-CN"/>
        </w:rPr>
        <w:t>四川利阳招投标代理有限公司</w:t>
      </w:r>
      <w:r>
        <w:rPr>
          <w:rFonts w:hint="eastAsia" w:hAnsi="宋体"/>
          <w:color w:val="auto"/>
          <w:sz w:val="24"/>
          <w:szCs w:val="24"/>
          <w:u w:val="single"/>
        </w:rPr>
        <w:t>（采购代理机构）</w:t>
      </w:r>
    </w:p>
    <w:p>
      <w:pPr>
        <w:snapToGrid w:val="0"/>
        <w:spacing w:line="360" w:lineRule="auto"/>
        <w:rPr>
          <w:rFonts w:hAnsi="宋体" w:cs="宋体"/>
          <w:color w:val="auto"/>
          <w:sz w:val="24"/>
        </w:rPr>
      </w:pPr>
    </w:p>
    <w:p>
      <w:pPr>
        <w:snapToGrid w:val="0"/>
        <w:spacing w:line="360" w:lineRule="auto"/>
        <w:ind w:firstLine="480" w:firstLineChars="200"/>
        <w:rPr>
          <w:color w:val="auto"/>
          <w:sz w:val="24"/>
          <w:szCs w:val="24"/>
        </w:rPr>
      </w:pPr>
      <w:r>
        <w:rPr>
          <w:rFonts w:hint="eastAsia"/>
          <w:color w:val="auto"/>
          <w:sz w:val="24"/>
          <w:szCs w:val="24"/>
        </w:rPr>
        <w:t>依据《四川省政府采购当事人诚信管理办法》（川财采【2015】33号文件）的规定，我公司承诺在参加本项目政府采购活动中无失信行为。</w:t>
      </w:r>
      <w:bookmarkEnd w:id="372"/>
      <w:bookmarkEnd w:id="373"/>
      <w:bookmarkStart w:id="374" w:name="_Toc462929216"/>
      <w:bookmarkStart w:id="375" w:name="_Toc462929234"/>
    </w:p>
    <w:p>
      <w:pPr>
        <w:snapToGrid w:val="0"/>
        <w:spacing w:line="360" w:lineRule="auto"/>
        <w:ind w:firstLine="480" w:firstLineChars="200"/>
        <w:rPr>
          <w:color w:val="auto"/>
          <w:sz w:val="24"/>
          <w:szCs w:val="24"/>
        </w:rPr>
      </w:pPr>
      <w:r>
        <w:rPr>
          <w:rFonts w:hint="eastAsia"/>
          <w:color w:val="auto"/>
          <w:sz w:val="24"/>
          <w:szCs w:val="24"/>
        </w:rPr>
        <w:t>本公司对上述承诺的内容事项真实性负责。如经查实上述承诺的内容事项存在虚假，我公司愿意接受以提供虚假材料谋取成交追究法律责任。</w:t>
      </w:r>
      <w:bookmarkEnd w:id="374"/>
      <w:bookmarkEnd w:id="375"/>
    </w:p>
    <w:p>
      <w:pPr>
        <w:snapToGrid w:val="0"/>
        <w:spacing w:line="360" w:lineRule="auto"/>
        <w:ind w:firstLine="480" w:firstLineChars="200"/>
        <w:rPr>
          <w:color w:val="auto"/>
          <w:sz w:val="24"/>
          <w:szCs w:val="24"/>
        </w:rPr>
      </w:pPr>
    </w:p>
    <w:p>
      <w:pPr>
        <w:snapToGrid w:val="0"/>
        <w:spacing w:line="360" w:lineRule="auto"/>
        <w:ind w:firstLine="480" w:firstLineChars="200"/>
        <w:rPr>
          <w:color w:val="auto"/>
          <w:sz w:val="24"/>
          <w:szCs w:val="24"/>
        </w:rPr>
      </w:pPr>
    </w:p>
    <w:p>
      <w:pPr>
        <w:adjustRightInd w:val="0"/>
        <w:spacing w:line="360" w:lineRule="auto"/>
        <w:ind w:firstLine="420" w:firstLineChars="175"/>
        <w:jc w:val="left"/>
        <w:rPr>
          <w:rFonts w:hAnsi="宋体"/>
          <w:bCs/>
          <w:color w:val="auto"/>
          <w:sz w:val="24"/>
          <w:szCs w:val="24"/>
        </w:rPr>
      </w:pPr>
      <w:r>
        <w:rPr>
          <w:rFonts w:hint="eastAsia" w:hAnsi="宋体"/>
          <w:bCs/>
          <w:color w:val="auto"/>
          <w:sz w:val="24"/>
          <w:szCs w:val="24"/>
        </w:rPr>
        <w:t>供应商名称：        （盖章）</w:t>
      </w:r>
    </w:p>
    <w:p>
      <w:pPr>
        <w:adjustRightInd w:val="0"/>
        <w:spacing w:line="360" w:lineRule="auto"/>
        <w:ind w:firstLine="420" w:firstLineChars="175"/>
        <w:jc w:val="left"/>
        <w:rPr>
          <w:rFonts w:hAnsi="宋体"/>
          <w:bCs/>
          <w:color w:val="auto"/>
          <w:sz w:val="24"/>
          <w:szCs w:val="24"/>
        </w:rPr>
      </w:pPr>
      <w:r>
        <w:rPr>
          <w:rFonts w:hint="eastAsia" w:hAnsi="宋体"/>
          <w:color w:val="auto"/>
          <w:sz w:val="24"/>
          <w:szCs w:val="24"/>
        </w:rPr>
        <w:t>法定代表人或授权代表（签字）</w:t>
      </w:r>
      <w:r>
        <w:rPr>
          <w:rFonts w:hint="eastAsia" w:hAnsi="宋体"/>
          <w:bCs/>
          <w:color w:val="auto"/>
          <w:sz w:val="24"/>
          <w:szCs w:val="24"/>
        </w:rPr>
        <w:t>：</w:t>
      </w:r>
    </w:p>
    <w:p>
      <w:pPr>
        <w:adjustRightInd w:val="0"/>
        <w:spacing w:line="360" w:lineRule="auto"/>
        <w:ind w:firstLine="420" w:firstLineChars="175"/>
        <w:jc w:val="left"/>
        <w:rPr>
          <w:color w:val="auto"/>
        </w:rPr>
      </w:pPr>
      <w:r>
        <w:rPr>
          <w:rFonts w:hint="eastAsia" w:hAnsi="宋体"/>
          <w:bCs/>
          <w:color w:val="auto"/>
          <w:sz w:val="24"/>
          <w:szCs w:val="24"/>
        </w:rPr>
        <w:t>日期</w:t>
      </w:r>
      <w:r>
        <w:rPr>
          <w:rFonts w:hAnsi="宋体"/>
          <w:bCs/>
          <w:color w:val="auto"/>
          <w:sz w:val="24"/>
          <w:szCs w:val="24"/>
        </w:rPr>
        <w:t>:</w:t>
      </w:r>
    </w:p>
    <w:p>
      <w:pPr>
        <w:widowControl/>
        <w:spacing w:line="360" w:lineRule="auto"/>
        <w:jc w:val="left"/>
        <w:rPr>
          <w:rFonts w:hAnsi="宋体"/>
          <w:color w:val="auto"/>
        </w:rPr>
      </w:pPr>
      <w:r>
        <w:rPr>
          <w:rFonts w:hAnsi="宋体"/>
          <w:color w:val="auto"/>
        </w:rPr>
        <w:br w:type="page"/>
      </w:r>
    </w:p>
    <w:p>
      <w:pPr>
        <w:spacing w:line="360" w:lineRule="auto"/>
        <w:ind w:right="480"/>
        <w:rPr>
          <w:rFonts w:hAnsi="宋体"/>
          <w:b/>
          <w:color w:val="auto"/>
        </w:rPr>
      </w:pPr>
      <w:r>
        <w:rPr>
          <w:rFonts w:hint="eastAsia" w:hAnsi="宋体"/>
          <w:b/>
          <w:color w:val="auto"/>
        </w:rPr>
        <w:t>附件1-</w:t>
      </w:r>
      <w:r>
        <w:rPr>
          <w:rFonts w:hint="eastAsia" w:hAnsi="宋体"/>
          <w:b/>
          <w:color w:val="auto"/>
          <w:lang w:val="en-US" w:eastAsia="zh-CN"/>
        </w:rPr>
        <w:t>8</w:t>
      </w:r>
    </w:p>
    <w:p>
      <w:pPr>
        <w:spacing w:line="360" w:lineRule="auto"/>
        <w:jc w:val="center"/>
        <w:rPr>
          <w:rFonts w:hAnsi="宋体"/>
          <w:b/>
          <w:color w:val="auto"/>
          <w:sz w:val="28"/>
          <w:szCs w:val="28"/>
        </w:rPr>
      </w:pPr>
      <w:r>
        <w:rPr>
          <w:rFonts w:hint="eastAsia" w:hAnsi="宋体"/>
          <w:b/>
          <w:color w:val="auto"/>
          <w:sz w:val="28"/>
          <w:szCs w:val="28"/>
        </w:rPr>
        <w:t>本项目参加采购活动的供应商在前三年内不得具有行贿犯罪记录的承诺</w:t>
      </w:r>
    </w:p>
    <w:p>
      <w:pPr>
        <w:spacing w:line="360" w:lineRule="auto"/>
        <w:rPr>
          <w:color w:val="auto"/>
        </w:rPr>
      </w:pPr>
    </w:p>
    <w:p>
      <w:pPr>
        <w:adjustRightInd w:val="0"/>
        <w:snapToGrid w:val="0"/>
        <w:spacing w:line="360" w:lineRule="auto"/>
        <w:ind w:left="480" w:hanging="480" w:hangingChars="200"/>
        <w:rPr>
          <w:rFonts w:hAnsi="宋体" w:cs="宋体"/>
          <w:color w:val="auto"/>
          <w:sz w:val="24"/>
          <w:u w:val="single"/>
        </w:rPr>
      </w:pPr>
      <w:r>
        <w:rPr>
          <w:rFonts w:hint="eastAsia" w:hAnsi="宋体" w:cs="宋体"/>
          <w:color w:val="auto"/>
          <w:sz w:val="24"/>
        </w:rPr>
        <w:t>致：</w:t>
      </w:r>
      <w:r>
        <w:rPr>
          <w:rFonts w:hint="eastAsia" w:hAnsi="宋体" w:cs="宋体"/>
          <w:color w:val="auto"/>
          <w:sz w:val="24"/>
          <w:u w:val="single"/>
          <w:lang w:eastAsia="zh-CN"/>
        </w:rPr>
        <w:t>四川利阳招投标代理有限公司</w:t>
      </w:r>
      <w:r>
        <w:rPr>
          <w:rFonts w:hint="eastAsia" w:hAnsi="宋体"/>
          <w:color w:val="auto"/>
          <w:sz w:val="24"/>
          <w:szCs w:val="24"/>
          <w:u w:val="single"/>
        </w:rPr>
        <w:t>（采购代理机构）</w:t>
      </w:r>
    </w:p>
    <w:p>
      <w:pPr>
        <w:spacing w:line="360" w:lineRule="auto"/>
        <w:ind w:firstLine="720" w:firstLineChars="300"/>
        <w:outlineLvl w:val="5"/>
        <w:rPr>
          <w:rFonts w:hAnsi="宋体" w:cs="宋体"/>
          <w:color w:val="auto"/>
          <w:sz w:val="24"/>
        </w:rPr>
      </w:pPr>
      <w:r>
        <w:rPr>
          <w:rFonts w:hint="eastAsia" w:hAnsi="宋体" w:cs="宋体"/>
          <w:color w:val="auto"/>
          <w:sz w:val="24"/>
        </w:rPr>
        <w:t>依据《关于在政府采购活动中全面开展行贿犯罪档案查询的通知》（川检会〔2016〕5号）的规定，我公司承诺在参加本项目政府采购活动前三年中我司</w:t>
      </w:r>
      <w:r>
        <w:rPr>
          <w:rFonts w:hAnsi="宋体" w:cs="宋体"/>
          <w:color w:val="auto"/>
          <w:sz w:val="24"/>
        </w:rPr>
        <w:t>及其现任法定代表人、主要负责人不具有行贿犯罪记录</w:t>
      </w:r>
      <w:r>
        <w:rPr>
          <w:rFonts w:hint="eastAsia" w:hAnsi="宋体" w:cs="宋体"/>
          <w:color w:val="auto"/>
          <w:sz w:val="24"/>
        </w:rPr>
        <w:t>。</w:t>
      </w:r>
    </w:p>
    <w:p>
      <w:pPr>
        <w:adjustRightInd w:val="0"/>
        <w:snapToGrid w:val="0"/>
        <w:spacing w:line="360" w:lineRule="auto"/>
        <w:ind w:firstLine="480" w:firstLineChars="200"/>
        <w:jc w:val="left"/>
        <w:outlineLvl w:val="2"/>
        <w:rPr>
          <w:rFonts w:hAnsi="宋体" w:cs="宋体"/>
          <w:color w:val="auto"/>
          <w:sz w:val="24"/>
        </w:rPr>
      </w:pPr>
      <w:r>
        <w:rPr>
          <w:rFonts w:hint="eastAsia" w:hAnsi="宋体" w:cs="宋体"/>
          <w:color w:val="auto"/>
          <w:sz w:val="24"/>
        </w:rPr>
        <w:t>本公司对上述承诺的内容事项真实性负责。如经查实上述承诺的内容事项存在虚假，我公司愿意接受以提供虚假材料谋取成交追究法律责任。</w:t>
      </w:r>
    </w:p>
    <w:p>
      <w:pPr>
        <w:adjustRightInd w:val="0"/>
        <w:snapToGrid w:val="0"/>
        <w:spacing w:line="360" w:lineRule="auto"/>
        <w:ind w:firstLine="480" w:firstLineChars="200"/>
        <w:jc w:val="left"/>
        <w:outlineLvl w:val="2"/>
        <w:rPr>
          <w:rFonts w:hAnsi="宋体" w:cs="宋体"/>
          <w:color w:val="auto"/>
          <w:sz w:val="24"/>
        </w:rPr>
      </w:pPr>
      <w:r>
        <w:rPr>
          <w:rFonts w:hint="eastAsia" w:hAnsi="宋体" w:cs="宋体"/>
          <w:color w:val="auto"/>
          <w:sz w:val="24"/>
        </w:rPr>
        <w:t>且同时承诺如我司成交，</w:t>
      </w:r>
      <w:r>
        <w:rPr>
          <w:rFonts w:hint="eastAsia"/>
          <w:color w:val="auto"/>
          <w:sz w:val="24"/>
        </w:rPr>
        <w:t>成交后提交行贿犯罪记录查询结果给采购人查验。</w:t>
      </w:r>
    </w:p>
    <w:p>
      <w:pPr>
        <w:spacing w:line="360" w:lineRule="auto"/>
        <w:rPr>
          <w:color w:val="auto"/>
        </w:rPr>
      </w:pPr>
    </w:p>
    <w:p>
      <w:pPr>
        <w:spacing w:line="360" w:lineRule="auto"/>
        <w:rPr>
          <w:color w:val="auto"/>
        </w:rPr>
      </w:pPr>
    </w:p>
    <w:p>
      <w:pPr>
        <w:spacing w:line="360" w:lineRule="auto"/>
        <w:rPr>
          <w:color w:val="auto"/>
        </w:rPr>
      </w:pPr>
    </w:p>
    <w:p>
      <w:pPr>
        <w:adjustRightInd w:val="0"/>
        <w:snapToGrid w:val="0"/>
        <w:spacing w:line="360" w:lineRule="auto"/>
        <w:rPr>
          <w:rFonts w:hAnsi="宋体" w:cs="Arial"/>
          <w:color w:val="auto"/>
          <w:sz w:val="24"/>
        </w:rPr>
      </w:pPr>
      <w:r>
        <w:rPr>
          <w:rFonts w:hint="eastAsia" w:hAnsi="宋体" w:cs="Arial"/>
          <w:color w:val="auto"/>
          <w:sz w:val="24"/>
        </w:rPr>
        <w:t>供应商名称：        （盖章）</w:t>
      </w:r>
    </w:p>
    <w:p>
      <w:pPr>
        <w:adjustRightInd w:val="0"/>
        <w:snapToGrid w:val="0"/>
        <w:spacing w:line="360" w:lineRule="auto"/>
        <w:rPr>
          <w:rFonts w:hAnsi="宋体" w:cs="Arial"/>
          <w:color w:val="auto"/>
          <w:sz w:val="24"/>
        </w:rPr>
      </w:pPr>
      <w:r>
        <w:rPr>
          <w:rFonts w:hint="eastAsia" w:hAnsi="宋体" w:cs="Arial"/>
          <w:color w:val="auto"/>
          <w:sz w:val="24"/>
        </w:rPr>
        <w:t>法定代表人或授权代表（签字或盖章）：</w:t>
      </w:r>
    </w:p>
    <w:p>
      <w:pPr>
        <w:spacing w:line="360" w:lineRule="auto"/>
        <w:ind w:right="480"/>
        <w:rPr>
          <w:rFonts w:hAnsi="宋体"/>
          <w:color w:val="auto"/>
        </w:rPr>
      </w:pPr>
      <w:r>
        <w:rPr>
          <w:rFonts w:hint="eastAsia" w:hAnsi="宋体" w:cs="Arial"/>
          <w:color w:val="auto"/>
          <w:sz w:val="24"/>
        </w:rPr>
        <w:t>日期：</w:t>
      </w:r>
    </w:p>
    <w:p>
      <w:pPr>
        <w:widowControl/>
        <w:spacing w:line="360" w:lineRule="auto"/>
        <w:jc w:val="left"/>
        <w:rPr>
          <w:rFonts w:hAnsi="宋体"/>
          <w:b/>
          <w:color w:val="auto"/>
        </w:rPr>
      </w:pPr>
      <w:r>
        <w:rPr>
          <w:rFonts w:hAnsi="宋体"/>
          <w:b/>
          <w:color w:val="auto"/>
        </w:rPr>
        <w:br w:type="page"/>
      </w:r>
    </w:p>
    <w:p>
      <w:pPr>
        <w:widowControl/>
        <w:jc w:val="left"/>
        <w:rPr>
          <w:b/>
          <w:color w:val="auto"/>
        </w:rPr>
      </w:pPr>
      <w:r>
        <w:rPr>
          <w:rFonts w:hAnsi="宋体"/>
          <w:b/>
          <w:color w:val="auto"/>
        </w:rPr>
        <w:t>附件</w:t>
      </w:r>
      <w:r>
        <w:rPr>
          <w:b/>
          <w:color w:val="auto"/>
        </w:rPr>
        <w:t>1-</w:t>
      </w:r>
      <w:r>
        <w:rPr>
          <w:rFonts w:hint="eastAsia"/>
          <w:b/>
          <w:color w:val="auto"/>
          <w:lang w:val="en-US" w:eastAsia="zh-CN"/>
        </w:rPr>
        <w:t>9</w:t>
      </w:r>
    </w:p>
    <w:p>
      <w:pPr>
        <w:keepNext/>
        <w:keepLines/>
        <w:spacing w:line="360" w:lineRule="auto"/>
        <w:jc w:val="center"/>
        <w:outlineLvl w:val="3"/>
        <w:rPr>
          <w:rFonts w:ascii="Calibri" w:hAnsi="Calibri" w:eastAsia="黑体"/>
          <w:b/>
          <w:bCs/>
          <w:color w:val="auto"/>
          <w:sz w:val="32"/>
          <w:szCs w:val="28"/>
        </w:rPr>
      </w:pPr>
      <w:r>
        <w:rPr>
          <w:rFonts w:hint="eastAsia" w:ascii="Calibri" w:hAnsi="Calibri" w:eastAsia="黑体"/>
          <w:b/>
          <w:bCs/>
          <w:color w:val="auto"/>
          <w:sz w:val="32"/>
          <w:szCs w:val="28"/>
        </w:rPr>
        <w:t>具有履行合同所必需的设备和专业技术能力承诺函</w:t>
      </w:r>
    </w:p>
    <w:p>
      <w:pPr>
        <w:spacing w:line="360" w:lineRule="auto"/>
        <w:ind w:right="480" w:firstLine="944" w:firstLineChars="392"/>
        <w:rPr>
          <w:b/>
          <w:color w:val="auto"/>
          <w:sz w:val="24"/>
          <w:szCs w:val="24"/>
        </w:rPr>
      </w:pPr>
    </w:p>
    <w:p>
      <w:pPr>
        <w:spacing w:line="360" w:lineRule="auto"/>
        <w:ind w:right="480" w:firstLine="944" w:firstLineChars="392"/>
        <w:rPr>
          <w:b/>
          <w:color w:val="auto"/>
          <w:sz w:val="24"/>
          <w:szCs w:val="24"/>
        </w:rPr>
      </w:pPr>
    </w:p>
    <w:p>
      <w:pPr>
        <w:spacing w:line="360" w:lineRule="auto"/>
        <w:ind w:right="480" w:firstLine="944" w:firstLineChars="392"/>
        <w:rPr>
          <w:b/>
          <w:color w:val="auto"/>
          <w:sz w:val="24"/>
          <w:szCs w:val="24"/>
        </w:rPr>
      </w:pPr>
    </w:p>
    <w:p>
      <w:pPr>
        <w:spacing w:line="360" w:lineRule="auto"/>
        <w:ind w:right="480" w:firstLine="944" w:firstLineChars="392"/>
        <w:rPr>
          <w:b/>
          <w:color w:val="auto"/>
          <w:sz w:val="24"/>
          <w:szCs w:val="24"/>
        </w:rPr>
      </w:pPr>
      <w:r>
        <w:rPr>
          <w:rFonts w:hint="eastAsia"/>
          <w:b/>
          <w:color w:val="auto"/>
          <w:sz w:val="24"/>
          <w:szCs w:val="24"/>
        </w:rPr>
        <w:t>项目名称：                                   项目编号：</w:t>
      </w:r>
    </w:p>
    <w:p>
      <w:pPr>
        <w:spacing w:line="360" w:lineRule="auto"/>
        <w:ind w:right="480" w:firstLine="944" w:firstLineChars="392"/>
        <w:rPr>
          <w:b/>
          <w:color w:val="auto"/>
          <w:sz w:val="24"/>
          <w:szCs w:val="24"/>
        </w:rPr>
      </w:pPr>
    </w:p>
    <w:p>
      <w:pPr>
        <w:spacing w:line="360" w:lineRule="auto"/>
        <w:ind w:right="480" w:firstLine="944" w:firstLineChars="392"/>
        <w:jc w:val="center"/>
        <w:rPr>
          <w:b/>
          <w:color w:val="auto"/>
          <w:sz w:val="24"/>
          <w:szCs w:val="24"/>
        </w:rPr>
      </w:pPr>
      <w:r>
        <w:rPr>
          <w:rFonts w:hint="eastAsia"/>
          <w:b/>
          <w:color w:val="auto"/>
          <w:sz w:val="24"/>
          <w:szCs w:val="24"/>
        </w:rPr>
        <w:t>（格式自拟）</w:t>
      </w:r>
    </w:p>
    <w:p>
      <w:pPr>
        <w:spacing w:line="360" w:lineRule="auto"/>
        <w:ind w:right="480" w:firstLine="944" w:firstLineChars="392"/>
        <w:rPr>
          <w:b/>
          <w:color w:val="auto"/>
          <w:sz w:val="24"/>
          <w:szCs w:val="24"/>
        </w:rPr>
      </w:pPr>
    </w:p>
    <w:p>
      <w:pPr>
        <w:spacing w:line="360" w:lineRule="auto"/>
        <w:ind w:right="480" w:firstLine="944" w:firstLineChars="392"/>
        <w:rPr>
          <w:b/>
          <w:color w:val="auto"/>
          <w:sz w:val="24"/>
          <w:szCs w:val="24"/>
        </w:rPr>
      </w:pPr>
    </w:p>
    <w:p>
      <w:pPr>
        <w:spacing w:line="360" w:lineRule="auto"/>
        <w:ind w:right="480" w:firstLine="944" w:firstLineChars="392"/>
        <w:rPr>
          <w:b/>
          <w:color w:val="auto"/>
          <w:sz w:val="24"/>
          <w:szCs w:val="24"/>
        </w:rPr>
      </w:pPr>
    </w:p>
    <w:p>
      <w:pPr>
        <w:spacing w:line="360" w:lineRule="auto"/>
        <w:ind w:right="480" w:firstLine="944" w:firstLineChars="392"/>
        <w:rPr>
          <w:b/>
          <w:color w:val="auto"/>
          <w:sz w:val="24"/>
          <w:szCs w:val="24"/>
        </w:rPr>
      </w:pPr>
    </w:p>
    <w:p>
      <w:pPr>
        <w:spacing w:line="360" w:lineRule="auto"/>
        <w:ind w:right="480" w:firstLine="944" w:firstLineChars="392"/>
        <w:rPr>
          <w:b/>
          <w:color w:val="auto"/>
          <w:sz w:val="24"/>
          <w:szCs w:val="24"/>
        </w:rPr>
      </w:pPr>
    </w:p>
    <w:p>
      <w:pPr>
        <w:spacing w:line="360" w:lineRule="auto"/>
        <w:ind w:right="480" w:firstLine="944" w:firstLineChars="392"/>
        <w:rPr>
          <w:b/>
          <w:color w:val="auto"/>
          <w:sz w:val="24"/>
          <w:szCs w:val="24"/>
        </w:rPr>
      </w:pPr>
      <w:r>
        <w:rPr>
          <w:rFonts w:hint="eastAsia"/>
          <w:b/>
          <w:color w:val="auto"/>
          <w:sz w:val="24"/>
          <w:szCs w:val="24"/>
        </w:rPr>
        <w:t>供应商名称：        （盖章）</w:t>
      </w:r>
    </w:p>
    <w:p>
      <w:pPr>
        <w:spacing w:line="360" w:lineRule="auto"/>
        <w:ind w:right="480" w:firstLine="944" w:firstLineChars="392"/>
        <w:rPr>
          <w:b/>
          <w:color w:val="auto"/>
          <w:sz w:val="24"/>
          <w:szCs w:val="24"/>
        </w:rPr>
      </w:pPr>
      <w:r>
        <w:rPr>
          <w:rFonts w:hint="eastAsia"/>
          <w:b/>
          <w:color w:val="auto"/>
          <w:sz w:val="24"/>
          <w:szCs w:val="24"/>
        </w:rPr>
        <w:t>法定代表人或授权代表（签字或盖章）：</w:t>
      </w:r>
    </w:p>
    <w:p>
      <w:pPr>
        <w:spacing w:line="360" w:lineRule="auto"/>
        <w:ind w:right="480" w:firstLine="944" w:firstLineChars="392"/>
        <w:rPr>
          <w:b/>
          <w:color w:val="auto"/>
          <w:sz w:val="24"/>
          <w:szCs w:val="24"/>
        </w:rPr>
      </w:pPr>
      <w:r>
        <w:rPr>
          <w:rFonts w:hint="eastAsia"/>
          <w:b/>
          <w:color w:val="auto"/>
          <w:sz w:val="24"/>
          <w:szCs w:val="24"/>
        </w:rPr>
        <w:t>日期：</w:t>
      </w:r>
    </w:p>
    <w:p>
      <w:pPr>
        <w:widowControl/>
        <w:spacing w:line="360" w:lineRule="auto"/>
        <w:jc w:val="left"/>
        <w:rPr>
          <w:rFonts w:hAnsi="宋体"/>
          <w:b/>
          <w:color w:val="auto"/>
        </w:rPr>
      </w:pPr>
      <w:r>
        <w:rPr>
          <w:rFonts w:hAnsi="宋体"/>
          <w:b/>
          <w:color w:val="auto"/>
        </w:rPr>
        <w:br w:type="page"/>
      </w:r>
    </w:p>
    <w:p>
      <w:pPr>
        <w:spacing w:line="360" w:lineRule="auto"/>
        <w:ind w:right="480"/>
        <w:rPr>
          <w:b/>
          <w:color w:val="auto"/>
        </w:rPr>
      </w:pPr>
      <w:r>
        <w:rPr>
          <w:rFonts w:hAnsi="宋体"/>
          <w:b/>
          <w:color w:val="auto"/>
        </w:rPr>
        <w:t>附件</w:t>
      </w:r>
      <w:r>
        <w:rPr>
          <w:b/>
          <w:color w:val="auto"/>
        </w:rPr>
        <w:t>1-</w:t>
      </w:r>
      <w:r>
        <w:rPr>
          <w:rFonts w:hint="eastAsia"/>
          <w:b/>
          <w:color w:val="auto"/>
          <w:lang w:val="en-US" w:eastAsia="zh-CN"/>
        </w:rPr>
        <w:t>10</w:t>
      </w:r>
    </w:p>
    <w:p>
      <w:pPr>
        <w:spacing w:line="360" w:lineRule="auto"/>
        <w:ind w:right="480" w:firstLine="944" w:firstLineChars="392"/>
        <w:rPr>
          <w:b/>
          <w:color w:val="auto"/>
          <w:sz w:val="24"/>
          <w:szCs w:val="24"/>
        </w:rPr>
      </w:pPr>
    </w:p>
    <w:p>
      <w:pPr>
        <w:spacing w:line="360" w:lineRule="auto"/>
        <w:ind w:right="480" w:firstLine="944" w:firstLineChars="392"/>
        <w:rPr>
          <w:b/>
          <w:color w:val="auto"/>
          <w:sz w:val="24"/>
          <w:szCs w:val="24"/>
        </w:rPr>
      </w:pPr>
      <w:r>
        <w:rPr>
          <w:b/>
          <w:color w:val="auto"/>
          <w:sz w:val="24"/>
          <w:szCs w:val="24"/>
        </w:rPr>
        <w:t>1</w:t>
      </w:r>
      <w:r>
        <w:rPr>
          <w:rFonts w:hAnsi="宋体"/>
          <w:b/>
          <w:color w:val="auto"/>
          <w:sz w:val="24"/>
          <w:szCs w:val="24"/>
        </w:rPr>
        <w:t>、响应文件中有关项目的</w:t>
      </w:r>
      <w:r>
        <w:rPr>
          <w:rFonts w:hint="eastAsia" w:hAnsi="宋体"/>
          <w:b/>
          <w:color w:val="auto"/>
          <w:sz w:val="24"/>
          <w:szCs w:val="24"/>
        </w:rPr>
        <w:t>服务及</w:t>
      </w:r>
      <w:r>
        <w:rPr>
          <w:rFonts w:hAnsi="宋体"/>
          <w:b/>
          <w:color w:val="auto"/>
          <w:sz w:val="24"/>
          <w:szCs w:val="24"/>
        </w:rPr>
        <w:t>售后</w:t>
      </w:r>
      <w:r>
        <w:rPr>
          <w:rFonts w:hint="eastAsia" w:hAnsi="宋体"/>
          <w:b/>
          <w:color w:val="auto"/>
          <w:sz w:val="24"/>
          <w:szCs w:val="24"/>
        </w:rPr>
        <w:t>服务</w:t>
      </w:r>
      <w:r>
        <w:rPr>
          <w:rFonts w:hAnsi="宋体"/>
          <w:b/>
          <w:color w:val="auto"/>
          <w:sz w:val="24"/>
          <w:szCs w:val="24"/>
        </w:rPr>
        <w:t>说明函</w:t>
      </w:r>
      <w:r>
        <w:rPr>
          <w:rFonts w:hint="eastAsia" w:hAnsi="宋体" w:cs="宋体"/>
          <w:b/>
          <w:bCs/>
          <w:color w:val="auto"/>
          <w:sz w:val="24"/>
          <w:szCs w:val="24"/>
        </w:rPr>
        <w:t>（格式自拟，如适用）</w:t>
      </w:r>
    </w:p>
    <w:p>
      <w:pPr>
        <w:spacing w:line="360" w:lineRule="auto"/>
        <w:ind w:right="480" w:firstLine="944" w:firstLineChars="392"/>
        <w:rPr>
          <w:b/>
          <w:color w:val="auto"/>
          <w:sz w:val="24"/>
          <w:szCs w:val="24"/>
        </w:rPr>
      </w:pPr>
      <w:r>
        <w:rPr>
          <w:b/>
          <w:color w:val="auto"/>
          <w:sz w:val="24"/>
          <w:szCs w:val="24"/>
        </w:rPr>
        <w:t>2</w:t>
      </w:r>
      <w:r>
        <w:rPr>
          <w:rFonts w:hAnsi="宋体"/>
          <w:b/>
          <w:color w:val="auto"/>
          <w:sz w:val="24"/>
          <w:szCs w:val="24"/>
        </w:rPr>
        <w:t>、响应文件中有关的项目的相关证书及说明函</w:t>
      </w:r>
      <w:r>
        <w:rPr>
          <w:rFonts w:hint="eastAsia" w:hAnsi="宋体" w:cs="宋体"/>
          <w:b/>
          <w:bCs/>
          <w:color w:val="auto"/>
          <w:sz w:val="24"/>
          <w:szCs w:val="24"/>
        </w:rPr>
        <w:t>（格式自拟，如适用）</w:t>
      </w:r>
    </w:p>
    <w:p>
      <w:pPr>
        <w:spacing w:line="360" w:lineRule="auto"/>
        <w:ind w:left="1052" w:leftChars="240" w:right="-2" w:hanging="236" w:hangingChars="98"/>
        <w:rPr>
          <w:rFonts w:hAnsi="宋体" w:cs="宋体"/>
          <w:b/>
          <w:color w:val="auto"/>
          <w:sz w:val="24"/>
          <w:szCs w:val="24"/>
        </w:rPr>
      </w:pPr>
    </w:p>
    <w:p>
      <w:pPr>
        <w:spacing w:line="360" w:lineRule="auto"/>
        <w:ind w:left="1052" w:leftChars="240" w:right="-2" w:hanging="236" w:hangingChars="98"/>
        <w:rPr>
          <w:rFonts w:hAnsi="宋体" w:cs="宋体"/>
          <w:b/>
          <w:color w:val="auto"/>
          <w:sz w:val="24"/>
          <w:szCs w:val="24"/>
        </w:rPr>
      </w:pPr>
    </w:p>
    <w:p>
      <w:pPr>
        <w:spacing w:line="360" w:lineRule="auto"/>
        <w:ind w:right="-2"/>
        <w:rPr>
          <w:rFonts w:hAnsi="宋体" w:cs="宋体"/>
          <w:bCs/>
          <w:color w:val="auto"/>
          <w:sz w:val="24"/>
          <w:szCs w:val="24"/>
        </w:rPr>
      </w:pPr>
      <w:r>
        <w:rPr>
          <w:rFonts w:hint="eastAsia" w:hAnsi="宋体" w:cs="宋体"/>
          <w:bCs/>
          <w:color w:val="auto"/>
          <w:sz w:val="24"/>
          <w:szCs w:val="24"/>
        </w:rPr>
        <w:t>注：1.请各供应商务按照项目的服务和实施方案，自行提供说明函和相关资料。如无上述内容可不提供。</w:t>
      </w:r>
    </w:p>
    <w:p>
      <w:pPr>
        <w:spacing w:line="360" w:lineRule="auto"/>
        <w:ind w:right="-1455" w:rightChars="-428"/>
        <w:rPr>
          <w:rFonts w:hAnsi="宋体"/>
          <w:bCs/>
          <w:color w:val="auto"/>
          <w:sz w:val="24"/>
          <w:szCs w:val="24"/>
        </w:rPr>
      </w:pPr>
      <w:r>
        <w:rPr>
          <w:rFonts w:hint="eastAsia" w:hAnsi="宋体"/>
          <w:bCs/>
          <w:color w:val="auto"/>
          <w:sz w:val="24"/>
          <w:szCs w:val="24"/>
        </w:rPr>
        <w:t>2.谈判文件中要求提供的其它文件、承诺或资料格式未作要求的供应商可自行拟定。</w:t>
      </w:r>
    </w:p>
    <w:p>
      <w:pPr>
        <w:spacing w:line="360" w:lineRule="auto"/>
        <w:ind w:right="480" w:firstLine="940" w:firstLineChars="392"/>
        <w:rPr>
          <w:bCs/>
          <w:color w:val="auto"/>
          <w:sz w:val="24"/>
          <w:szCs w:val="24"/>
        </w:rPr>
      </w:pPr>
    </w:p>
    <w:p>
      <w:pPr>
        <w:spacing w:line="360" w:lineRule="auto"/>
        <w:ind w:right="480" w:firstLine="940" w:firstLineChars="392"/>
        <w:rPr>
          <w:bCs/>
          <w:color w:val="auto"/>
          <w:sz w:val="24"/>
          <w:szCs w:val="24"/>
        </w:rPr>
      </w:pPr>
      <w:r>
        <w:rPr>
          <w:rFonts w:hAnsi="宋体"/>
          <w:bCs/>
          <w:color w:val="auto"/>
          <w:sz w:val="24"/>
          <w:szCs w:val="24"/>
        </w:rPr>
        <w:t>（请各供应商务必对照项目的要求，按要求提供相关资料）</w:t>
      </w:r>
    </w:p>
    <w:p>
      <w:pPr>
        <w:spacing w:line="360" w:lineRule="auto"/>
        <w:ind w:right="480" w:firstLine="944" w:firstLineChars="392"/>
        <w:rPr>
          <w:b/>
          <w:color w:val="auto"/>
          <w:sz w:val="24"/>
          <w:szCs w:val="24"/>
        </w:rPr>
      </w:pPr>
    </w:p>
    <w:p>
      <w:pPr>
        <w:spacing w:line="360" w:lineRule="auto"/>
        <w:ind w:right="480" w:firstLine="944" w:firstLineChars="392"/>
        <w:rPr>
          <w:b/>
          <w:color w:val="auto"/>
          <w:sz w:val="24"/>
          <w:szCs w:val="24"/>
        </w:rPr>
      </w:pPr>
    </w:p>
    <w:p>
      <w:pPr>
        <w:spacing w:line="360" w:lineRule="auto"/>
        <w:ind w:right="480"/>
        <w:jc w:val="right"/>
        <w:rPr>
          <w:b/>
          <w:color w:val="auto"/>
          <w:sz w:val="24"/>
          <w:szCs w:val="24"/>
          <w:u w:val="single"/>
        </w:rPr>
      </w:pPr>
    </w:p>
    <w:p>
      <w:pPr>
        <w:tabs>
          <w:tab w:val="left" w:pos="900"/>
        </w:tabs>
        <w:spacing w:line="360" w:lineRule="auto"/>
        <w:jc w:val="center"/>
        <w:rPr>
          <w:rFonts w:hAnsi="宋体"/>
          <w:b/>
          <w:color w:val="auto"/>
          <w:sz w:val="32"/>
        </w:rPr>
      </w:pPr>
      <w:r>
        <w:rPr>
          <w:b/>
          <w:color w:val="auto"/>
          <w:sz w:val="24"/>
          <w:szCs w:val="24"/>
        </w:rPr>
        <w:br w:type="page"/>
      </w:r>
      <w:r>
        <w:rPr>
          <w:rFonts w:hAnsi="宋体"/>
          <w:b/>
          <w:color w:val="auto"/>
          <w:sz w:val="32"/>
        </w:rPr>
        <w:t>第二部分</w:t>
      </w:r>
      <w:r>
        <w:rPr>
          <w:rFonts w:hint="eastAsia" w:hAnsi="宋体"/>
          <w:b/>
          <w:color w:val="auto"/>
          <w:sz w:val="32"/>
        </w:rPr>
        <w:t>其他响应文件</w:t>
      </w:r>
      <w:r>
        <w:rPr>
          <w:rFonts w:hAnsi="宋体"/>
          <w:b/>
          <w:color w:val="auto"/>
          <w:sz w:val="32"/>
        </w:rPr>
        <w:t>（格式）</w:t>
      </w:r>
    </w:p>
    <w:p>
      <w:pPr>
        <w:spacing w:line="360" w:lineRule="auto"/>
        <w:jc w:val="center"/>
        <w:rPr>
          <w:b/>
          <w:color w:val="auto"/>
          <w:sz w:val="24"/>
          <w:szCs w:val="24"/>
        </w:rPr>
      </w:pPr>
      <w:r>
        <w:rPr>
          <w:rFonts w:hAnsi="宋体"/>
          <w:b/>
          <w:color w:val="auto"/>
          <w:sz w:val="24"/>
          <w:szCs w:val="24"/>
        </w:rPr>
        <w:t>一、响应</w:t>
      </w:r>
      <w:r>
        <w:rPr>
          <w:rFonts w:hint="eastAsia" w:hAnsi="宋体"/>
          <w:b/>
          <w:color w:val="auto"/>
          <w:sz w:val="24"/>
          <w:szCs w:val="24"/>
        </w:rPr>
        <w:t>函</w:t>
      </w:r>
    </w:p>
    <w:p>
      <w:pPr>
        <w:pStyle w:val="26"/>
        <w:spacing w:line="360" w:lineRule="auto"/>
        <w:rPr>
          <w:rFonts w:ascii="Times New Roman" w:hAnsi="宋体"/>
          <w:color w:val="auto"/>
          <w:sz w:val="24"/>
          <w:szCs w:val="24"/>
        </w:rPr>
      </w:pPr>
    </w:p>
    <w:p>
      <w:pPr>
        <w:pStyle w:val="26"/>
        <w:spacing w:line="360" w:lineRule="auto"/>
        <w:rPr>
          <w:rFonts w:ascii="Times New Roman" w:hAnsi="Times New Roman"/>
          <w:color w:val="auto"/>
          <w:sz w:val="24"/>
          <w:szCs w:val="24"/>
        </w:rPr>
      </w:pPr>
      <w:r>
        <w:rPr>
          <w:rFonts w:ascii="Times New Roman" w:hAnsi="宋体"/>
          <w:color w:val="auto"/>
          <w:sz w:val="24"/>
          <w:szCs w:val="24"/>
        </w:rPr>
        <w:t>致：</w:t>
      </w:r>
      <w:r>
        <w:rPr>
          <w:rFonts w:hint="eastAsia" w:ascii="Times New Roman" w:hAnsi="宋体"/>
          <w:color w:val="auto"/>
          <w:sz w:val="24"/>
          <w:szCs w:val="24"/>
          <w:u w:val="single"/>
          <w:lang w:eastAsia="zh-CN"/>
        </w:rPr>
        <w:t>四川利阳招投标代理有限公司</w:t>
      </w:r>
      <w:r>
        <w:rPr>
          <w:rFonts w:hint="eastAsia" w:ascii="Times New Roman" w:hAnsi="宋体"/>
          <w:color w:val="auto"/>
          <w:sz w:val="24"/>
          <w:szCs w:val="24"/>
          <w:u w:val="single"/>
        </w:rPr>
        <w:t>（采购代理机构）</w:t>
      </w:r>
    </w:p>
    <w:p>
      <w:pPr>
        <w:autoSpaceDE w:val="0"/>
        <w:autoSpaceDN w:val="0"/>
        <w:snapToGrid w:val="0"/>
        <w:spacing w:line="360" w:lineRule="auto"/>
        <w:ind w:firstLine="360" w:firstLineChars="150"/>
        <w:rPr>
          <w:color w:val="auto"/>
          <w:sz w:val="24"/>
          <w:szCs w:val="24"/>
          <w:u w:val="single"/>
        </w:rPr>
      </w:pPr>
      <w:r>
        <w:rPr>
          <w:rFonts w:hAnsi="宋体"/>
          <w:color w:val="auto"/>
          <w:sz w:val="24"/>
          <w:szCs w:val="24"/>
        </w:rPr>
        <w:t>根据贵方项目</w:t>
      </w:r>
      <w:r>
        <w:rPr>
          <w:rFonts w:hint="eastAsia" w:hAnsi="宋体"/>
          <w:color w:val="auto"/>
          <w:sz w:val="24"/>
          <w:szCs w:val="24"/>
        </w:rPr>
        <w:t>（项目编号）</w:t>
      </w:r>
      <w:r>
        <w:rPr>
          <w:rFonts w:hAnsi="宋体"/>
          <w:color w:val="auto"/>
          <w:sz w:val="24"/>
          <w:szCs w:val="24"/>
        </w:rPr>
        <w:t>的</w:t>
      </w:r>
      <w:r>
        <w:rPr>
          <w:rFonts w:hint="eastAsia" w:hAnsi="宋体"/>
          <w:color w:val="auto"/>
          <w:sz w:val="24"/>
          <w:szCs w:val="24"/>
        </w:rPr>
        <w:t>谈判</w:t>
      </w:r>
      <w:r>
        <w:rPr>
          <w:rFonts w:hAnsi="宋体"/>
          <w:color w:val="auto"/>
          <w:sz w:val="24"/>
          <w:szCs w:val="24"/>
        </w:rPr>
        <w:t>邀请，正式授权的下述签字人</w:t>
      </w:r>
      <w:r>
        <w:rPr>
          <w:color w:val="auto"/>
          <w:sz w:val="24"/>
          <w:szCs w:val="24"/>
        </w:rPr>
        <w:t xml:space="preserve"> (</w:t>
      </w:r>
      <w:r>
        <w:rPr>
          <w:rFonts w:hAnsi="宋体"/>
          <w:color w:val="auto"/>
          <w:sz w:val="24"/>
          <w:szCs w:val="24"/>
        </w:rPr>
        <w:t>姓名和职务</w:t>
      </w:r>
      <w:r>
        <w:rPr>
          <w:color w:val="auto"/>
          <w:sz w:val="24"/>
          <w:szCs w:val="24"/>
        </w:rPr>
        <w:t>)</w:t>
      </w:r>
      <w:r>
        <w:rPr>
          <w:rFonts w:hAnsi="宋体"/>
          <w:color w:val="auto"/>
          <w:sz w:val="24"/>
          <w:szCs w:val="24"/>
        </w:rPr>
        <w:t>代表供应商</w:t>
      </w:r>
      <w:r>
        <w:rPr>
          <w:color w:val="auto"/>
          <w:sz w:val="24"/>
          <w:szCs w:val="24"/>
        </w:rPr>
        <w:t>(</w:t>
      </w:r>
      <w:r>
        <w:rPr>
          <w:rFonts w:hAnsi="宋体"/>
          <w:color w:val="auto"/>
          <w:sz w:val="24"/>
          <w:szCs w:val="24"/>
        </w:rPr>
        <w:t>供应商的名称</w:t>
      </w:r>
      <w:r>
        <w:rPr>
          <w:color w:val="auto"/>
          <w:sz w:val="24"/>
          <w:szCs w:val="24"/>
        </w:rPr>
        <w:t>)</w:t>
      </w:r>
      <w:r>
        <w:rPr>
          <w:rFonts w:hAnsi="宋体"/>
          <w:color w:val="auto"/>
          <w:sz w:val="24"/>
          <w:szCs w:val="24"/>
        </w:rPr>
        <w:t>，提交文件正本</w:t>
      </w:r>
      <w:r>
        <w:rPr>
          <w:color w:val="auto"/>
          <w:sz w:val="24"/>
          <w:szCs w:val="24"/>
        </w:rPr>
        <w:t>1</w:t>
      </w:r>
      <w:r>
        <w:rPr>
          <w:rFonts w:hAnsi="宋体"/>
          <w:color w:val="auto"/>
          <w:sz w:val="24"/>
          <w:szCs w:val="24"/>
        </w:rPr>
        <w:t>份</w:t>
      </w:r>
      <w:r>
        <w:rPr>
          <w:rFonts w:hint="eastAsia" w:hAnsi="宋体"/>
          <w:color w:val="auto"/>
          <w:sz w:val="24"/>
          <w:szCs w:val="24"/>
        </w:rPr>
        <w:t>、</w:t>
      </w:r>
      <w:r>
        <w:rPr>
          <w:rFonts w:hAnsi="宋体"/>
          <w:color w:val="auto"/>
          <w:sz w:val="24"/>
          <w:szCs w:val="24"/>
        </w:rPr>
        <w:t>副本</w:t>
      </w:r>
      <w:r>
        <w:rPr>
          <w:rFonts w:hint="eastAsia"/>
          <w:color w:val="auto"/>
          <w:sz w:val="24"/>
          <w:szCs w:val="24"/>
        </w:rPr>
        <w:t>2</w:t>
      </w:r>
      <w:r>
        <w:rPr>
          <w:rFonts w:hAnsi="宋体"/>
          <w:color w:val="auto"/>
          <w:sz w:val="24"/>
          <w:szCs w:val="24"/>
        </w:rPr>
        <w:t>份。</w:t>
      </w:r>
    </w:p>
    <w:p>
      <w:pPr>
        <w:autoSpaceDE w:val="0"/>
        <w:autoSpaceDN w:val="0"/>
        <w:snapToGrid w:val="0"/>
        <w:spacing w:line="360" w:lineRule="auto"/>
        <w:rPr>
          <w:color w:val="auto"/>
          <w:sz w:val="24"/>
          <w:szCs w:val="24"/>
        </w:rPr>
      </w:pPr>
      <w:r>
        <w:rPr>
          <w:rFonts w:hAnsi="宋体"/>
          <w:color w:val="auto"/>
          <w:sz w:val="24"/>
          <w:szCs w:val="24"/>
        </w:rPr>
        <w:t>据此函，签字人兹宣布同意如下：</w:t>
      </w:r>
    </w:p>
    <w:p>
      <w:pPr>
        <w:autoSpaceDE w:val="0"/>
        <w:autoSpaceDN w:val="0"/>
        <w:snapToGrid w:val="0"/>
        <w:spacing w:line="360" w:lineRule="auto"/>
        <w:rPr>
          <w:color w:val="auto"/>
          <w:sz w:val="24"/>
          <w:szCs w:val="24"/>
        </w:rPr>
      </w:pPr>
      <w:r>
        <w:rPr>
          <w:color w:val="auto"/>
          <w:sz w:val="24"/>
          <w:szCs w:val="24"/>
        </w:rPr>
        <w:t>(</w:t>
      </w:r>
      <w:r>
        <w:rPr>
          <w:rFonts w:hint="eastAsia"/>
          <w:color w:val="auto"/>
          <w:sz w:val="24"/>
          <w:szCs w:val="24"/>
        </w:rPr>
        <w:t>1</w:t>
      </w:r>
      <w:r>
        <w:rPr>
          <w:color w:val="auto"/>
          <w:sz w:val="24"/>
          <w:szCs w:val="24"/>
        </w:rPr>
        <w:t>)</w:t>
      </w:r>
      <w:r>
        <w:rPr>
          <w:rFonts w:hAnsi="宋体"/>
          <w:color w:val="auto"/>
          <w:sz w:val="24"/>
          <w:szCs w:val="24"/>
        </w:rPr>
        <w:t>我方自愿按照</w:t>
      </w:r>
      <w:r>
        <w:rPr>
          <w:rFonts w:hint="eastAsia" w:hAnsi="宋体"/>
          <w:color w:val="auto"/>
          <w:sz w:val="24"/>
          <w:szCs w:val="24"/>
        </w:rPr>
        <w:t>竞争性谈判</w:t>
      </w:r>
      <w:r>
        <w:rPr>
          <w:rFonts w:hAnsi="宋体"/>
          <w:color w:val="auto"/>
          <w:sz w:val="24"/>
          <w:szCs w:val="24"/>
        </w:rPr>
        <w:t>文件规定的各项要求向采购人提供所需货物或服务</w:t>
      </w:r>
      <w:r>
        <w:rPr>
          <w:rFonts w:hint="eastAsia" w:hAnsi="宋体"/>
          <w:color w:val="auto"/>
          <w:sz w:val="24"/>
          <w:szCs w:val="24"/>
        </w:rPr>
        <w:t>、工程</w:t>
      </w:r>
      <w:r>
        <w:rPr>
          <w:rFonts w:hAnsi="宋体"/>
          <w:color w:val="auto"/>
          <w:sz w:val="24"/>
          <w:szCs w:val="24"/>
        </w:rPr>
        <w:t>，本次</w:t>
      </w:r>
      <w:r>
        <w:rPr>
          <w:rFonts w:hint="eastAsia" w:hAnsi="宋体"/>
          <w:color w:val="auto"/>
          <w:sz w:val="24"/>
          <w:szCs w:val="24"/>
        </w:rPr>
        <w:t>采购活动</w:t>
      </w:r>
      <w:r>
        <w:rPr>
          <w:rFonts w:hAnsi="宋体"/>
          <w:color w:val="auto"/>
          <w:sz w:val="24"/>
          <w:szCs w:val="24"/>
        </w:rPr>
        <w:t>报价为人民币</w:t>
      </w:r>
      <w:r>
        <w:rPr>
          <w:rFonts w:hint="eastAsia" w:hAnsi="宋体"/>
          <w:color w:val="auto"/>
          <w:sz w:val="24"/>
          <w:szCs w:val="24"/>
        </w:rPr>
        <w:t>（小写）</w:t>
      </w:r>
      <w:r>
        <w:rPr>
          <w:rFonts w:hint="eastAsia" w:hAnsi="宋体"/>
          <w:color w:val="auto"/>
          <w:sz w:val="24"/>
          <w:szCs w:val="24"/>
          <w:u w:val="single"/>
        </w:rPr>
        <w:t xml:space="preserve">  </w:t>
      </w:r>
      <w:r>
        <w:rPr>
          <w:rFonts w:hAnsi="宋体"/>
          <w:color w:val="auto"/>
          <w:sz w:val="24"/>
          <w:szCs w:val="24"/>
          <w:u w:val="single"/>
        </w:rPr>
        <w:t xml:space="preserve">             </w:t>
      </w:r>
      <w:r>
        <w:rPr>
          <w:rFonts w:hint="eastAsia" w:hAnsi="宋体"/>
          <w:color w:val="auto"/>
          <w:sz w:val="24"/>
          <w:szCs w:val="24"/>
        </w:rPr>
        <w:t>，</w:t>
      </w:r>
      <w:r>
        <w:rPr>
          <w:rFonts w:hAnsi="宋体"/>
          <w:color w:val="auto"/>
          <w:sz w:val="24"/>
          <w:szCs w:val="24"/>
        </w:rPr>
        <w:t>（大写）</w:t>
      </w:r>
      <w:r>
        <w:rPr>
          <w:rFonts w:hint="eastAsia" w:hAnsi="宋体"/>
          <w:color w:val="auto"/>
          <w:sz w:val="24"/>
          <w:szCs w:val="24"/>
          <w:u w:val="single"/>
        </w:rPr>
        <w:t xml:space="preserve"> </w:t>
      </w:r>
      <w:r>
        <w:rPr>
          <w:rFonts w:hAnsi="宋体"/>
          <w:color w:val="auto"/>
          <w:sz w:val="24"/>
          <w:szCs w:val="24"/>
          <w:u w:val="single"/>
        </w:rPr>
        <w:t xml:space="preserve">      </w:t>
      </w:r>
      <w:r>
        <w:rPr>
          <w:rFonts w:hint="eastAsia" w:hAnsi="宋体"/>
          <w:color w:val="auto"/>
          <w:sz w:val="24"/>
          <w:szCs w:val="24"/>
          <w:u w:val="single"/>
        </w:rPr>
        <w:t xml:space="preserve">       </w:t>
      </w:r>
      <w:r>
        <w:rPr>
          <w:rFonts w:hAnsi="宋体"/>
          <w:color w:val="auto"/>
          <w:sz w:val="24"/>
          <w:szCs w:val="24"/>
        </w:rPr>
        <w:t>。</w:t>
      </w:r>
      <w:r>
        <w:rPr>
          <w:rFonts w:hint="eastAsia" w:hAnsi="宋体"/>
          <w:color w:val="auto"/>
          <w:sz w:val="24"/>
          <w:szCs w:val="24"/>
        </w:rPr>
        <w:t>交货期（服务期限/工期）：</w:t>
      </w:r>
      <w:r>
        <w:rPr>
          <w:rFonts w:hint="eastAsia" w:hAnsi="宋体"/>
          <w:color w:val="auto"/>
          <w:sz w:val="24"/>
          <w:szCs w:val="24"/>
          <w:u w:val="single"/>
        </w:rPr>
        <w:t>合同约定</w:t>
      </w:r>
      <w:r>
        <w:rPr>
          <w:rFonts w:hint="eastAsia" w:hAnsi="宋体"/>
          <w:color w:val="auto"/>
          <w:sz w:val="24"/>
          <w:szCs w:val="24"/>
        </w:rPr>
        <w:t>。</w:t>
      </w:r>
    </w:p>
    <w:p>
      <w:pPr>
        <w:autoSpaceDE w:val="0"/>
        <w:autoSpaceDN w:val="0"/>
        <w:snapToGrid w:val="0"/>
        <w:spacing w:line="360" w:lineRule="auto"/>
        <w:rPr>
          <w:color w:val="auto"/>
          <w:sz w:val="24"/>
          <w:szCs w:val="24"/>
        </w:rPr>
      </w:pPr>
      <w:r>
        <w:rPr>
          <w:color w:val="auto"/>
          <w:sz w:val="24"/>
          <w:szCs w:val="24"/>
        </w:rPr>
        <w:t xml:space="preserve">(2) </w:t>
      </w:r>
      <w:r>
        <w:rPr>
          <w:rFonts w:hAnsi="宋体"/>
          <w:color w:val="auto"/>
          <w:sz w:val="24"/>
          <w:szCs w:val="24"/>
        </w:rPr>
        <w:t>我们根据</w:t>
      </w:r>
      <w:r>
        <w:rPr>
          <w:rFonts w:hint="eastAsia" w:hAnsi="宋体"/>
          <w:color w:val="auto"/>
          <w:sz w:val="24"/>
          <w:szCs w:val="24"/>
        </w:rPr>
        <w:t>竞争性谈判</w:t>
      </w:r>
      <w:r>
        <w:rPr>
          <w:rFonts w:hAnsi="宋体"/>
          <w:color w:val="auto"/>
          <w:sz w:val="24"/>
          <w:szCs w:val="24"/>
        </w:rPr>
        <w:t>文件的规定，承担完成合同的责任和义务。</w:t>
      </w:r>
    </w:p>
    <w:p>
      <w:pPr>
        <w:autoSpaceDE w:val="0"/>
        <w:autoSpaceDN w:val="0"/>
        <w:snapToGrid w:val="0"/>
        <w:spacing w:line="360" w:lineRule="auto"/>
        <w:ind w:left="398" w:hanging="398" w:hangingChars="166"/>
        <w:rPr>
          <w:rFonts w:hAnsi="宋体"/>
          <w:color w:val="auto"/>
          <w:sz w:val="24"/>
          <w:szCs w:val="24"/>
        </w:rPr>
      </w:pPr>
      <w:r>
        <w:rPr>
          <w:color w:val="auto"/>
          <w:sz w:val="24"/>
          <w:szCs w:val="24"/>
        </w:rPr>
        <w:t xml:space="preserve">(3) </w:t>
      </w:r>
      <w:r>
        <w:rPr>
          <w:rFonts w:hAnsi="宋体"/>
          <w:color w:val="auto"/>
          <w:sz w:val="24"/>
          <w:szCs w:val="24"/>
        </w:rPr>
        <w:t>我们已详细审核全部</w:t>
      </w:r>
      <w:r>
        <w:rPr>
          <w:rFonts w:hint="eastAsia" w:hAnsi="宋体"/>
          <w:color w:val="auto"/>
          <w:sz w:val="24"/>
          <w:szCs w:val="24"/>
        </w:rPr>
        <w:t>竞争性谈判</w:t>
      </w:r>
      <w:r>
        <w:rPr>
          <w:rFonts w:hAnsi="宋体"/>
          <w:color w:val="auto"/>
          <w:sz w:val="24"/>
          <w:szCs w:val="24"/>
        </w:rPr>
        <w:t>文件，包括文件修改书</w:t>
      </w:r>
      <w:r>
        <w:rPr>
          <w:color w:val="auto"/>
          <w:sz w:val="24"/>
          <w:szCs w:val="24"/>
        </w:rPr>
        <w:t>(</w:t>
      </w:r>
      <w:r>
        <w:rPr>
          <w:rFonts w:hAnsi="宋体"/>
          <w:color w:val="auto"/>
          <w:sz w:val="24"/>
          <w:szCs w:val="24"/>
        </w:rPr>
        <w:t>如果有的话</w:t>
      </w:r>
      <w:r>
        <w:rPr>
          <w:color w:val="auto"/>
          <w:sz w:val="24"/>
          <w:szCs w:val="24"/>
        </w:rPr>
        <w:t>)</w:t>
      </w:r>
      <w:r>
        <w:rPr>
          <w:rFonts w:hAnsi="宋体"/>
          <w:color w:val="auto"/>
          <w:sz w:val="24"/>
          <w:szCs w:val="24"/>
        </w:rPr>
        <w:t>，参考资</w:t>
      </w:r>
    </w:p>
    <w:p>
      <w:pPr>
        <w:autoSpaceDE w:val="0"/>
        <w:autoSpaceDN w:val="0"/>
        <w:snapToGrid w:val="0"/>
        <w:spacing w:line="360" w:lineRule="auto"/>
        <w:ind w:left="398" w:hanging="398" w:hangingChars="166"/>
        <w:rPr>
          <w:color w:val="auto"/>
          <w:sz w:val="24"/>
          <w:szCs w:val="24"/>
        </w:rPr>
      </w:pPr>
      <w:r>
        <w:rPr>
          <w:rFonts w:hAnsi="宋体"/>
          <w:color w:val="auto"/>
          <w:sz w:val="24"/>
          <w:szCs w:val="24"/>
        </w:rPr>
        <w:t>料及有关附件，我们完全理解并放弃提出含糊不清或误解的问题的权利。</w:t>
      </w:r>
    </w:p>
    <w:p>
      <w:pPr>
        <w:autoSpaceDE w:val="0"/>
        <w:autoSpaceDN w:val="0"/>
        <w:snapToGrid w:val="0"/>
        <w:spacing w:line="360" w:lineRule="auto"/>
        <w:ind w:left="398" w:hanging="398" w:hangingChars="166"/>
        <w:rPr>
          <w:color w:val="auto"/>
          <w:sz w:val="24"/>
          <w:szCs w:val="24"/>
        </w:rPr>
      </w:pPr>
      <w:r>
        <w:rPr>
          <w:color w:val="auto"/>
          <w:sz w:val="24"/>
          <w:szCs w:val="24"/>
        </w:rPr>
        <w:t xml:space="preserve">(4) </w:t>
      </w:r>
      <w:r>
        <w:rPr>
          <w:rFonts w:hAnsi="宋体"/>
          <w:color w:val="auto"/>
          <w:sz w:val="24"/>
          <w:szCs w:val="24"/>
        </w:rPr>
        <w:t>本</w:t>
      </w:r>
      <w:r>
        <w:rPr>
          <w:rFonts w:hint="eastAsia" w:hAnsi="宋体"/>
          <w:color w:val="auto"/>
          <w:sz w:val="24"/>
          <w:szCs w:val="24"/>
        </w:rPr>
        <w:t>谈判</w:t>
      </w:r>
      <w:r>
        <w:rPr>
          <w:rFonts w:hAnsi="宋体"/>
          <w:color w:val="auto"/>
          <w:sz w:val="24"/>
          <w:szCs w:val="24"/>
        </w:rPr>
        <w:t>有效期为自</w:t>
      </w:r>
      <w:r>
        <w:rPr>
          <w:rFonts w:hint="eastAsia" w:hAnsi="宋体"/>
          <w:color w:val="auto"/>
          <w:sz w:val="24"/>
          <w:szCs w:val="24"/>
        </w:rPr>
        <w:t>谈判</w:t>
      </w:r>
      <w:r>
        <w:rPr>
          <w:rFonts w:hAnsi="宋体"/>
          <w:color w:val="auto"/>
          <w:sz w:val="24"/>
          <w:szCs w:val="24"/>
        </w:rPr>
        <w:t>日起</w:t>
      </w:r>
      <w:r>
        <w:rPr>
          <w:color w:val="auto"/>
          <w:sz w:val="24"/>
          <w:szCs w:val="24"/>
        </w:rPr>
        <w:t>90</w:t>
      </w:r>
      <w:r>
        <w:rPr>
          <w:rFonts w:hAnsi="宋体"/>
          <w:color w:val="auto"/>
          <w:sz w:val="24"/>
          <w:szCs w:val="24"/>
        </w:rPr>
        <w:t>个日历日。</w:t>
      </w:r>
      <w:r>
        <w:rPr>
          <w:rFonts w:hint="eastAsia" w:hAnsi="宋体"/>
          <w:color w:val="auto"/>
          <w:sz w:val="24"/>
          <w:szCs w:val="24"/>
        </w:rPr>
        <w:t>谈判</w:t>
      </w:r>
      <w:r>
        <w:rPr>
          <w:rFonts w:hAnsi="宋体"/>
          <w:color w:val="auto"/>
          <w:sz w:val="24"/>
          <w:szCs w:val="24"/>
        </w:rPr>
        <w:t>有效期满之前均具有约束力。</w:t>
      </w:r>
    </w:p>
    <w:p>
      <w:pPr>
        <w:autoSpaceDE w:val="0"/>
        <w:autoSpaceDN w:val="0"/>
        <w:snapToGrid w:val="0"/>
        <w:spacing w:line="360" w:lineRule="auto"/>
        <w:ind w:left="398" w:hanging="398" w:hangingChars="166"/>
        <w:rPr>
          <w:color w:val="auto"/>
          <w:sz w:val="24"/>
          <w:szCs w:val="24"/>
        </w:rPr>
      </w:pPr>
      <w:r>
        <w:rPr>
          <w:color w:val="auto"/>
          <w:sz w:val="24"/>
          <w:szCs w:val="24"/>
        </w:rPr>
        <w:t xml:space="preserve">(5) </w:t>
      </w:r>
      <w:r>
        <w:rPr>
          <w:rFonts w:hAnsi="宋体"/>
          <w:color w:val="auto"/>
          <w:sz w:val="24"/>
          <w:szCs w:val="24"/>
        </w:rPr>
        <w:t>同意按</w:t>
      </w:r>
      <w:r>
        <w:rPr>
          <w:rFonts w:hint="eastAsia" w:hAnsi="宋体"/>
          <w:color w:val="auto"/>
          <w:sz w:val="24"/>
          <w:szCs w:val="24"/>
        </w:rPr>
        <w:t>文件</w:t>
      </w:r>
      <w:r>
        <w:rPr>
          <w:rFonts w:hAnsi="宋体"/>
          <w:color w:val="auto"/>
          <w:sz w:val="24"/>
          <w:szCs w:val="24"/>
        </w:rPr>
        <w:t>须知中关于不予退还</w:t>
      </w:r>
      <w:r>
        <w:rPr>
          <w:rFonts w:hint="eastAsia" w:hAnsi="宋体"/>
          <w:color w:val="auto"/>
          <w:sz w:val="24"/>
          <w:szCs w:val="24"/>
        </w:rPr>
        <w:t>项目</w:t>
      </w:r>
      <w:r>
        <w:rPr>
          <w:rFonts w:hAnsi="宋体"/>
          <w:color w:val="auto"/>
          <w:sz w:val="24"/>
          <w:szCs w:val="24"/>
        </w:rPr>
        <w:t>保证金的规定。</w:t>
      </w:r>
    </w:p>
    <w:p>
      <w:pPr>
        <w:autoSpaceDE w:val="0"/>
        <w:autoSpaceDN w:val="0"/>
        <w:snapToGrid w:val="0"/>
        <w:spacing w:line="360" w:lineRule="auto"/>
        <w:ind w:left="398" w:hanging="398" w:hangingChars="166"/>
        <w:rPr>
          <w:color w:val="auto"/>
          <w:sz w:val="24"/>
          <w:szCs w:val="24"/>
        </w:rPr>
      </w:pPr>
      <w:r>
        <w:rPr>
          <w:color w:val="auto"/>
          <w:sz w:val="24"/>
          <w:szCs w:val="24"/>
        </w:rPr>
        <w:t xml:space="preserve">(6) </w:t>
      </w:r>
      <w:r>
        <w:rPr>
          <w:rFonts w:hAnsi="宋体"/>
          <w:color w:val="auto"/>
          <w:sz w:val="24"/>
          <w:szCs w:val="24"/>
        </w:rPr>
        <w:t>同意向贵方提供贵方可能要求的与本</w:t>
      </w:r>
      <w:r>
        <w:rPr>
          <w:rFonts w:hint="eastAsia" w:hAnsi="宋体"/>
          <w:color w:val="auto"/>
          <w:sz w:val="24"/>
          <w:szCs w:val="24"/>
        </w:rPr>
        <w:t>谈判</w:t>
      </w:r>
      <w:r>
        <w:rPr>
          <w:rFonts w:hAnsi="宋体"/>
          <w:color w:val="auto"/>
          <w:sz w:val="24"/>
          <w:szCs w:val="24"/>
        </w:rPr>
        <w:t>有关任何证据或资料。</w:t>
      </w:r>
    </w:p>
    <w:p>
      <w:pPr>
        <w:autoSpaceDE w:val="0"/>
        <w:autoSpaceDN w:val="0"/>
        <w:snapToGrid w:val="0"/>
        <w:spacing w:line="360" w:lineRule="auto"/>
        <w:ind w:left="398" w:hanging="398" w:hangingChars="166"/>
        <w:rPr>
          <w:rFonts w:hAnsi="宋体"/>
          <w:color w:val="auto"/>
          <w:sz w:val="24"/>
          <w:szCs w:val="24"/>
        </w:rPr>
      </w:pPr>
      <w:r>
        <w:rPr>
          <w:color w:val="auto"/>
          <w:sz w:val="24"/>
          <w:szCs w:val="24"/>
        </w:rPr>
        <w:t>(</w:t>
      </w:r>
      <w:r>
        <w:rPr>
          <w:rFonts w:hint="eastAsia"/>
          <w:color w:val="auto"/>
          <w:sz w:val="24"/>
          <w:szCs w:val="24"/>
        </w:rPr>
        <w:t>7</w:t>
      </w:r>
      <w:r>
        <w:rPr>
          <w:color w:val="auto"/>
          <w:sz w:val="24"/>
          <w:szCs w:val="24"/>
        </w:rPr>
        <w:t xml:space="preserve">) </w:t>
      </w:r>
      <w:r>
        <w:rPr>
          <w:rFonts w:hAnsi="宋体"/>
          <w:color w:val="auto"/>
          <w:sz w:val="24"/>
          <w:szCs w:val="24"/>
        </w:rPr>
        <w:t>如果我方成交，我方保证按照</w:t>
      </w:r>
      <w:r>
        <w:rPr>
          <w:rFonts w:hint="eastAsia" w:hAnsi="宋体"/>
          <w:color w:val="auto"/>
          <w:sz w:val="24"/>
          <w:szCs w:val="24"/>
        </w:rPr>
        <w:t>谈判文件</w:t>
      </w:r>
      <w:r>
        <w:rPr>
          <w:rFonts w:hAnsi="宋体"/>
          <w:color w:val="auto"/>
          <w:sz w:val="24"/>
          <w:szCs w:val="24"/>
        </w:rPr>
        <w:t>的规定向贵方交纳成交服务费</w:t>
      </w:r>
      <w:r>
        <w:rPr>
          <w:rFonts w:hint="eastAsia" w:hAnsi="宋体"/>
          <w:color w:val="auto"/>
          <w:sz w:val="24"/>
          <w:szCs w:val="24"/>
        </w:rPr>
        <w:t>。</w:t>
      </w:r>
    </w:p>
    <w:p>
      <w:pPr>
        <w:autoSpaceDE w:val="0"/>
        <w:autoSpaceDN w:val="0"/>
        <w:snapToGrid w:val="0"/>
        <w:spacing w:line="360" w:lineRule="auto"/>
        <w:ind w:left="398" w:hanging="398" w:hangingChars="166"/>
        <w:rPr>
          <w:rFonts w:hAnsi="宋体"/>
          <w:color w:val="auto"/>
          <w:sz w:val="24"/>
          <w:szCs w:val="24"/>
        </w:rPr>
      </w:pPr>
    </w:p>
    <w:p>
      <w:pPr>
        <w:autoSpaceDE w:val="0"/>
        <w:autoSpaceDN w:val="0"/>
        <w:snapToGrid w:val="0"/>
        <w:spacing w:line="360" w:lineRule="auto"/>
        <w:ind w:left="398" w:hanging="398" w:hangingChars="166"/>
        <w:rPr>
          <w:color w:val="auto"/>
          <w:sz w:val="24"/>
          <w:szCs w:val="24"/>
        </w:rPr>
      </w:pPr>
      <w:r>
        <w:rPr>
          <w:rFonts w:hAnsi="宋体"/>
          <w:color w:val="auto"/>
          <w:sz w:val="24"/>
          <w:szCs w:val="24"/>
        </w:rPr>
        <w:t>与本</w:t>
      </w:r>
      <w:r>
        <w:rPr>
          <w:rFonts w:hint="eastAsia" w:hAnsi="宋体"/>
          <w:color w:val="auto"/>
          <w:sz w:val="24"/>
          <w:szCs w:val="24"/>
        </w:rPr>
        <w:t>谈判</w:t>
      </w:r>
      <w:r>
        <w:rPr>
          <w:rFonts w:hAnsi="宋体"/>
          <w:color w:val="auto"/>
          <w:sz w:val="24"/>
          <w:szCs w:val="24"/>
        </w:rPr>
        <w:t>有关的正式通讯地址为：</w:t>
      </w:r>
    </w:p>
    <w:p>
      <w:pPr>
        <w:autoSpaceDE w:val="0"/>
        <w:autoSpaceDN w:val="0"/>
        <w:snapToGrid w:val="0"/>
        <w:spacing w:line="360" w:lineRule="auto"/>
        <w:ind w:firstLine="960" w:firstLineChars="400"/>
        <w:rPr>
          <w:rFonts w:hAnsi="宋体"/>
          <w:color w:val="auto"/>
          <w:sz w:val="24"/>
          <w:szCs w:val="24"/>
        </w:rPr>
      </w:pPr>
    </w:p>
    <w:p>
      <w:pPr>
        <w:autoSpaceDE w:val="0"/>
        <w:autoSpaceDN w:val="0"/>
        <w:snapToGrid w:val="0"/>
        <w:spacing w:line="360" w:lineRule="auto"/>
        <w:ind w:firstLine="960" w:firstLineChars="400"/>
        <w:rPr>
          <w:color w:val="auto"/>
          <w:sz w:val="24"/>
          <w:szCs w:val="24"/>
        </w:rPr>
      </w:pPr>
      <w:r>
        <w:rPr>
          <w:rFonts w:hAnsi="宋体"/>
          <w:color w:val="auto"/>
          <w:sz w:val="24"/>
          <w:szCs w:val="24"/>
        </w:rPr>
        <w:t>供应商名称：</w:t>
      </w:r>
    </w:p>
    <w:p>
      <w:pPr>
        <w:spacing w:line="360" w:lineRule="auto"/>
        <w:ind w:firstLine="955" w:firstLineChars="398"/>
        <w:rPr>
          <w:color w:val="auto"/>
          <w:sz w:val="24"/>
          <w:szCs w:val="24"/>
          <w:u w:val="single"/>
        </w:rPr>
      </w:pPr>
      <w:r>
        <w:rPr>
          <w:rFonts w:hAnsi="宋体"/>
          <w:color w:val="auto"/>
          <w:sz w:val="24"/>
          <w:szCs w:val="24"/>
        </w:rPr>
        <w:t>地址：</w:t>
      </w:r>
    </w:p>
    <w:p>
      <w:pPr>
        <w:autoSpaceDE w:val="0"/>
        <w:autoSpaceDN w:val="0"/>
        <w:snapToGrid w:val="0"/>
        <w:spacing w:line="360" w:lineRule="auto"/>
        <w:ind w:firstLine="955" w:firstLineChars="398"/>
        <w:rPr>
          <w:rFonts w:hAnsi="宋体"/>
          <w:color w:val="auto"/>
          <w:sz w:val="24"/>
          <w:szCs w:val="24"/>
        </w:rPr>
      </w:pPr>
      <w:r>
        <w:rPr>
          <w:rFonts w:hAnsi="宋体"/>
          <w:color w:val="auto"/>
          <w:sz w:val="24"/>
          <w:szCs w:val="24"/>
        </w:rPr>
        <w:t>电话：</w:t>
      </w:r>
    </w:p>
    <w:p>
      <w:pPr>
        <w:autoSpaceDE w:val="0"/>
        <w:autoSpaceDN w:val="0"/>
        <w:snapToGrid w:val="0"/>
        <w:spacing w:line="360" w:lineRule="auto"/>
        <w:ind w:firstLine="955" w:firstLineChars="398"/>
        <w:rPr>
          <w:color w:val="auto"/>
          <w:sz w:val="24"/>
          <w:szCs w:val="24"/>
          <w:u w:val="single"/>
        </w:rPr>
      </w:pPr>
      <w:r>
        <w:rPr>
          <w:rFonts w:hAnsi="宋体"/>
          <w:color w:val="auto"/>
          <w:sz w:val="24"/>
          <w:szCs w:val="24"/>
        </w:rPr>
        <w:t>传真：</w:t>
      </w:r>
    </w:p>
    <w:p>
      <w:pPr>
        <w:autoSpaceDE w:val="0"/>
        <w:autoSpaceDN w:val="0"/>
        <w:snapToGrid w:val="0"/>
        <w:spacing w:line="360" w:lineRule="auto"/>
        <w:ind w:firstLine="955" w:firstLineChars="398"/>
        <w:rPr>
          <w:color w:val="auto"/>
          <w:sz w:val="24"/>
          <w:szCs w:val="24"/>
          <w:u w:val="single"/>
        </w:rPr>
      </w:pPr>
      <w:r>
        <w:rPr>
          <w:rFonts w:hAnsi="宋体"/>
          <w:color w:val="auto"/>
          <w:sz w:val="24"/>
          <w:szCs w:val="24"/>
        </w:rPr>
        <w:t>邮政编码：</w:t>
      </w:r>
    </w:p>
    <w:p>
      <w:pPr>
        <w:spacing w:line="360" w:lineRule="auto"/>
        <w:ind w:firstLine="420" w:firstLineChars="175"/>
        <w:rPr>
          <w:color w:val="auto"/>
          <w:sz w:val="24"/>
          <w:szCs w:val="24"/>
          <w:u w:val="single"/>
        </w:rPr>
      </w:pPr>
      <w:r>
        <w:rPr>
          <w:rFonts w:hAnsi="宋体"/>
          <w:color w:val="auto"/>
          <w:sz w:val="24"/>
          <w:szCs w:val="24"/>
        </w:rPr>
        <w:t>法定代表人或授权代表（签字）</w:t>
      </w:r>
      <w:r>
        <w:rPr>
          <w:rFonts w:hAnsi="宋体"/>
          <w:bCs/>
          <w:color w:val="auto"/>
          <w:sz w:val="24"/>
          <w:szCs w:val="24"/>
        </w:rPr>
        <w:t>：</w:t>
      </w:r>
    </w:p>
    <w:p>
      <w:pPr>
        <w:autoSpaceDE w:val="0"/>
        <w:autoSpaceDN w:val="0"/>
        <w:snapToGrid w:val="0"/>
        <w:spacing w:line="360" w:lineRule="auto"/>
        <w:ind w:firstLine="955" w:firstLineChars="398"/>
        <w:rPr>
          <w:color w:val="auto"/>
          <w:sz w:val="24"/>
          <w:szCs w:val="24"/>
          <w:u w:val="single"/>
        </w:rPr>
      </w:pPr>
      <w:r>
        <w:rPr>
          <w:rFonts w:hAnsi="宋体"/>
          <w:color w:val="auto"/>
          <w:sz w:val="24"/>
          <w:szCs w:val="24"/>
        </w:rPr>
        <w:t>公章：</w:t>
      </w:r>
    </w:p>
    <w:p>
      <w:pPr>
        <w:autoSpaceDE w:val="0"/>
        <w:autoSpaceDN w:val="0"/>
        <w:snapToGrid w:val="0"/>
        <w:spacing w:line="360" w:lineRule="auto"/>
        <w:ind w:firstLine="955" w:firstLineChars="398"/>
        <w:rPr>
          <w:color w:val="auto"/>
          <w:sz w:val="24"/>
          <w:szCs w:val="24"/>
          <w:u w:val="single"/>
        </w:rPr>
      </w:pPr>
      <w:r>
        <w:rPr>
          <w:rFonts w:hAnsi="宋体"/>
          <w:color w:val="auto"/>
          <w:sz w:val="24"/>
          <w:szCs w:val="24"/>
        </w:rPr>
        <w:t>日期：</w:t>
      </w:r>
    </w:p>
    <w:p>
      <w:pPr>
        <w:pStyle w:val="4"/>
        <w:spacing w:before="0" w:after="0"/>
        <w:rPr>
          <w:rFonts w:ascii="宋体" w:hAnsi="宋体" w:eastAsia="宋体"/>
          <w:color w:val="auto"/>
        </w:rPr>
      </w:pPr>
      <w:r>
        <w:rPr>
          <w:rFonts w:hint="eastAsia" w:ascii="宋体" w:hAnsi="宋体" w:eastAsia="宋体"/>
          <w:color w:val="auto"/>
        </w:rPr>
        <w:t>二、报  价  表</w:t>
      </w:r>
    </w:p>
    <w:p>
      <w:pPr>
        <w:spacing w:line="360" w:lineRule="auto"/>
        <w:jc w:val="left"/>
        <w:rPr>
          <w:rFonts w:hAnsi="宋体" w:cs="宋体"/>
          <w:b/>
          <w:color w:val="auto"/>
          <w:sz w:val="24"/>
          <w:szCs w:val="24"/>
        </w:rPr>
      </w:pPr>
      <w:r>
        <w:rPr>
          <w:rFonts w:hint="eastAsia" w:hAnsi="宋体" w:cs="宋体"/>
          <w:b/>
          <w:color w:val="auto"/>
          <w:sz w:val="24"/>
          <w:szCs w:val="24"/>
        </w:rPr>
        <w:t>项目名称：</w:t>
      </w:r>
    </w:p>
    <w:p>
      <w:pPr>
        <w:spacing w:line="360" w:lineRule="auto"/>
        <w:jc w:val="left"/>
        <w:rPr>
          <w:rFonts w:hint="eastAsia" w:hAnsi="宋体" w:cs="宋体"/>
          <w:b/>
          <w:color w:val="auto"/>
          <w:sz w:val="24"/>
          <w:szCs w:val="24"/>
        </w:rPr>
      </w:pPr>
      <w:r>
        <w:rPr>
          <w:rFonts w:hint="eastAsia" w:hAnsi="宋体" w:cs="宋体"/>
          <w:b/>
          <w:color w:val="auto"/>
          <w:sz w:val="24"/>
          <w:szCs w:val="24"/>
        </w:rPr>
        <w:t>项目编号：</w:t>
      </w:r>
    </w:p>
    <w:p>
      <w:pPr>
        <w:spacing w:line="360" w:lineRule="auto"/>
        <w:jc w:val="left"/>
        <w:rPr>
          <w:rFonts w:hint="eastAsia" w:hAnsi="宋体" w:cs="宋体"/>
          <w:b/>
          <w:color w:val="auto"/>
          <w:sz w:val="24"/>
          <w:szCs w:val="24"/>
        </w:rPr>
      </w:pPr>
    </w:p>
    <w:tbl>
      <w:tblPr>
        <w:tblStyle w:val="55"/>
        <w:tblW w:w="9297"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8"/>
        <w:gridCol w:w="2946"/>
        <w:gridCol w:w="2946"/>
        <w:gridCol w:w="2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8" w:hRule="atLeast"/>
        </w:trPr>
        <w:tc>
          <w:tcPr>
            <w:tcW w:w="458" w:type="dxa"/>
            <w:vAlign w:val="center"/>
          </w:tcPr>
          <w:p>
            <w:pPr>
              <w:widowControl/>
              <w:spacing w:line="360" w:lineRule="auto"/>
              <w:jc w:val="center"/>
              <w:rPr>
                <w:rFonts w:hAnsi="宋体" w:cs="宋体"/>
                <w:b/>
                <w:bCs/>
                <w:color w:val="auto"/>
                <w:sz w:val="24"/>
                <w:highlight w:val="none"/>
              </w:rPr>
            </w:pPr>
            <w:r>
              <w:rPr>
                <w:rFonts w:hint="eastAsia" w:hAnsi="宋体" w:cs="宋体"/>
                <w:b/>
                <w:bCs/>
                <w:color w:val="auto"/>
                <w:sz w:val="24"/>
                <w:highlight w:val="none"/>
              </w:rPr>
              <w:t>序号</w:t>
            </w:r>
          </w:p>
        </w:tc>
        <w:tc>
          <w:tcPr>
            <w:tcW w:w="2946" w:type="dxa"/>
            <w:vAlign w:val="center"/>
          </w:tcPr>
          <w:p>
            <w:pPr>
              <w:spacing w:line="360" w:lineRule="auto"/>
              <w:jc w:val="center"/>
              <w:rPr>
                <w:rFonts w:hAnsi="宋体" w:cs="宋体"/>
                <w:b/>
                <w:bCs/>
                <w:color w:val="auto"/>
                <w:sz w:val="24"/>
                <w:highlight w:val="none"/>
              </w:rPr>
            </w:pPr>
            <w:r>
              <w:rPr>
                <w:rFonts w:hint="eastAsia" w:hAnsi="宋体" w:cs="宋体"/>
                <w:b/>
                <w:bCs/>
                <w:color w:val="auto"/>
                <w:sz w:val="24"/>
                <w:highlight w:val="none"/>
                <w:lang w:eastAsia="zh-CN"/>
              </w:rPr>
              <w:t>采购</w:t>
            </w:r>
            <w:r>
              <w:rPr>
                <w:rFonts w:hint="eastAsia" w:hAnsi="宋体" w:cs="宋体"/>
                <w:b/>
                <w:bCs/>
                <w:color w:val="auto"/>
                <w:sz w:val="24"/>
                <w:highlight w:val="none"/>
              </w:rPr>
              <w:t>内容</w:t>
            </w:r>
          </w:p>
        </w:tc>
        <w:tc>
          <w:tcPr>
            <w:tcW w:w="2946" w:type="dxa"/>
            <w:vAlign w:val="center"/>
          </w:tcPr>
          <w:p>
            <w:pPr>
              <w:widowControl/>
              <w:spacing w:line="360" w:lineRule="auto"/>
              <w:jc w:val="center"/>
              <w:rPr>
                <w:rFonts w:hint="eastAsia" w:hAnsi="宋体" w:cs="宋体"/>
                <w:b/>
                <w:bCs/>
                <w:color w:val="auto"/>
                <w:sz w:val="24"/>
                <w:highlight w:val="none"/>
              </w:rPr>
            </w:pPr>
            <w:r>
              <w:rPr>
                <w:rFonts w:hint="eastAsia" w:hAnsi="宋体" w:cs="宋体"/>
                <w:b/>
                <w:bCs/>
                <w:color w:val="auto"/>
                <w:sz w:val="24"/>
                <w:highlight w:val="none"/>
              </w:rPr>
              <w:t>报价（万元）</w:t>
            </w:r>
          </w:p>
        </w:tc>
        <w:tc>
          <w:tcPr>
            <w:tcW w:w="2947" w:type="dxa"/>
            <w:vAlign w:val="center"/>
          </w:tcPr>
          <w:p>
            <w:pPr>
              <w:widowControl/>
              <w:spacing w:line="360" w:lineRule="auto"/>
              <w:jc w:val="center"/>
              <w:rPr>
                <w:rFonts w:hint="eastAsia" w:hAnsi="宋体" w:cs="宋体"/>
                <w:b/>
                <w:bCs/>
                <w:color w:val="auto"/>
                <w:sz w:val="24"/>
                <w:highlight w:val="none"/>
              </w:rPr>
            </w:pPr>
            <w:r>
              <w:rPr>
                <w:rFonts w:hint="eastAsia" w:hAnsi="宋体" w:cs="宋体"/>
                <w:b/>
                <w:bCs/>
                <w:color w:val="auto"/>
                <w:sz w:val="24"/>
                <w:highlight w:val="none"/>
                <w:lang w:eastAsia="zh-CN"/>
              </w:rPr>
              <w:t>交货时间</w:t>
            </w:r>
            <w:r>
              <w:rPr>
                <w:rFonts w:hint="eastAsia" w:hAnsi="宋体" w:cs="宋体"/>
                <w:b/>
                <w:bCs/>
                <w:color w:val="auto"/>
                <w:sz w:val="24"/>
                <w:highlight w:val="none"/>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trPr>
        <w:tc>
          <w:tcPr>
            <w:tcW w:w="458" w:type="dxa"/>
            <w:vAlign w:val="center"/>
          </w:tcPr>
          <w:p>
            <w:pPr>
              <w:spacing w:line="360" w:lineRule="auto"/>
              <w:jc w:val="center"/>
              <w:rPr>
                <w:rFonts w:hint="eastAsia" w:hAnsi="宋体"/>
                <w:color w:val="auto"/>
                <w:sz w:val="24"/>
                <w:highlight w:val="none"/>
              </w:rPr>
            </w:pPr>
            <w:r>
              <w:rPr>
                <w:rFonts w:hint="eastAsia" w:hAnsi="宋体"/>
                <w:color w:val="auto"/>
                <w:sz w:val="24"/>
                <w:highlight w:val="none"/>
              </w:rPr>
              <w:t>1</w:t>
            </w:r>
          </w:p>
        </w:tc>
        <w:tc>
          <w:tcPr>
            <w:tcW w:w="2946" w:type="dxa"/>
            <w:vAlign w:val="center"/>
          </w:tcPr>
          <w:p>
            <w:pPr>
              <w:spacing w:line="360" w:lineRule="auto"/>
              <w:jc w:val="center"/>
              <w:rPr>
                <w:rFonts w:hAnsi="宋体"/>
                <w:color w:val="auto"/>
                <w:sz w:val="24"/>
                <w:highlight w:val="none"/>
              </w:rPr>
            </w:pPr>
          </w:p>
        </w:tc>
        <w:tc>
          <w:tcPr>
            <w:tcW w:w="2946" w:type="dxa"/>
            <w:vAlign w:val="center"/>
          </w:tcPr>
          <w:p>
            <w:pPr>
              <w:widowControl/>
              <w:spacing w:line="360" w:lineRule="auto"/>
              <w:jc w:val="center"/>
              <w:rPr>
                <w:rFonts w:hint="eastAsia" w:hAnsi="宋体" w:cs="宋体"/>
                <w:bCs/>
                <w:color w:val="auto"/>
                <w:szCs w:val="21"/>
                <w:highlight w:val="none"/>
              </w:rPr>
            </w:pPr>
          </w:p>
        </w:tc>
        <w:tc>
          <w:tcPr>
            <w:tcW w:w="2947" w:type="dxa"/>
            <w:vAlign w:val="center"/>
          </w:tcPr>
          <w:p>
            <w:pPr>
              <w:widowControl/>
              <w:spacing w:line="360" w:lineRule="auto"/>
              <w:jc w:val="center"/>
              <w:rPr>
                <w:rFonts w:hint="eastAsia"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trPr>
        <w:tc>
          <w:tcPr>
            <w:tcW w:w="458" w:type="dxa"/>
            <w:vAlign w:val="center"/>
          </w:tcPr>
          <w:p>
            <w:pPr>
              <w:spacing w:line="360" w:lineRule="auto"/>
              <w:jc w:val="center"/>
              <w:rPr>
                <w:rFonts w:hint="eastAsia" w:hAnsi="宋体"/>
                <w:color w:val="auto"/>
                <w:sz w:val="24"/>
                <w:highlight w:val="none"/>
              </w:rPr>
            </w:pPr>
            <w:r>
              <w:rPr>
                <w:rFonts w:hint="eastAsia" w:hAnsi="宋体"/>
                <w:color w:val="auto"/>
                <w:sz w:val="24"/>
                <w:highlight w:val="none"/>
              </w:rPr>
              <w:t>2</w:t>
            </w:r>
          </w:p>
        </w:tc>
        <w:tc>
          <w:tcPr>
            <w:tcW w:w="2946" w:type="dxa"/>
            <w:vAlign w:val="center"/>
          </w:tcPr>
          <w:p>
            <w:pPr>
              <w:spacing w:line="360" w:lineRule="auto"/>
              <w:jc w:val="center"/>
              <w:rPr>
                <w:rFonts w:hint="eastAsia" w:hAnsi="宋体"/>
                <w:color w:val="auto"/>
                <w:sz w:val="24"/>
                <w:highlight w:val="none"/>
              </w:rPr>
            </w:pPr>
          </w:p>
        </w:tc>
        <w:tc>
          <w:tcPr>
            <w:tcW w:w="2946" w:type="dxa"/>
            <w:vAlign w:val="center"/>
          </w:tcPr>
          <w:p>
            <w:pPr>
              <w:widowControl/>
              <w:spacing w:line="360" w:lineRule="auto"/>
              <w:jc w:val="center"/>
              <w:rPr>
                <w:rFonts w:hint="eastAsia" w:hAnsi="宋体" w:cs="宋体"/>
                <w:bCs/>
                <w:color w:val="auto"/>
                <w:szCs w:val="21"/>
                <w:highlight w:val="none"/>
              </w:rPr>
            </w:pPr>
          </w:p>
        </w:tc>
        <w:tc>
          <w:tcPr>
            <w:tcW w:w="2947" w:type="dxa"/>
            <w:vAlign w:val="center"/>
          </w:tcPr>
          <w:p>
            <w:pPr>
              <w:widowControl/>
              <w:spacing w:line="360" w:lineRule="auto"/>
              <w:jc w:val="center"/>
              <w:rPr>
                <w:rFonts w:hint="eastAsia"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trPr>
        <w:tc>
          <w:tcPr>
            <w:tcW w:w="458" w:type="dxa"/>
            <w:vAlign w:val="center"/>
          </w:tcPr>
          <w:p>
            <w:pPr>
              <w:spacing w:line="360" w:lineRule="auto"/>
              <w:jc w:val="center"/>
              <w:rPr>
                <w:rFonts w:hint="eastAsia" w:hAnsi="宋体"/>
                <w:color w:val="auto"/>
                <w:sz w:val="24"/>
                <w:highlight w:val="none"/>
              </w:rPr>
            </w:pPr>
            <w:r>
              <w:rPr>
                <w:rFonts w:hint="eastAsia" w:hAnsi="宋体"/>
                <w:color w:val="auto"/>
                <w:sz w:val="24"/>
                <w:highlight w:val="none"/>
              </w:rPr>
              <w:t>3</w:t>
            </w:r>
          </w:p>
        </w:tc>
        <w:tc>
          <w:tcPr>
            <w:tcW w:w="2946" w:type="dxa"/>
            <w:vAlign w:val="center"/>
          </w:tcPr>
          <w:p>
            <w:pPr>
              <w:spacing w:line="360" w:lineRule="auto"/>
              <w:jc w:val="center"/>
              <w:rPr>
                <w:rFonts w:hint="eastAsia" w:hAnsi="宋体"/>
                <w:color w:val="auto"/>
                <w:sz w:val="24"/>
                <w:highlight w:val="none"/>
              </w:rPr>
            </w:pPr>
          </w:p>
        </w:tc>
        <w:tc>
          <w:tcPr>
            <w:tcW w:w="2946" w:type="dxa"/>
            <w:vAlign w:val="center"/>
          </w:tcPr>
          <w:p>
            <w:pPr>
              <w:widowControl/>
              <w:spacing w:line="360" w:lineRule="auto"/>
              <w:jc w:val="center"/>
              <w:rPr>
                <w:rFonts w:hint="eastAsia" w:hAnsi="宋体" w:cs="宋体"/>
                <w:bCs/>
                <w:color w:val="auto"/>
                <w:szCs w:val="21"/>
                <w:highlight w:val="none"/>
              </w:rPr>
            </w:pPr>
          </w:p>
        </w:tc>
        <w:tc>
          <w:tcPr>
            <w:tcW w:w="2947" w:type="dxa"/>
            <w:vAlign w:val="center"/>
          </w:tcPr>
          <w:p>
            <w:pPr>
              <w:widowControl/>
              <w:spacing w:line="360" w:lineRule="auto"/>
              <w:jc w:val="center"/>
              <w:rPr>
                <w:rFonts w:hint="eastAsia" w:hAnsi="宋体" w:cs="宋体"/>
                <w:bCs/>
                <w:color w:val="auto"/>
                <w:szCs w:val="21"/>
                <w:highlight w:val="none"/>
              </w:rPr>
            </w:pPr>
          </w:p>
        </w:tc>
      </w:tr>
    </w:tbl>
    <w:p>
      <w:pPr>
        <w:spacing w:line="360" w:lineRule="auto"/>
        <w:rPr>
          <w:rFonts w:hAnsi="宋体" w:cs="宋体"/>
          <w:b/>
          <w:color w:val="auto"/>
          <w:sz w:val="24"/>
          <w:szCs w:val="24"/>
          <w:u w:val="single"/>
        </w:rPr>
      </w:pPr>
    </w:p>
    <w:p>
      <w:pPr>
        <w:adjustRightInd w:val="0"/>
        <w:snapToGrid w:val="0"/>
        <w:spacing w:line="360" w:lineRule="auto"/>
        <w:rPr>
          <w:rFonts w:hAnsi="宋体" w:cs="宋体"/>
          <w:bCs/>
          <w:color w:val="auto"/>
          <w:sz w:val="24"/>
          <w:szCs w:val="24"/>
        </w:rPr>
      </w:pPr>
      <w:r>
        <w:rPr>
          <w:rFonts w:hint="eastAsia" w:hAnsi="宋体" w:cs="宋体"/>
          <w:bCs/>
          <w:color w:val="auto"/>
          <w:sz w:val="24"/>
          <w:szCs w:val="24"/>
        </w:rPr>
        <w:t>注：</w:t>
      </w:r>
    </w:p>
    <w:p>
      <w:pPr>
        <w:adjustRightInd w:val="0"/>
        <w:snapToGrid w:val="0"/>
        <w:spacing w:line="360" w:lineRule="auto"/>
        <w:rPr>
          <w:rFonts w:hAnsi="宋体" w:cs="宋体"/>
          <w:bCs/>
          <w:color w:val="auto"/>
          <w:sz w:val="24"/>
          <w:szCs w:val="24"/>
        </w:rPr>
      </w:pPr>
      <w:r>
        <w:rPr>
          <w:rFonts w:hint="eastAsia" w:hAnsi="宋体" w:cs="宋体"/>
          <w:bCs/>
          <w:color w:val="auto"/>
          <w:sz w:val="24"/>
          <w:szCs w:val="24"/>
        </w:rPr>
        <w:t>1. 报价应是最终用户验收合格后的总价，包括货物运输、保险、代理、安装调试、培训、税费、系统集成费用和谈判文件规定的其它费用。</w:t>
      </w:r>
    </w:p>
    <w:p>
      <w:pPr>
        <w:adjustRightInd w:val="0"/>
        <w:snapToGrid w:val="0"/>
        <w:spacing w:line="360" w:lineRule="auto"/>
        <w:rPr>
          <w:rFonts w:hAnsi="宋体" w:cs="宋体"/>
          <w:bCs/>
          <w:color w:val="auto"/>
          <w:sz w:val="24"/>
          <w:szCs w:val="24"/>
        </w:rPr>
      </w:pPr>
      <w:r>
        <w:rPr>
          <w:rFonts w:hint="eastAsia" w:hAnsi="宋体" w:cs="宋体"/>
          <w:bCs/>
          <w:color w:val="auto"/>
          <w:sz w:val="24"/>
          <w:szCs w:val="24"/>
        </w:rPr>
        <w:t>2. 以上表格如不能完全表达清楚供应商认为必要的费用明细，供应商可自行补充。</w:t>
      </w:r>
    </w:p>
    <w:p>
      <w:pPr>
        <w:adjustRightInd w:val="0"/>
        <w:snapToGrid w:val="0"/>
        <w:spacing w:line="360" w:lineRule="auto"/>
        <w:rPr>
          <w:rFonts w:hAnsi="宋体" w:cs="宋体"/>
          <w:bCs/>
          <w:color w:val="auto"/>
          <w:sz w:val="24"/>
          <w:szCs w:val="24"/>
        </w:rPr>
      </w:pPr>
      <w:r>
        <w:rPr>
          <w:rFonts w:hint="eastAsia" w:hAnsi="宋体" w:cs="宋体"/>
          <w:bCs/>
          <w:color w:val="auto"/>
          <w:sz w:val="24"/>
          <w:szCs w:val="24"/>
        </w:rPr>
        <w:t>3. 最终结算金额以实际为准。</w:t>
      </w:r>
    </w:p>
    <w:p>
      <w:pPr>
        <w:spacing w:line="360" w:lineRule="auto"/>
        <w:rPr>
          <w:rFonts w:hAnsi="宋体" w:cs="宋体"/>
          <w:color w:val="auto"/>
          <w:sz w:val="24"/>
          <w:szCs w:val="24"/>
        </w:rPr>
      </w:pPr>
    </w:p>
    <w:p>
      <w:pPr>
        <w:spacing w:line="360" w:lineRule="auto"/>
        <w:rPr>
          <w:rFonts w:hAnsi="宋体" w:cs="宋体"/>
          <w:color w:val="auto"/>
          <w:sz w:val="24"/>
          <w:szCs w:val="24"/>
        </w:rPr>
      </w:pPr>
    </w:p>
    <w:p>
      <w:pPr>
        <w:spacing w:line="360" w:lineRule="auto"/>
        <w:rPr>
          <w:rFonts w:hAnsi="宋体" w:cs="宋体"/>
          <w:bCs/>
          <w:color w:val="auto"/>
          <w:sz w:val="24"/>
          <w:szCs w:val="24"/>
        </w:rPr>
      </w:pPr>
      <w:r>
        <w:rPr>
          <w:rFonts w:hint="eastAsia" w:hAnsi="宋体" w:cs="宋体"/>
          <w:bCs/>
          <w:color w:val="auto"/>
          <w:sz w:val="24"/>
          <w:szCs w:val="24"/>
        </w:rPr>
        <w:t>供应商（单位公章）：</w:t>
      </w:r>
    </w:p>
    <w:p>
      <w:pPr>
        <w:spacing w:line="360" w:lineRule="auto"/>
        <w:rPr>
          <w:rFonts w:hAnsi="宋体" w:cs="宋体"/>
          <w:bCs/>
          <w:color w:val="auto"/>
          <w:sz w:val="24"/>
          <w:szCs w:val="24"/>
        </w:rPr>
      </w:pPr>
      <w:r>
        <w:rPr>
          <w:rFonts w:hint="eastAsia" w:hAnsi="宋体" w:cs="宋体"/>
          <w:bCs/>
          <w:color w:val="auto"/>
          <w:sz w:val="24"/>
          <w:szCs w:val="24"/>
        </w:rPr>
        <w:t>法定代表人或授权代表（签字）：</w:t>
      </w:r>
    </w:p>
    <w:p>
      <w:pPr>
        <w:spacing w:line="360" w:lineRule="auto"/>
        <w:rPr>
          <w:rFonts w:hAnsi="宋体" w:cs="宋体"/>
          <w:bCs/>
          <w:color w:val="auto"/>
          <w:sz w:val="24"/>
          <w:szCs w:val="24"/>
        </w:rPr>
      </w:pPr>
      <w:r>
        <w:rPr>
          <w:rFonts w:hint="eastAsia" w:hAnsi="宋体" w:cs="宋体"/>
          <w:bCs/>
          <w:color w:val="auto"/>
          <w:sz w:val="24"/>
          <w:szCs w:val="24"/>
        </w:rPr>
        <w:t>日期：</w:t>
      </w:r>
    </w:p>
    <w:p>
      <w:pPr>
        <w:widowControl/>
        <w:spacing w:line="360" w:lineRule="auto"/>
        <w:jc w:val="left"/>
        <w:rPr>
          <w:rFonts w:hAnsi="宋体"/>
          <w:color w:val="auto"/>
          <w:sz w:val="24"/>
          <w:szCs w:val="24"/>
        </w:rPr>
      </w:pPr>
      <w:r>
        <w:rPr>
          <w:rFonts w:hAnsi="宋体"/>
          <w:color w:val="auto"/>
          <w:sz w:val="24"/>
          <w:szCs w:val="24"/>
        </w:rPr>
        <w:br w:type="page"/>
      </w:r>
    </w:p>
    <w:p>
      <w:pPr>
        <w:spacing w:line="360" w:lineRule="auto"/>
        <w:jc w:val="center"/>
        <w:rPr>
          <w:rFonts w:hAnsi="宋体"/>
          <w:b/>
          <w:color w:val="auto"/>
          <w:sz w:val="32"/>
          <w:szCs w:val="32"/>
        </w:rPr>
      </w:pPr>
      <w:r>
        <w:rPr>
          <w:rFonts w:hint="eastAsia"/>
          <w:b/>
          <w:bCs/>
          <w:color w:val="auto"/>
          <w:sz w:val="32"/>
        </w:rPr>
        <w:t>三、</w:t>
      </w:r>
      <w:r>
        <w:rPr>
          <w:rFonts w:hint="eastAsia" w:hAnsi="宋体"/>
          <w:b/>
          <w:color w:val="auto"/>
          <w:sz w:val="32"/>
          <w:szCs w:val="32"/>
        </w:rPr>
        <w:t>分项报价明细表</w:t>
      </w:r>
    </w:p>
    <w:p>
      <w:pPr>
        <w:spacing w:line="360" w:lineRule="auto"/>
        <w:jc w:val="center"/>
        <w:rPr>
          <w:rFonts w:hAnsi="宋体"/>
          <w:b/>
          <w:color w:val="auto"/>
          <w:sz w:val="32"/>
          <w:szCs w:val="32"/>
        </w:rPr>
      </w:pPr>
    </w:p>
    <w:p>
      <w:pPr>
        <w:spacing w:line="360" w:lineRule="auto"/>
        <w:jc w:val="center"/>
        <w:rPr>
          <w:rFonts w:hAnsi="宋体"/>
          <w:b/>
          <w:color w:val="auto"/>
          <w:sz w:val="32"/>
          <w:szCs w:val="32"/>
        </w:rPr>
      </w:pPr>
    </w:p>
    <w:p>
      <w:pPr>
        <w:spacing w:line="360" w:lineRule="auto"/>
        <w:jc w:val="center"/>
        <w:rPr>
          <w:rFonts w:hAnsi="宋体"/>
          <w:b/>
          <w:color w:val="auto"/>
          <w:sz w:val="32"/>
          <w:szCs w:val="32"/>
        </w:rPr>
      </w:pPr>
    </w:p>
    <w:p>
      <w:pPr>
        <w:spacing w:line="360" w:lineRule="auto"/>
        <w:jc w:val="center"/>
        <w:rPr>
          <w:rFonts w:hAnsi="宋体"/>
          <w:b/>
          <w:color w:val="auto"/>
          <w:sz w:val="32"/>
          <w:szCs w:val="32"/>
        </w:rPr>
      </w:pPr>
    </w:p>
    <w:p>
      <w:pPr>
        <w:spacing w:line="360" w:lineRule="auto"/>
        <w:ind w:firstLine="281" w:firstLineChars="100"/>
        <w:jc w:val="center"/>
        <w:rPr>
          <w:rFonts w:hAnsi="宋体"/>
          <w:b/>
          <w:bCs/>
          <w:color w:val="auto"/>
          <w:sz w:val="28"/>
          <w:szCs w:val="28"/>
        </w:rPr>
      </w:pPr>
      <w:r>
        <w:rPr>
          <w:rFonts w:hint="eastAsia" w:hAnsi="宋体"/>
          <w:b/>
          <w:bCs/>
          <w:color w:val="auto"/>
          <w:sz w:val="28"/>
          <w:szCs w:val="28"/>
        </w:rPr>
        <w:t>格式自拟。</w:t>
      </w:r>
    </w:p>
    <w:p>
      <w:pPr>
        <w:spacing w:line="360" w:lineRule="auto"/>
        <w:jc w:val="left"/>
        <w:rPr>
          <w:color w:val="auto"/>
          <w:sz w:val="24"/>
          <w:szCs w:val="24"/>
        </w:rPr>
      </w:pPr>
    </w:p>
    <w:p>
      <w:pPr>
        <w:spacing w:line="360" w:lineRule="auto"/>
        <w:jc w:val="left"/>
        <w:rPr>
          <w:color w:val="auto"/>
          <w:sz w:val="24"/>
          <w:szCs w:val="24"/>
        </w:rPr>
      </w:pPr>
    </w:p>
    <w:p>
      <w:pPr>
        <w:spacing w:line="360" w:lineRule="auto"/>
        <w:jc w:val="left"/>
        <w:rPr>
          <w:color w:val="auto"/>
          <w:sz w:val="24"/>
          <w:szCs w:val="24"/>
        </w:rPr>
      </w:pPr>
    </w:p>
    <w:p>
      <w:pPr>
        <w:spacing w:line="360" w:lineRule="auto"/>
        <w:jc w:val="left"/>
        <w:rPr>
          <w:color w:val="auto"/>
          <w:sz w:val="24"/>
          <w:szCs w:val="24"/>
        </w:rPr>
      </w:pPr>
    </w:p>
    <w:p>
      <w:pPr>
        <w:spacing w:line="360" w:lineRule="auto"/>
        <w:jc w:val="left"/>
        <w:rPr>
          <w:bCs/>
          <w:color w:val="auto"/>
          <w:sz w:val="24"/>
          <w:szCs w:val="24"/>
        </w:rPr>
      </w:pPr>
      <w:r>
        <w:rPr>
          <w:rFonts w:hint="eastAsia"/>
          <w:color w:val="auto"/>
          <w:sz w:val="24"/>
          <w:szCs w:val="24"/>
        </w:rPr>
        <w:t>注： “</w:t>
      </w:r>
      <w:r>
        <w:rPr>
          <w:rFonts w:hint="eastAsia"/>
          <w:bCs/>
          <w:color w:val="auto"/>
          <w:sz w:val="24"/>
          <w:szCs w:val="24"/>
        </w:rPr>
        <w:t>分项报价明细表”各分项报价合计应当与“报价表”报价合计相等。</w:t>
      </w:r>
    </w:p>
    <w:p>
      <w:pPr>
        <w:spacing w:line="360" w:lineRule="auto"/>
        <w:jc w:val="left"/>
        <w:rPr>
          <w:rFonts w:hAnsi="宋体"/>
          <w:b/>
          <w:bCs/>
          <w:color w:val="auto"/>
          <w:sz w:val="24"/>
        </w:rPr>
      </w:pPr>
    </w:p>
    <w:p>
      <w:pPr>
        <w:adjustRightInd w:val="0"/>
        <w:spacing w:line="360" w:lineRule="auto"/>
        <w:ind w:firstLine="560" w:firstLineChars="200"/>
        <w:jc w:val="left"/>
        <w:rPr>
          <w:rFonts w:hAnsi="宋体"/>
          <w:color w:val="auto"/>
          <w:sz w:val="28"/>
        </w:rPr>
      </w:pPr>
    </w:p>
    <w:p>
      <w:pPr>
        <w:adjustRightInd w:val="0"/>
        <w:spacing w:line="360" w:lineRule="auto"/>
        <w:ind w:firstLine="560" w:firstLineChars="200"/>
        <w:jc w:val="left"/>
        <w:rPr>
          <w:rFonts w:hAnsi="宋体"/>
          <w:color w:val="auto"/>
          <w:sz w:val="28"/>
        </w:rPr>
      </w:pPr>
    </w:p>
    <w:p>
      <w:pPr>
        <w:adjustRightInd w:val="0"/>
        <w:spacing w:line="360" w:lineRule="auto"/>
        <w:ind w:firstLine="480" w:firstLineChars="200"/>
        <w:jc w:val="left"/>
        <w:rPr>
          <w:rFonts w:hAnsi="宋体"/>
          <w:color w:val="auto"/>
          <w:sz w:val="24"/>
          <w:szCs w:val="24"/>
        </w:rPr>
      </w:pPr>
      <w:r>
        <w:rPr>
          <w:rFonts w:hint="eastAsia" w:hAnsi="宋体"/>
          <w:color w:val="auto"/>
          <w:sz w:val="24"/>
          <w:szCs w:val="24"/>
        </w:rPr>
        <w:t>供应商名称 （盖章）：</w:t>
      </w:r>
    </w:p>
    <w:p>
      <w:pPr>
        <w:adjustRightInd w:val="0"/>
        <w:spacing w:line="360" w:lineRule="auto"/>
        <w:ind w:firstLine="480" w:firstLineChars="200"/>
        <w:jc w:val="left"/>
        <w:rPr>
          <w:rFonts w:hAnsi="宋体"/>
          <w:color w:val="auto"/>
          <w:sz w:val="24"/>
          <w:szCs w:val="24"/>
        </w:rPr>
      </w:pPr>
      <w:r>
        <w:rPr>
          <w:rFonts w:hint="eastAsia" w:hAnsi="宋体"/>
          <w:color w:val="auto"/>
          <w:sz w:val="24"/>
          <w:szCs w:val="24"/>
        </w:rPr>
        <w:t>法定代表人或授权代表（签字）：</w:t>
      </w:r>
    </w:p>
    <w:p>
      <w:pPr>
        <w:adjustRightInd w:val="0"/>
        <w:spacing w:line="360" w:lineRule="auto"/>
        <w:ind w:firstLine="480" w:firstLineChars="200"/>
        <w:jc w:val="left"/>
        <w:rPr>
          <w:rFonts w:hAnsi="宋体"/>
          <w:color w:val="auto"/>
          <w:sz w:val="24"/>
          <w:szCs w:val="24"/>
        </w:rPr>
      </w:pPr>
      <w:r>
        <w:rPr>
          <w:rFonts w:hint="eastAsia" w:hAnsi="宋体"/>
          <w:color w:val="auto"/>
          <w:sz w:val="24"/>
          <w:szCs w:val="24"/>
        </w:rPr>
        <w:t>日期：</w:t>
      </w:r>
    </w:p>
    <w:p>
      <w:pPr>
        <w:widowControl/>
        <w:spacing w:line="360" w:lineRule="auto"/>
        <w:jc w:val="left"/>
        <w:rPr>
          <w:rFonts w:hAnsi="宋体"/>
          <w:color w:val="auto"/>
          <w:sz w:val="24"/>
        </w:rPr>
      </w:pPr>
      <w:r>
        <w:rPr>
          <w:rFonts w:hAnsi="宋体"/>
          <w:color w:val="auto"/>
          <w:sz w:val="24"/>
        </w:rPr>
        <w:br w:type="page"/>
      </w:r>
    </w:p>
    <w:p>
      <w:pPr>
        <w:numPr>
          <w:ilvl w:val="0"/>
          <w:numId w:val="6"/>
        </w:numPr>
        <w:spacing w:line="360" w:lineRule="auto"/>
        <w:jc w:val="center"/>
        <w:rPr>
          <w:b/>
          <w:bCs/>
          <w:color w:val="auto"/>
          <w:sz w:val="32"/>
        </w:rPr>
      </w:pPr>
      <w:r>
        <w:rPr>
          <w:rFonts w:hint="eastAsia"/>
          <w:b/>
          <w:bCs/>
          <w:color w:val="auto"/>
          <w:sz w:val="32"/>
        </w:rPr>
        <w:t>最终报价信</w:t>
      </w:r>
    </w:p>
    <w:p>
      <w:pPr>
        <w:spacing w:line="360" w:lineRule="auto"/>
        <w:rPr>
          <w:b/>
          <w:bCs/>
          <w:color w:val="auto"/>
          <w:sz w:val="32"/>
        </w:rPr>
      </w:pPr>
    </w:p>
    <w:p>
      <w:pPr>
        <w:spacing w:line="360" w:lineRule="auto"/>
        <w:rPr>
          <w:b/>
          <w:bCs/>
          <w:color w:val="auto"/>
          <w:sz w:val="32"/>
        </w:rPr>
      </w:pPr>
    </w:p>
    <w:p>
      <w:pPr>
        <w:spacing w:line="360" w:lineRule="auto"/>
        <w:rPr>
          <w:b/>
          <w:bCs/>
          <w:color w:val="auto"/>
          <w:sz w:val="32"/>
        </w:rPr>
      </w:pPr>
    </w:p>
    <w:p>
      <w:pPr>
        <w:spacing w:line="360" w:lineRule="auto"/>
        <w:ind w:firstLine="482" w:firstLineChars="200"/>
        <w:rPr>
          <w:rFonts w:hAnsi="宋体"/>
          <w:b/>
          <w:color w:val="auto"/>
          <w:sz w:val="24"/>
          <w:szCs w:val="24"/>
        </w:rPr>
      </w:pPr>
      <w:r>
        <w:rPr>
          <w:rFonts w:hint="eastAsia" w:hAnsi="宋体"/>
          <w:b/>
          <w:color w:val="auto"/>
          <w:sz w:val="24"/>
          <w:szCs w:val="24"/>
        </w:rPr>
        <w:t>一、关于最终报价信的说明：</w:t>
      </w:r>
    </w:p>
    <w:p>
      <w:pPr>
        <w:spacing w:line="360" w:lineRule="auto"/>
        <w:ind w:firstLine="480" w:firstLineChars="200"/>
        <w:rPr>
          <w:rFonts w:hAnsi="宋体"/>
          <w:color w:val="auto"/>
          <w:sz w:val="24"/>
          <w:szCs w:val="24"/>
        </w:rPr>
      </w:pPr>
      <w:r>
        <w:rPr>
          <w:rFonts w:hint="eastAsia" w:hAnsi="宋体"/>
          <w:color w:val="auto"/>
          <w:sz w:val="24"/>
          <w:szCs w:val="24"/>
        </w:rPr>
        <w:t>1、响应文件中不含最终报价信；</w:t>
      </w:r>
    </w:p>
    <w:p>
      <w:pPr>
        <w:spacing w:line="360" w:lineRule="auto"/>
        <w:ind w:firstLine="480" w:firstLineChars="200"/>
        <w:rPr>
          <w:rFonts w:hAnsi="宋体"/>
          <w:color w:val="auto"/>
          <w:sz w:val="24"/>
          <w:szCs w:val="24"/>
        </w:rPr>
      </w:pPr>
      <w:r>
        <w:rPr>
          <w:rFonts w:hint="eastAsia" w:hAnsi="宋体"/>
          <w:color w:val="auto"/>
          <w:sz w:val="24"/>
          <w:szCs w:val="24"/>
        </w:rPr>
        <w:t>2、最终报价信需要供应商法定代表人（或授权代表）签字或加盖公章（鲜章）；</w:t>
      </w:r>
    </w:p>
    <w:p>
      <w:pPr>
        <w:spacing w:line="360" w:lineRule="auto"/>
        <w:ind w:firstLine="480" w:firstLineChars="200"/>
        <w:rPr>
          <w:rFonts w:hAnsi="宋体"/>
          <w:color w:val="auto"/>
          <w:sz w:val="24"/>
          <w:szCs w:val="24"/>
        </w:rPr>
      </w:pPr>
      <w:r>
        <w:rPr>
          <w:rFonts w:hint="eastAsia" w:hAnsi="宋体"/>
          <w:color w:val="auto"/>
          <w:sz w:val="24"/>
          <w:szCs w:val="24"/>
        </w:rPr>
        <w:t>3、最终报价信可以由供应商授权代表在最终报价仪式以前填写；</w:t>
      </w:r>
    </w:p>
    <w:p>
      <w:pPr>
        <w:spacing w:line="360" w:lineRule="auto"/>
        <w:ind w:firstLine="480" w:firstLineChars="200"/>
        <w:rPr>
          <w:rFonts w:hAnsi="宋体"/>
          <w:color w:val="auto"/>
          <w:sz w:val="24"/>
          <w:szCs w:val="24"/>
        </w:rPr>
      </w:pPr>
      <w:r>
        <w:rPr>
          <w:rFonts w:hint="eastAsia" w:hAnsi="宋体"/>
          <w:color w:val="auto"/>
          <w:sz w:val="24"/>
          <w:szCs w:val="24"/>
        </w:rPr>
        <w:t>4、最终报价信应按规定密封。</w:t>
      </w:r>
    </w:p>
    <w:p>
      <w:pPr>
        <w:widowControl/>
        <w:spacing w:line="360" w:lineRule="auto"/>
        <w:jc w:val="left"/>
        <w:rPr>
          <w:rFonts w:hAnsi="宋体"/>
          <w:color w:val="auto"/>
          <w:sz w:val="24"/>
          <w:szCs w:val="24"/>
        </w:rPr>
      </w:pPr>
      <w:r>
        <w:rPr>
          <w:rFonts w:hAnsi="宋体"/>
          <w:b/>
          <w:color w:val="auto"/>
          <w:sz w:val="24"/>
          <w:szCs w:val="24"/>
        </w:rPr>
        <w:br w:type="page"/>
      </w:r>
    </w:p>
    <w:p>
      <w:pPr>
        <w:pStyle w:val="4"/>
        <w:spacing w:before="0" w:after="0"/>
        <w:rPr>
          <w:rFonts w:ascii="宋体" w:hAnsi="Times New Roman" w:eastAsia="宋体"/>
          <w:bCs/>
          <w:color w:val="auto"/>
          <w:kern w:val="0"/>
          <w:sz w:val="32"/>
        </w:rPr>
      </w:pPr>
      <w:r>
        <w:rPr>
          <w:rFonts w:hint="eastAsia" w:ascii="宋体" w:hAnsi="Times New Roman" w:eastAsia="宋体"/>
          <w:bCs/>
          <w:color w:val="auto"/>
          <w:kern w:val="0"/>
          <w:sz w:val="32"/>
        </w:rPr>
        <w:t>五、技术、商务、服务和合同重要条款指标响应偏离表</w:t>
      </w:r>
    </w:p>
    <w:p>
      <w:pPr>
        <w:spacing w:line="360" w:lineRule="auto"/>
        <w:rPr>
          <w:rFonts w:hAnsi="宋体"/>
          <w:color w:val="auto"/>
          <w:sz w:val="24"/>
          <w:szCs w:val="24"/>
        </w:rPr>
      </w:pPr>
      <w:r>
        <w:rPr>
          <w:rFonts w:hint="eastAsia" w:hAnsi="宋体"/>
          <w:color w:val="auto"/>
          <w:sz w:val="24"/>
          <w:szCs w:val="24"/>
        </w:rPr>
        <w:t>项目名称：</w:t>
      </w:r>
    </w:p>
    <w:p>
      <w:pPr>
        <w:spacing w:line="360" w:lineRule="auto"/>
        <w:rPr>
          <w:rFonts w:hAnsi="宋体"/>
          <w:color w:val="auto"/>
          <w:sz w:val="24"/>
          <w:szCs w:val="24"/>
        </w:rPr>
      </w:pPr>
      <w:r>
        <w:rPr>
          <w:rFonts w:hint="eastAsia" w:hAnsi="宋体"/>
          <w:color w:val="auto"/>
          <w:sz w:val="24"/>
        </w:rPr>
        <w:t>项目编号</w:t>
      </w:r>
      <w:r>
        <w:rPr>
          <w:rFonts w:hint="eastAsia" w:hAnsi="宋体"/>
          <w:color w:val="auto"/>
          <w:sz w:val="24"/>
          <w:szCs w:val="24"/>
        </w:rPr>
        <w:t>：</w:t>
      </w:r>
    </w:p>
    <w:tbl>
      <w:tblPr>
        <w:tblStyle w:val="55"/>
        <w:tblW w:w="91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785"/>
        <w:gridCol w:w="2488"/>
        <w:gridCol w:w="2009"/>
        <w:gridCol w:w="2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trPr>
        <w:tc>
          <w:tcPr>
            <w:tcW w:w="704" w:type="dxa"/>
            <w:vAlign w:val="center"/>
          </w:tcPr>
          <w:p>
            <w:pPr>
              <w:spacing w:line="360" w:lineRule="auto"/>
              <w:rPr>
                <w:rFonts w:hAnsi="宋体"/>
                <w:b/>
                <w:color w:val="auto"/>
                <w:sz w:val="21"/>
                <w:szCs w:val="21"/>
              </w:rPr>
            </w:pPr>
            <w:r>
              <w:rPr>
                <w:rFonts w:hAnsi="宋体"/>
                <w:color w:val="auto"/>
                <w:sz w:val="22"/>
                <w:szCs w:val="22"/>
              </w:rPr>
              <w:t>序号</w:t>
            </w:r>
          </w:p>
        </w:tc>
        <w:tc>
          <w:tcPr>
            <w:tcW w:w="1785" w:type="dxa"/>
            <w:vAlign w:val="center"/>
          </w:tcPr>
          <w:p>
            <w:pPr>
              <w:spacing w:line="360" w:lineRule="auto"/>
              <w:jc w:val="center"/>
              <w:rPr>
                <w:rFonts w:hAnsi="宋体"/>
                <w:b/>
                <w:color w:val="auto"/>
                <w:sz w:val="21"/>
                <w:szCs w:val="21"/>
              </w:rPr>
            </w:pPr>
            <w:r>
              <w:rPr>
                <w:rFonts w:hint="eastAsia" w:hAnsi="宋体"/>
                <w:color w:val="auto"/>
                <w:sz w:val="22"/>
                <w:szCs w:val="22"/>
              </w:rPr>
              <w:t>谈判文件</w:t>
            </w:r>
            <w:r>
              <w:rPr>
                <w:rFonts w:hAnsi="宋体"/>
                <w:color w:val="auto"/>
                <w:sz w:val="22"/>
                <w:szCs w:val="22"/>
              </w:rPr>
              <w:t>条目号</w:t>
            </w:r>
          </w:p>
        </w:tc>
        <w:tc>
          <w:tcPr>
            <w:tcW w:w="2488" w:type="dxa"/>
            <w:vAlign w:val="center"/>
          </w:tcPr>
          <w:p>
            <w:pPr>
              <w:spacing w:line="360" w:lineRule="auto"/>
              <w:jc w:val="center"/>
              <w:rPr>
                <w:rFonts w:hAnsi="宋体"/>
                <w:b/>
                <w:color w:val="auto"/>
                <w:sz w:val="21"/>
                <w:szCs w:val="21"/>
              </w:rPr>
            </w:pPr>
            <w:r>
              <w:rPr>
                <w:rFonts w:hint="eastAsia" w:hAnsi="宋体"/>
                <w:color w:val="auto"/>
                <w:sz w:val="22"/>
                <w:szCs w:val="22"/>
              </w:rPr>
              <w:t>谈判文件</w:t>
            </w:r>
            <w:r>
              <w:rPr>
                <w:rFonts w:hAnsi="宋体"/>
                <w:color w:val="auto"/>
                <w:sz w:val="22"/>
                <w:szCs w:val="22"/>
              </w:rPr>
              <w:t>条款</w:t>
            </w:r>
          </w:p>
        </w:tc>
        <w:tc>
          <w:tcPr>
            <w:tcW w:w="2009" w:type="dxa"/>
            <w:vAlign w:val="center"/>
          </w:tcPr>
          <w:p>
            <w:pPr>
              <w:spacing w:line="360" w:lineRule="auto"/>
              <w:jc w:val="center"/>
              <w:rPr>
                <w:rFonts w:hAnsi="宋体"/>
                <w:b/>
                <w:color w:val="auto"/>
                <w:sz w:val="21"/>
                <w:szCs w:val="21"/>
              </w:rPr>
            </w:pPr>
            <w:r>
              <w:rPr>
                <w:rFonts w:hint="eastAsia" w:hAnsi="宋体"/>
                <w:color w:val="auto"/>
                <w:sz w:val="22"/>
                <w:szCs w:val="22"/>
              </w:rPr>
              <w:t>响应</w:t>
            </w:r>
            <w:r>
              <w:rPr>
                <w:rFonts w:hAnsi="宋体"/>
                <w:color w:val="auto"/>
                <w:sz w:val="22"/>
                <w:szCs w:val="22"/>
              </w:rPr>
              <w:t>文件条款</w:t>
            </w:r>
          </w:p>
        </w:tc>
        <w:tc>
          <w:tcPr>
            <w:tcW w:w="2206" w:type="dxa"/>
            <w:vAlign w:val="center"/>
          </w:tcPr>
          <w:p>
            <w:pPr>
              <w:spacing w:line="360" w:lineRule="auto"/>
              <w:jc w:val="center"/>
              <w:rPr>
                <w:rFonts w:hAnsi="宋体"/>
                <w:b/>
                <w:color w:val="auto"/>
                <w:sz w:val="21"/>
                <w:szCs w:val="21"/>
              </w:rPr>
            </w:pPr>
            <w:r>
              <w:rPr>
                <w:rFonts w:hAnsi="宋体"/>
                <w:color w:val="auto"/>
                <w:sz w:val="22"/>
                <w:szCs w:val="22"/>
              </w:rPr>
              <w:t>响应</w:t>
            </w:r>
            <w:r>
              <w:rPr>
                <w:color w:val="auto"/>
                <w:sz w:val="22"/>
                <w:szCs w:val="22"/>
              </w:rPr>
              <w:t>/</w:t>
            </w:r>
            <w:r>
              <w:rPr>
                <w:rFonts w:hAnsi="宋体"/>
                <w:color w:val="auto"/>
                <w:sz w:val="22"/>
                <w:szCs w:val="22"/>
              </w:rPr>
              <w:t>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trPr>
        <w:tc>
          <w:tcPr>
            <w:tcW w:w="704" w:type="dxa"/>
            <w:vAlign w:val="center"/>
          </w:tcPr>
          <w:p>
            <w:pPr>
              <w:pStyle w:val="287"/>
              <w:spacing w:line="360" w:lineRule="auto"/>
              <w:jc w:val="center"/>
              <w:rPr>
                <w:rFonts w:hAnsi="宋体"/>
                <w:color w:val="auto"/>
                <w:sz w:val="21"/>
                <w:szCs w:val="21"/>
              </w:rPr>
            </w:pPr>
          </w:p>
        </w:tc>
        <w:tc>
          <w:tcPr>
            <w:tcW w:w="1785" w:type="dxa"/>
            <w:vAlign w:val="center"/>
          </w:tcPr>
          <w:p>
            <w:pPr>
              <w:pStyle w:val="287"/>
              <w:spacing w:line="360" w:lineRule="auto"/>
              <w:jc w:val="center"/>
              <w:rPr>
                <w:rFonts w:hAnsi="宋体"/>
                <w:color w:val="auto"/>
                <w:sz w:val="21"/>
                <w:szCs w:val="21"/>
              </w:rPr>
            </w:pPr>
          </w:p>
        </w:tc>
        <w:tc>
          <w:tcPr>
            <w:tcW w:w="2488" w:type="dxa"/>
            <w:vAlign w:val="center"/>
          </w:tcPr>
          <w:p>
            <w:pPr>
              <w:pStyle w:val="287"/>
              <w:spacing w:line="360" w:lineRule="auto"/>
              <w:jc w:val="center"/>
              <w:rPr>
                <w:rFonts w:hAnsi="宋体"/>
                <w:color w:val="auto"/>
                <w:sz w:val="21"/>
                <w:szCs w:val="21"/>
              </w:rPr>
            </w:pPr>
          </w:p>
        </w:tc>
        <w:tc>
          <w:tcPr>
            <w:tcW w:w="2009" w:type="dxa"/>
            <w:vAlign w:val="center"/>
          </w:tcPr>
          <w:p>
            <w:pPr>
              <w:pStyle w:val="287"/>
              <w:spacing w:line="360" w:lineRule="auto"/>
              <w:jc w:val="center"/>
              <w:rPr>
                <w:rFonts w:hAnsi="宋体"/>
                <w:color w:val="auto"/>
                <w:sz w:val="21"/>
                <w:szCs w:val="21"/>
              </w:rPr>
            </w:pPr>
          </w:p>
        </w:tc>
        <w:tc>
          <w:tcPr>
            <w:tcW w:w="2206" w:type="dxa"/>
            <w:vAlign w:val="center"/>
          </w:tcPr>
          <w:p>
            <w:pPr>
              <w:pStyle w:val="287"/>
              <w:spacing w:line="360" w:lineRule="auto"/>
              <w:jc w:val="center"/>
              <w:rPr>
                <w:rFonts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trPr>
        <w:tc>
          <w:tcPr>
            <w:tcW w:w="704" w:type="dxa"/>
            <w:vAlign w:val="center"/>
          </w:tcPr>
          <w:p>
            <w:pPr>
              <w:pStyle w:val="287"/>
              <w:spacing w:line="360" w:lineRule="auto"/>
              <w:jc w:val="center"/>
              <w:rPr>
                <w:rFonts w:hAnsi="宋体"/>
                <w:color w:val="auto"/>
                <w:sz w:val="21"/>
                <w:szCs w:val="21"/>
              </w:rPr>
            </w:pPr>
          </w:p>
        </w:tc>
        <w:tc>
          <w:tcPr>
            <w:tcW w:w="1785" w:type="dxa"/>
            <w:vAlign w:val="center"/>
          </w:tcPr>
          <w:p>
            <w:pPr>
              <w:pStyle w:val="287"/>
              <w:spacing w:line="360" w:lineRule="auto"/>
              <w:jc w:val="center"/>
              <w:rPr>
                <w:rFonts w:hAnsi="宋体"/>
                <w:color w:val="auto"/>
                <w:sz w:val="21"/>
                <w:szCs w:val="21"/>
              </w:rPr>
            </w:pPr>
          </w:p>
        </w:tc>
        <w:tc>
          <w:tcPr>
            <w:tcW w:w="2488" w:type="dxa"/>
            <w:vAlign w:val="center"/>
          </w:tcPr>
          <w:p>
            <w:pPr>
              <w:pStyle w:val="287"/>
              <w:spacing w:line="360" w:lineRule="auto"/>
              <w:jc w:val="center"/>
              <w:rPr>
                <w:rFonts w:hAnsi="宋体"/>
                <w:color w:val="auto"/>
                <w:sz w:val="21"/>
                <w:szCs w:val="21"/>
              </w:rPr>
            </w:pPr>
          </w:p>
        </w:tc>
        <w:tc>
          <w:tcPr>
            <w:tcW w:w="2009" w:type="dxa"/>
            <w:vAlign w:val="center"/>
          </w:tcPr>
          <w:p>
            <w:pPr>
              <w:pStyle w:val="287"/>
              <w:spacing w:line="360" w:lineRule="auto"/>
              <w:jc w:val="center"/>
              <w:rPr>
                <w:rFonts w:hAnsi="宋体"/>
                <w:color w:val="auto"/>
                <w:sz w:val="21"/>
                <w:szCs w:val="21"/>
              </w:rPr>
            </w:pPr>
          </w:p>
        </w:tc>
        <w:tc>
          <w:tcPr>
            <w:tcW w:w="2206" w:type="dxa"/>
            <w:vAlign w:val="center"/>
          </w:tcPr>
          <w:p>
            <w:pPr>
              <w:pStyle w:val="287"/>
              <w:spacing w:line="360" w:lineRule="auto"/>
              <w:jc w:val="center"/>
              <w:rPr>
                <w:rFonts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trPr>
        <w:tc>
          <w:tcPr>
            <w:tcW w:w="704" w:type="dxa"/>
            <w:vAlign w:val="center"/>
          </w:tcPr>
          <w:p>
            <w:pPr>
              <w:pStyle w:val="287"/>
              <w:spacing w:line="360" w:lineRule="auto"/>
              <w:jc w:val="center"/>
              <w:rPr>
                <w:rFonts w:hAnsi="宋体"/>
                <w:color w:val="auto"/>
                <w:sz w:val="21"/>
                <w:szCs w:val="21"/>
              </w:rPr>
            </w:pPr>
          </w:p>
        </w:tc>
        <w:tc>
          <w:tcPr>
            <w:tcW w:w="1785" w:type="dxa"/>
            <w:vAlign w:val="center"/>
          </w:tcPr>
          <w:p>
            <w:pPr>
              <w:pStyle w:val="287"/>
              <w:spacing w:line="360" w:lineRule="auto"/>
              <w:jc w:val="center"/>
              <w:rPr>
                <w:rFonts w:hAnsi="宋体"/>
                <w:color w:val="auto"/>
                <w:sz w:val="21"/>
                <w:szCs w:val="21"/>
              </w:rPr>
            </w:pPr>
          </w:p>
        </w:tc>
        <w:tc>
          <w:tcPr>
            <w:tcW w:w="2488" w:type="dxa"/>
            <w:vAlign w:val="center"/>
          </w:tcPr>
          <w:p>
            <w:pPr>
              <w:pStyle w:val="287"/>
              <w:spacing w:line="360" w:lineRule="auto"/>
              <w:jc w:val="center"/>
              <w:rPr>
                <w:rFonts w:hAnsi="宋体"/>
                <w:color w:val="auto"/>
                <w:sz w:val="21"/>
                <w:szCs w:val="21"/>
              </w:rPr>
            </w:pPr>
          </w:p>
        </w:tc>
        <w:tc>
          <w:tcPr>
            <w:tcW w:w="2009" w:type="dxa"/>
            <w:vAlign w:val="center"/>
          </w:tcPr>
          <w:p>
            <w:pPr>
              <w:pStyle w:val="287"/>
              <w:spacing w:line="360" w:lineRule="auto"/>
              <w:jc w:val="center"/>
              <w:rPr>
                <w:rFonts w:hAnsi="宋体"/>
                <w:color w:val="auto"/>
                <w:sz w:val="21"/>
                <w:szCs w:val="21"/>
              </w:rPr>
            </w:pPr>
          </w:p>
        </w:tc>
        <w:tc>
          <w:tcPr>
            <w:tcW w:w="2206" w:type="dxa"/>
            <w:vAlign w:val="center"/>
          </w:tcPr>
          <w:p>
            <w:pPr>
              <w:pStyle w:val="287"/>
              <w:spacing w:line="360" w:lineRule="auto"/>
              <w:jc w:val="center"/>
              <w:rPr>
                <w:rFonts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trPr>
        <w:tc>
          <w:tcPr>
            <w:tcW w:w="704" w:type="dxa"/>
            <w:vAlign w:val="center"/>
          </w:tcPr>
          <w:p>
            <w:pPr>
              <w:pStyle w:val="287"/>
              <w:spacing w:line="360" w:lineRule="auto"/>
              <w:jc w:val="center"/>
              <w:rPr>
                <w:rFonts w:hAnsi="宋体"/>
                <w:color w:val="auto"/>
                <w:sz w:val="21"/>
                <w:szCs w:val="21"/>
              </w:rPr>
            </w:pPr>
          </w:p>
        </w:tc>
        <w:tc>
          <w:tcPr>
            <w:tcW w:w="1785" w:type="dxa"/>
            <w:vAlign w:val="center"/>
          </w:tcPr>
          <w:p>
            <w:pPr>
              <w:pStyle w:val="287"/>
              <w:spacing w:line="360" w:lineRule="auto"/>
              <w:jc w:val="center"/>
              <w:rPr>
                <w:rFonts w:hAnsi="宋体"/>
                <w:color w:val="auto"/>
                <w:sz w:val="21"/>
                <w:szCs w:val="21"/>
              </w:rPr>
            </w:pPr>
          </w:p>
        </w:tc>
        <w:tc>
          <w:tcPr>
            <w:tcW w:w="2488" w:type="dxa"/>
            <w:vAlign w:val="center"/>
          </w:tcPr>
          <w:p>
            <w:pPr>
              <w:pStyle w:val="287"/>
              <w:spacing w:line="360" w:lineRule="auto"/>
              <w:jc w:val="center"/>
              <w:rPr>
                <w:rFonts w:hAnsi="宋体"/>
                <w:color w:val="auto"/>
                <w:sz w:val="21"/>
                <w:szCs w:val="21"/>
              </w:rPr>
            </w:pPr>
          </w:p>
        </w:tc>
        <w:tc>
          <w:tcPr>
            <w:tcW w:w="2009" w:type="dxa"/>
            <w:vAlign w:val="center"/>
          </w:tcPr>
          <w:p>
            <w:pPr>
              <w:pStyle w:val="287"/>
              <w:spacing w:line="360" w:lineRule="auto"/>
              <w:jc w:val="center"/>
              <w:rPr>
                <w:rFonts w:hAnsi="宋体"/>
                <w:color w:val="auto"/>
                <w:sz w:val="21"/>
                <w:szCs w:val="21"/>
              </w:rPr>
            </w:pPr>
          </w:p>
        </w:tc>
        <w:tc>
          <w:tcPr>
            <w:tcW w:w="2206" w:type="dxa"/>
            <w:vAlign w:val="center"/>
          </w:tcPr>
          <w:p>
            <w:pPr>
              <w:pStyle w:val="287"/>
              <w:spacing w:line="360" w:lineRule="auto"/>
              <w:jc w:val="center"/>
              <w:rPr>
                <w:rFonts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trPr>
        <w:tc>
          <w:tcPr>
            <w:tcW w:w="704" w:type="dxa"/>
            <w:vAlign w:val="center"/>
          </w:tcPr>
          <w:p>
            <w:pPr>
              <w:pStyle w:val="287"/>
              <w:spacing w:line="360" w:lineRule="auto"/>
              <w:jc w:val="center"/>
              <w:rPr>
                <w:rFonts w:hAnsi="宋体"/>
                <w:color w:val="auto"/>
                <w:sz w:val="21"/>
                <w:szCs w:val="21"/>
              </w:rPr>
            </w:pPr>
          </w:p>
        </w:tc>
        <w:tc>
          <w:tcPr>
            <w:tcW w:w="1785" w:type="dxa"/>
            <w:vAlign w:val="center"/>
          </w:tcPr>
          <w:p>
            <w:pPr>
              <w:pStyle w:val="287"/>
              <w:spacing w:line="360" w:lineRule="auto"/>
              <w:jc w:val="center"/>
              <w:rPr>
                <w:rFonts w:hAnsi="宋体"/>
                <w:color w:val="auto"/>
                <w:sz w:val="21"/>
                <w:szCs w:val="21"/>
              </w:rPr>
            </w:pPr>
          </w:p>
        </w:tc>
        <w:tc>
          <w:tcPr>
            <w:tcW w:w="2488" w:type="dxa"/>
            <w:vAlign w:val="center"/>
          </w:tcPr>
          <w:p>
            <w:pPr>
              <w:pStyle w:val="287"/>
              <w:spacing w:line="360" w:lineRule="auto"/>
              <w:jc w:val="center"/>
              <w:rPr>
                <w:rFonts w:hAnsi="宋体"/>
                <w:color w:val="auto"/>
                <w:sz w:val="21"/>
                <w:szCs w:val="21"/>
              </w:rPr>
            </w:pPr>
          </w:p>
        </w:tc>
        <w:tc>
          <w:tcPr>
            <w:tcW w:w="2009" w:type="dxa"/>
            <w:vAlign w:val="center"/>
          </w:tcPr>
          <w:p>
            <w:pPr>
              <w:pStyle w:val="287"/>
              <w:spacing w:line="360" w:lineRule="auto"/>
              <w:jc w:val="center"/>
              <w:rPr>
                <w:rFonts w:hAnsi="宋体"/>
                <w:color w:val="auto"/>
                <w:sz w:val="21"/>
                <w:szCs w:val="21"/>
              </w:rPr>
            </w:pPr>
          </w:p>
        </w:tc>
        <w:tc>
          <w:tcPr>
            <w:tcW w:w="2206" w:type="dxa"/>
            <w:vAlign w:val="center"/>
          </w:tcPr>
          <w:p>
            <w:pPr>
              <w:pStyle w:val="287"/>
              <w:spacing w:line="360" w:lineRule="auto"/>
              <w:jc w:val="center"/>
              <w:rPr>
                <w:rFonts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trPr>
        <w:tc>
          <w:tcPr>
            <w:tcW w:w="704" w:type="dxa"/>
            <w:vAlign w:val="center"/>
          </w:tcPr>
          <w:p>
            <w:pPr>
              <w:pStyle w:val="287"/>
              <w:spacing w:line="360" w:lineRule="auto"/>
              <w:jc w:val="center"/>
              <w:rPr>
                <w:rFonts w:hAnsi="宋体"/>
                <w:color w:val="auto"/>
                <w:sz w:val="21"/>
                <w:szCs w:val="21"/>
              </w:rPr>
            </w:pPr>
          </w:p>
        </w:tc>
        <w:tc>
          <w:tcPr>
            <w:tcW w:w="1785" w:type="dxa"/>
            <w:vAlign w:val="center"/>
          </w:tcPr>
          <w:p>
            <w:pPr>
              <w:pStyle w:val="287"/>
              <w:spacing w:line="360" w:lineRule="auto"/>
              <w:jc w:val="center"/>
              <w:rPr>
                <w:rFonts w:hAnsi="宋体"/>
                <w:color w:val="auto"/>
                <w:sz w:val="21"/>
                <w:szCs w:val="21"/>
              </w:rPr>
            </w:pPr>
          </w:p>
        </w:tc>
        <w:tc>
          <w:tcPr>
            <w:tcW w:w="2488" w:type="dxa"/>
            <w:vAlign w:val="center"/>
          </w:tcPr>
          <w:p>
            <w:pPr>
              <w:pStyle w:val="287"/>
              <w:spacing w:line="360" w:lineRule="auto"/>
              <w:jc w:val="center"/>
              <w:rPr>
                <w:rFonts w:hAnsi="宋体"/>
                <w:color w:val="auto"/>
                <w:sz w:val="21"/>
                <w:szCs w:val="21"/>
              </w:rPr>
            </w:pPr>
          </w:p>
        </w:tc>
        <w:tc>
          <w:tcPr>
            <w:tcW w:w="2009" w:type="dxa"/>
            <w:vAlign w:val="center"/>
          </w:tcPr>
          <w:p>
            <w:pPr>
              <w:pStyle w:val="287"/>
              <w:spacing w:line="360" w:lineRule="auto"/>
              <w:jc w:val="center"/>
              <w:rPr>
                <w:rFonts w:hAnsi="宋体"/>
                <w:color w:val="auto"/>
                <w:sz w:val="21"/>
                <w:szCs w:val="21"/>
              </w:rPr>
            </w:pPr>
          </w:p>
        </w:tc>
        <w:tc>
          <w:tcPr>
            <w:tcW w:w="2206" w:type="dxa"/>
            <w:vAlign w:val="center"/>
          </w:tcPr>
          <w:p>
            <w:pPr>
              <w:pStyle w:val="287"/>
              <w:spacing w:line="360" w:lineRule="auto"/>
              <w:jc w:val="center"/>
              <w:rPr>
                <w:rFonts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trPr>
        <w:tc>
          <w:tcPr>
            <w:tcW w:w="704" w:type="dxa"/>
            <w:vAlign w:val="center"/>
          </w:tcPr>
          <w:p>
            <w:pPr>
              <w:pStyle w:val="287"/>
              <w:spacing w:line="360" w:lineRule="auto"/>
              <w:jc w:val="center"/>
              <w:rPr>
                <w:rFonts w:hAnsi="宋体"/>
                <w:color w:val="auto"/>
                <w:sz w:val="21"/>
                <w:szCs w:val="21"/>
              </w:rPr>
            </w:pPr>
          </w:p>
        </w:tc>
        <w:tc>
          <w:tcPr>
            <w:tcW w:w="1785" w:type="dxa"/>
            <w:vAlign w:val="center"/>
          </w:tcPr>
          <w:p>
            <w:pPr>
              <w:pStyle w:val="287"/>
              <w:spacing w:line="360" w:lineRule="auto"/>
              <w:jc w:val="center"/>
              <w:rPr>
                <w:rFonts w:hAnsi="宋体"/>
                <w:color w:val="auto"/>
                <w:sz w:val="21"/>
                <w:szCs w:val="21"/>
              </w:rPr>
            </w:pPr>
          </w:p>
        </w:tc>
        <w:tc>
          <w:tcPr>
            <w:tcW w:w="2488" w:type="dxa"/>
            <w:vAlign w:val="center"/>
          </w:tcPr>
          <w:p>
            <w:pPr>
              <w:pStyle w:val="287"/>
              <w:spacing w:line="360" w:lineRule="auto"/>
              <w:jc w:val="center"/>
              <w:rPr>
                <w:rFonts w:hAnsi="宋体"/>
                <w:color w:val="auto"/>
                <w:sz w:val="21"/>
                <w:szCs w:val="21"/>
              </w:rPr>
            </w:pPr>
          </w:p>
        </w:tc>
        <w:tc>
          <w:tcPr>
            <w:tcW w:w="2009" w:type="dxa"/>
            <w:vAlign w:val="center"/>
          </w:tcPr>
          <w:p>
            <w:pPr>
              <w:pStyle w:val="287"/>
              <w:spacing w:line="360" w:lineRule="auto"/>
              <w:jc w:val="center"/>
              <w:rPr>
                <w:rFonts w:hAnsi="宋体"/>
                <w:color w:val="auto"/>
                <w:sz w:val="21"/>
                <w:szCs w:val="21"/>
              </w:rPr>
            </w:pPr>
          </w:p>
        </w:tc>
        <w:tc>
          <w:tcPr>
            <w:tcW w:w="2206" w:type="dxa"/>
            <w:vAlign w:val="center"/>
          </w:tcPr>
          <w:p>
            <w:pPr>
              <w:pStyle w:val="287"/>
              <w:spacing w:line="360" w:lineRule="auto"/>
              <w:jc w:val="center"/>
              <w:rPr>
                <w:rFonts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trPr>
        <w:tc>
          <w:tcPr>
            <w:tcW w:w="704" w:type="dxa"/>
            <w:vAlign w:val="center"/>
          </w:tcPr>
          <w:p>
            <w:pPr>
              <w:pStyle w:val="287"/>
              <w:spacing w:line="360" w:lineRule="auto"/>
              <w:jc w:val="center"/>
              <w:rPr>
                <w:rFonts w:hAnsi="宋体"/>
                <w:color w:val="auto"/>
                <w:sz w:val="21"/>
                <w:szCs w:val="21"/>
              </w:rPr>
            </w:pPr>
          </w:p>
        </w:tc>
        <w:tc>
          <w:tcPr>
            <w:tcW w:w="1785" w:type="dxa"/>
            <w:vAlign w:val="center"/>
          </w:tcPr>
          <w:p>
            <w:pPr>
              <w:pStyle w:val="287"/>
              <w:spacing w:line="360" w:lineRule="auto"/>
              <w:jc w:val="center"/>
              <w:rPr>
                <w:rFonts w:hAnsi="宋体"/>
                <w:color w:val="auto"/>
                <w:sz w:val="21"/>
                <w:szCs w:val="21"/>
              </w:rPr>
            </w:pPr>
          </w:p>
        </w:tc>
        <w:tc>
          <w:tcPr>
            <w:tcW w:w="2488" w:type="dxa"/>
            <w:vAlign w:val="center"/>
          </w:tcPr>
          <w:p>
            <w:pPr>
              <w:pStyle w:val="287"/>
              <w:spacing w:line="360" w:lineRule="auto"/>
              <w:jc w:val="center"/>
              <w:rPr>
                <w:rFonts w:hAnsi="宋体"/>
                <w:color w:val="auto"/>
                <w:sz w:val="21"/>
                <w:szCs w:val="21"/>
              </w:rPr>
            </w:pPr>
          </w:p>
        </w:tc>
        <w:tc>
          <w:tcPr>
            <w:tcW w:w="2009" w:type="dxa"/>
            <w:vAlign w:val="center"/>
          </w:tcPr>
          <w:p>
            <w:pPr>
              <w:pStyle w:val="287"/>
              <w:spacing w:line="360" w:lineRule="auto"/>
              <w:jc w:val="center"/>
              <w:rPr>
                <w:rFonts w:hAnsi="宋体"/>
                <w:color w:val="auto"/>
                <w:sz w:val="21"/>
                <w:szCs w:val="21"/>
              </w:rPr>
            </w:pPr>
          </w:p>
        </w:tc>
        <w:tc>
          <w:tcPr>
            <w:tcW w:w="2206" w:type="dxa"/>
            <w:vAlign w:val="center"/>
          </w:tcPr>
          <w:p>
            <w:pPr>
              <w:pStyle w:val="287"/>
              <w:spacing w:line="360" w:lineRule="auto"/>
              <w:jc w:val="center"/>
              <w:rPr>
                <w:rFonts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trPr>
        <w:tc>
          <w:tcPr>
            <w:tcW w:w="704" w:type="dxa"/>
            <w:vAlign w:val="center"/>
          </w:tcPr>
          <w:p>
            <w:pPr>
              <w:pStyle w:val="287"/>
              <w:spacing w:line="360" w:lineRule="auto"/>
              <w:jc w:val="center"/>
              <w:rPr>
                <w:rFonts w:hAnsi="宋体"/>
                <w:color w:val="auto"/>
                <w:sz w:val="21"/>
                <w:szCs w:val="21"/>
              </w:rPr>
            </w:pPr>
          </w:p>
        </w:tc>
        <w:tc>
          <w:tcPr>
            <w:tcW w:w="1785" w:type="dxa"/>
            <w:vAlign w:val="center"/>
          </w:tcPr>
          <w:p>
            <w:pPr>
              <w:pStyle w:val="287"/>
              <w:spacing w:line="360" w:lineRule="auto"/>
              <w:jc w:val="center"/>
              <w:rPr>
                <w:rFonts w:hAnsi="宋体"/>
                <w:color w:val="auto"/>
                <w:sz w:val="21"/>
                <w:szCs w:val="21"/>
              </w:rPr>
            </w:pPr>
          </w:p>
        </w:tc>
        <w:tc>
          <w:tcPr>
            <w:tcW w:w="2488" w:type="dxa"/>
            <w:vAlign w:val="center"/>
          </w:tcPr>
          <w:p>
            <w:pPr>
              <w:pStyle w:val="287"/>
              <w:spacing w:line="360" w:lineRule="auto"/>
              <w:jc w:val="center"/>
              <w:rPr>
                <w:rFonts w:hAnsi="宋体"/>
                <w:color w:val="auto"/>
                <w:sz w:val="21"/>
                <w:szCs w:val="21"/>
              </w:rPr>
            </w:pPr>
          </w:p>
        </w:tc>
        <w:tc>
          <w:tcPr>
            <w:tcW w:w="2009" w:type="dxa"/>
            <w:vAlign w:val="center"/>
          </w:tcPr>
          <w:p>
            <w:pPr>
              <w:pStyle w:val="287"/>
              <w:spacing w:line="360" w:lineRule="auto"/>
              <w:jc w:val="center"/>
              <w:rPr>
                <w:rFonts w:hAnsi="宋体"/>
                <w:color w:val="auto"/>
                <w:sz w:val="21"/>
                <w:szCs w:val="21"/>
              </w:rPr>
            </w:pPr>
          </w:p>
        </w:tc>
        <w:tc>
          <w:tcPr>
            <w:tcW w:w="2206" w:type="dxa"/>
            <w:vAlign w:val="center"/>
          </w:tcPr>
          <w:p>
            <w:pPr>
              <w:pStyle w:val="287"/>
              <w:spacing w:line="360" w:lineRule="auto"/>
              <w:jc w:val="center"/>
              <w:rPr>
                <w:rFonts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trPr>
        <w:tc>
          <w:tcPr>
            <w:tcW w:w="704" w:type="dxa"/>
            <w:vAlign w:val="center"/>
          </w:tcPr>
          <w:p>
            <w:pPr>
              <w:pStyle w:val="287"/>
              <w:spacing w:line="360" w:lineRule="auto"/>
              <w:jc w:val="center"/>
              <w:rPr>
                <w:rFonts w:hAnsi="宋体"/>
                <w:color w:val="auto"/>
                <w:sz w:val="21"/>
                <w:szCs w:val="21"/>
              </w:rPr>
            </w:pPr>
          </w:p>
        </w:tc>
        <w:tc>
          <w:tcPr>
            <w:tcW w:w="1785" w:type="dxa"/>
            <w:vAlign w:val="center"/>
          </w:tcPr>
          <w:p>
            <w:pPr>
              <w:pStyle w:val="287"/>
              <w:spacing w:line="360" w:lineRule="auto"/>
              <w:jc w:val="center"/>
              <w:rPr>
                <w:rFonts w:hAnsi="宋体"/>
                <w:color w:val="auto"/>
                <w:sz w:val="21"/>
                <w:szCs w:val="21"/>
              </w:rPr>
            </w:pPr>
          </w:p>
        </w:tc>
        <w:tc>
          <w:tcPr>
            <w:tcW w:w="2488" w:type="dxa"/>
            <w:vAlign w:val="center"/>
          </w:tcPr>
          <w:p>
            <w:pPr>
              <w:pStyle w:val="287"/>
              <w:spacing w:line="360" w:lineRule="auto"/>
              <w:jc w:val="center"/>
              <w:rPr>
                <w:rFonts w:hAnsi="宋体"/>
                <w:color w:val="auto"/>
                <w:sz w:val="21"/>
                <w:szCs w:val="21"/>
              </w:rPr>
            </w:pPr>
          </w:p>
        </w:tc>
        <w:tc>
          <w:tcPr>
            <w:tcW w:w="2009" w:type="dxa"/>
            <w:vAlign w:val="center"/>
          </w:tcPr>
          <w:p>
            <w:pPr>
              <w:pStyle w:val="287"/>
              <w:spacing w:line="360" w:lineRule="auto"/>
              <w:jc w:val="center"/>
              <w:rPr>
                <w:rFonts w:hAnsi="宋体"/>
                <w:color w:val="auto"/>
                <w:sz w:val="21"/>
                <w:szCs w:val="21"/>
              </w:rPr>
            </w:pPr>
          </w:p>
        </w:tc>
        <w:tc>
          <w:tcPr>
            <w:tcW w:w="2206" w:type="dxa"/>
            <w:vAlign w:val="center"/>
          </w:tcPr>
          <w:p>
            <w:pPr>
              <w:pStyle w:val="287"/>
              <w:spacing w:line="360" w:lineRule="auto"/>
              <w:jc w:val="center"/>
              <w:rPr>
                <w:rFonts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trPr>
        <w:tc>
          <w:tcPr>
            <w:tcW w:w="704" w:type="dxa"/>
            <w:vAlign w:val="center"/>
          </w:tcPr>
          <w:p>
            <w:pPr>
              <w:pStyle w:val="287"/>
              <w:spacing w:line="360" w:lineRule="auto"/>
              <w:jc w:val="center"/>
              <w:rPr>
                <w:rFonts w:hAnsi="宋体"/>
                <w:color w:val="auto"/>
                <w:sz w:val="21"/>
                <w:szCs w:val="21"/>
              </w:rPr>
            </w:pPr>
          </w:p>
        </w:tc>
        <w:tc>
          <w:tcPr>
            <w:tcW w:w="1785" w:type="dxa"/>
            <w:vAlign w:val="center"/>
          </w:tcPr>
          <w:p>
            <w:pPr>
              <w:pStyle w:val="287"/>
              <w:spacing w:line="360" w:lineRule="auto"/>
              <w:jc w:val="center"/>
              <w:rPr>
                <w:rFonts w:hAnsi="宋体"/>
                <w:color w:val="auto"/>
                <w:sz w:val="21"/>
                <w:szCs w:val="21"/>
              </w:rPr>
            </w:pPr>
          </w:p>
        </w:tc>
        <w:tc>
          <w:tcPr>
            <w:tcW w:w="2488" w:type="dxa"/>
            <w:vAlign w:val="center"/>
          </w:tcPr>
          <w:p>
            <w:pPr>
              <w:pStyle w:val="287"/>
              <w:spacing w:line="360" w:lineRule="auto"/>
              <w:jc w:val="center"/>
              <w:rPr>
                <w:rFonts w:hAnsi="宋体"/>
                <w:color w:val="auto"/>
                <w:sz w:val="21"/>
                <w:szCs w:val="21"/>
              </w:rPr>
            </w:pPr>
          </w:p>
        </w:tc>
        <w:tc>
          <w:tcPr>
            <w:tcW w:w="2009" w:type="dxa"/>
            <w:vAlign w:val="center"/>
          </w:tcPr>
          <w:p>
            <w:pPr>
              <w:pStyle w:val="287"/>
              <w:spacing w:line="360" w:lineRule="auto"/>
              <w:jc w:val="center"/>
              <w:rPr>
                <w:rFonts w:hAnsi="宋体"/>
                <w:color w:val="auto"/>
                <w:sz w:val="21"/>
                <w:szCs w:val="21"/>
              </w:rPr>
            </w:pPr>
          </w:p>
        </w:tc>
        <w:tc>
          <w:tcPr>
            <w:tcW w:w="2206" w:type="dxa"/>
            <w:vAlign w:val="center"/>
          </w:tcPr>
          <w:p>
            <w:pPr>
              <w:pStyle w:val="287"/>
              <w:spacing w:line="360" w:lineRule="auto"/>
              <w:jc w:val="center"/>
              <w:rPr>
                <w:rFonts w:hAnsi="宋体"/>
                <w:color w:val="auto"/>
                <w:sz w:val="21"/>
                <w:szCs w:val="21"/>
              </w:rPr>
            </w:pPr>
          </w:p>
        </w:tc>
      </w:tr>
    </w:tbl>
    <w:p>
      <w:pPr>
        <w:spacing w:line="360" w:lineRule="auto"/>
        <w:ind w:left="821" w:leftChars="171" w:hanging="240" w:hangingChars="100"/>
        <w:rPr>
          <w:rFonts w:hint="eastAsia" w:hAnsi="宋体"/>
          <w:color w:val="auto"/>
          <w:sz w:val="24"/>
        </w:rPr>
      </w:pPr>
      <w:r>
        <w:rPr>
          <w:rFonts w:hint="eastAsia" w:hAnsi="宋体"/>
          <w:color w:val="auto"/>
          <w:sz w:val="24"/>
        </w:rPr>
        <w:t>注：</w:t>
      </w:r>
    </w:p>
    <w:p>
      <w:pPr>
        <w:spacing w:line="360" w:lineRule="auto"/>
        <w:ind w:left="821" w:leftChars="171" w:hanging="240" w:hangingChars="100"/>
        <w:rPr>
          <w:rFonts w:hint="eastAsia" w:hAnsi="宋体"/>
          <w:color w:val="auto"/>
          <w:sz w:val="24"/>
        </w:rPr>
      </w:pPr>
      <w:r>
        <w:rPr>
          <w:rFonts w:hint="eastAsia" w:hAnsi="宋体"/>
          <w:color w:val="auto"/>
          <w:sz w:val="24"/>
        </w:rPr>
        <w:t>1.本表至少要填写</w:t>
      </w:r>
      <w:r>
        <w:rPr>
          <w:rFonts w:hint="eastAsia" w:hAnsi="宋体"/>
          <w:color w:val="auto"/>
          <w:sz w:val="24"/>
          <w:lang w:val="en-US" w:eastAsia="zh-CN"/>
        </w:rPr>
        <w:t>响应</w:t>
      </w:r>
      <w:r>
        <w:rPr>
          <w:rFonts w:hint="eastAsia" w:hAnsi="宋体"/>
          <w:color w:val="auto"/>
          <w:sz w:val="24"/>
        </w:rPr>
        <w:t>文件中与</w:t>
      </w:r>
      <w:r>
        <w:rPr>
          <w:rFonts w:hint="eastAsia" w:hAnsi="宋体"/>
          <w:color w:val="auto"/>
          <w:sz w:val="24"/>
          <w:lang w:val="en-US" w:eastAsia="zh-CN"/>
        </w:rPr>
        <w:t>谈判</w:t>
      </w:r>
      <w:r>
        <w:rPr>
          <w:rFonts w:hint="eastAsia" w:hAnsi="宋体"/>
          <w:color w:val="auto"/>
          <w:sz w:val="24"/>
        </w:rPr>
        <w:t>文件有偏离（包括正偏离和负偏离）的内容，</w:t>
      </w:r>
      <w:r>
        <w:rPr>
          <w:rFonts w:hint="eastAsia" w:hAnsi="宋体"/>
          <w:color w:val="auto"/>
          <w:sz w:val="24"/>
          <w:lang w:val="en-US" w:eastAsia="zh-CN"/>
        </w:rPr>
        <w:t>响应</w:t>
      </w:r>
      <w:r>
        <w:rPr>
          <w:rFonts w:hint="eastAsia" w:hAnsi="宋体"/>
          <w:color w:val="auto"/>
          <w:sz w:val="24"/>
        </w:rPr>
        <w:t>文件中服务响应与</w:t>
      </w:r>
      <w:r>
        <w:rPr>
          <w:rFonts w:hint="eastAsia" w:hAnsi="宋体"/>
          <w:color w:val="auto"/>
          <w:sz w:val="24"/>
          <w:lang w:val="en-US" w:eastAsia="zh-CN"/>
        </w:rPr>
        <w:t>谈判</w:t>
      </w:r>
      <w:r>
        <w:rPr>
          <w:rFonts w:hint="eastAsia" w:hAnsi="宋体"/>
          <w:color w:val="auto"/>
          <w:sz w:val="24"/>
        </w:rPr>
        <w:t>文件要求完全一致的，可以不用在此表中列出。</w:t>
      </w:r>
    </w:p>
    <w:p>
      <w:pPr>
        <w:spacing w:line="360" w:lineRule="auto"/>
        <w:ind w:left="821" w:leftChars="171" w:hanging="240" w:hangingChars="100"/>
        <w:rPr>
          <w:rFonts w:hint="eastAsia" w:hAnsi="宋体"/>
          <w:color w:val="auto"/>
          <w:sz w:val="24"/>
        </w:rPr>
      </w:pPr>
      <w:r>
        <w:rPr>
          <w:rFonts w:hint="eastAsia" w:hAnsi="宋体"/>
          <w:color w:val="auto"/>
          <w:sz w:val="24"/>
        </w:rPr>
        <w:t>2.</w:t>
      </w:r>
      <w:r>
        <w:rPr>
          <w:rFonts w:hint="eastAsia" w:hAnsi="宋体"/>
          <w:color w:val="auto"/>
          <w:sz w:val="24"/>
          <w:lang w:val="en-US" w:eastAsia="zh-CN"/>
        </w:rPr>
        <w:t>报价</w:t>
      </w:r>
      <w:r>
        <w:rPr>
          <w:rFonts w:hint="eastAsia" w:hAnsi="宋体"/>
          <w:color w:val="auto"/>
          <w:sz w:val="24"/>
        </w:rPr>
        <w:t>人必须据实填写，不得虚假应答，否则将取消其</w:t>
      </w:r>
      <w:r>
        <w:rPr>
          <w:rFonts w:hint="eastAsia" w:hAnsi="宋体"/>
          <w:color w:val="auto"/>
          <w:sz w:val="24"/>
          <w:lang w:val="en-US" w:eastAsia="zh-CN"/>
        </w:rPr>
        <w:t>报价</w:t>
      </w:r>
      <w:r>
        <w:rPr>
          <w:rFonts w:hint="eastAsia" w:hAnsi="宋体"/>
          <w:color w:val="auto"/>
          <w:sz w:val="24"/>
        </w:rPr>
        <w:t>或</w:t>
      </w:r>
      <w:r>
        <w:rPr>
          <w:rFonts w:hint="eastAsia" w:hAnsi="宋体"/>
          <w:color w:val="auto"/>
          <w:sz w:val="24"/>
          <w:lang w:val="en-US" w:eastAsia="zh-CN"/>
        </w:rPr>
        <w:t>成交</w:t>
      </w:r>
      <w:r>
        <w:rPr>
          <w:rFonts w:hint="eastAsia" w:hAnsi="宋体"/>
          <w:color w:val="auto"/>
          <w:sz w:val="24"/>
        </w:rPr>
        <w:t>资格。</w:t>
      </w:r>
    </w:p>
    <w:p>
      <w:pPr>
        <w:adjustRightInd w:val="0"/>
        <w:spacing w:line="360" w:lineRule="auto"/>
        <w:ind w:firstLine="420" w:firstLineChars="175"/>
        <w:jc w:val="left"/>
        <w:rPr>
          <w:rFonts w:hAnsi="宋体"/>
          <w:bCs/>
          <w:color w:val="auto"/>
          <w:sz w:val="24"/>
          <w:szCs w:val="24"/>
        </w:rPr>
      </w:pPr>
    </w:p>
    <w:p>
      <w:pPr>
        <w:adjustRightInd w:val="0"/>
        <w:spacing w:line="360" w:lineRule="auto"/>
        <w:ind w:firstLine="420" w:firstLineChars="175"/>
        <w:jc w:val="left"/>
        <w:rPr>
          <w:rFonts w:hAnsi="宋体"/>
          <w:bCs/>
          <w:color w:val="auto"/>
          <w:sz w:val="24"/>
          <w:szCs w:val="24"/>
        </w:rPr>
      </w:pPr>
    </w:p>
    <w:p>
      <w:pPr>
        <w:adjustRightInd w:val="0"/>
        <w:spacing w:line="360" w:lineRule="auto"/>
        <w:ind w:firstLine="420" w:firstLineChars="175"/>
        <w:jc w:val="left"/>
        <w:rPr>
          <w:rFonts w:hAnsi="宋体"/>
          <w:bCs/>
          <w:color w:val="auto"/>
          <w:sz w:val="24"/>
          <w:szCs w:val="24"/>
        </w:rPr>
      </w:pPr>
      <w:r>
        <w:rPr>
          <w:rFonts w:hint="eastAsia" w:hAnsi="宋体"/>
          <w:bCs/>
          <w:color w:val="auto"/>
          <w:sz w:val="24"/>
          <w:szCs w:val="24"/>
        </w:rPr>
        <w:t>供应商名称：        （盖章）</w:t>
      </w:r>
    </w:p>
    <w:p>
      <w:pPr>
        <w:adjustRightInd w:val="0"/>
        <w:spacing w:line="360" w:lineRule="auto"/>
        <w:ind w:firstLine="420" w:firstLineChars="175"/>
        <w:jc w:val="left"/>
        <w:rPr>
          <w:rFonts w:hAnsi="宋体"/>
          <w:bCs/>
          <w:color w:val="auto"/>
          <w:sz w:val="24"/>
          <w:szCs w:val="24"/>
        </w:rPr>
      </w:pPr>
      <w:r>
        <w:rPr>
          <w:rFonts w:hint="eastAsia" w:hAnsi="宋体"/>
          <w:color w:val="auto"/>
          <w:sz w:val="24"/>
          <w:szCs w:val="24"/>
        </w:rPr>
        <w:t>法定代表人或授权代表（签字）</w:t>
      </w:r>
      <w:r>
        <w:rPr>
          <w:rFonts w:hint="eastAsia" w:hAnsi="宋体"/>
          <w:bCs/>
          <w:color w:val="auto"/>
          <w:sz w:val="24"/>
          <w:szCs w:val="24"/>
        </w:rPr>
        <w:t>：</w:t>
      </w:r>
    </w:p>
    <w:p>
      <w:pPr>
        <w:adjustRightInd w:val="0"/>
        <w:spacing w:line="360" w:lineRule="auto"/>
        <w:ind w:firstLine="420" w:firstLineChars="175"/>
        <w:jc w:val="left"/>
        <w:rPr>
          <w:rFonts w:hAnsi="宋体"/>
          <w:bCs/>
          <w:color w:val="auto"/>
          <w:sz w:val="24"/>
          <w:szCs w:val="24"/>
        </w:rPr>
      </w:pPr>
      <w:r>
        <w:rPr>
          <w:rFonts w:hint="eastAsia" w:hAnsi="宋体"/>
          <w:bCs/>
          <w:color w:val="auto"/>
          <w:sz w:val="24"/>
          <w:szCs w:val="24"/>
        </w:rPr>
        <w:t>日期</w:t>
      </w:r>
      <w:r>
        <w:rPr>
          <w:rFonts w:hAnsi="宋体"/>
          <w:bCs/>
          <w:color w:val="auto"/>
          <w:sz w:val="24"/>
          <w:szCs w:val="24"/>
        </w:rPr>
        <w:t>:</w:t>
      </w:r>
    </w:p>
    <w:p>
      <w:pPr>
        <w:adjustRightInd w:val="0"/>
        <w:spacing w:line="360" w:lineRule="auto"/>
        <w:ind w:firstLine="595" w:firstLineChars="175"/>
        <w:jc w:val="left"/>
        <w:rPr>
          <w:color w:val="auto"/>
        </w:rPr>
      </w:pPr>
    </w:p>
    <w:p>
      <w:pPr>
        <w:spacing w:line="360" w:lineRule="auto"/>
        <w:ind w:right="-1455" w:rightChars="-428"/>
        <w:rPr>
          <w:rFonts w:hAnsi="宋体"/>
          <w:b/>
          <w:bCs/>
          <w:color w:val="auto"/>
          <w:sz w:val="24"/>
          <w:szCs w:val="24"/>
        </w:rPr>
      </w:pPr>
      <w:r>
        <w:rPr>
          <w:rFonts w:hint="eastAsia" w:hAnsi="宋体"/>
          <w:b/>
          <w:bCs/>
          <w:color w:val="auto"/>
          <w:sz w:val="24"/>
          <w:szCs w:val="24"/>
        </w:rPr>
        <w:t>注：谈判文件中要求提供的其它文件或资料格式未作要求的供应商可自行拟定。</w:t>
      </w:r>
    </w:p>
    <w:p>
      <w:pPr>
        <w:spacing w:line="360" w:lineRule="auto"/>
        <w:ind w:right="-1455" w:rightChars="-428"/>
        <w:rPr>
          <w:rFonts w:hAnsi="宋体"/>
          <w:b/>
          <w:bCs/>
          <w:color w:val="auto"/>
          <w:sz w:val="24"/>
          <w:szCs w:val="24"/>
        </w:rPr>
      </w:pPr>
    </w:p>
    <w:p>
      <w:pPr>
        <w:spacing w:line="360" w:lineRule="auto"/>
        <w:ind w:right="-1455" w:rightChars="-428"/>
        <w:rPr>
          <w:rFonts w:hAnsi="宋体"/>
          <w:b/>
          <w:bCs/>
          <w:color w:val="auto"/>
          <w:sz w:val="24"/>
          <w:szCs w:val="24"/>
        </w:rPr>
      </w:pPr>
    </w:p>
    <w:p>
      <w:pPr>
        <w:spacing w:line="360" w:lineRule="auto"/>
        <w:ind w:right="-1455" w:rightChars="-428"/>
        <w:rPr>
          <w:rFonts w:hAnsi="宋体"/>
          <w:b/>
          <w:bCs/>
          <w:color w:val="auto"/>
          <w:sz w:val="24"/>
          <w:szCs w:val="24"/>
        </w:rPr>
      </w:pPr>
    </w:p>
    <w:bookmarkEnd w:id="368"/>
    <w:bookmarkEnd w:id="369"/>
    <w:p>
      <w:pPr>
        <w:autoSpaceDE w:val="0"/>
        <w:autoSpaceDN w:val="0"/>
        <w:spacing w:line="360" w:lineRule="auto"/>
        <w:ind w:left="1205" w:hanging="1205" w:hangingChars="500"/>
        <w:textAlignment w:val="bottom"/>
        <w:rPr>
          <w:rFonts w:hAnsi="宋体" w:cs="宋体"/>
          <w:b/>
          <w:bCs/>
          <w:color w:val="auto"/>
          <w:sz w:val="24"/>
          <w:szCs w:val="24"/>
        </w:rPr>
      </w:pPr>
      <w:bookmarkStart w:id="376" w:name="_Toc209847165"/>
      <w:r>
        <w:rPr>
          <w:rFonts w:hint="eastAsia" w:hAnsi="宋体" w:cs="宋体"/>
          <w:b/>
          <w:bCs/>
          <w:color w:val="auto"/>
          <w:sz w:val="24"/>
          <w:szCs w:val="24"/>
        </w:rPr>
        <w:t>六、项目实施承诺函（含：技术方案、实施计划、工期安排、人员配置等）（如适用）</w:t>
      </w:r>
    </w:p>
    <w:p>
      <w:pPr>
        <w:tabs>
          <w:tab w:val="left" w:pos="3525"/>
        </w:tabs>
        <w:autoSpaceDE w:val="0"/>
        <w:autoSpaceDN w:val="0"/>
        <w:spacing w:line="360" w:lineRule="auto"/>
        <w:ind w:firstLine="1205" w:firstLineChars="500"/>
        <w:textAlignment w:val="bottom"/>
        <w:rPr>
          <w:rFonts w:hAnsi="宋体" w:cs="宋体"/>
          <w:b/>
          <w:bCs/>
          <w:color w:val="auto"/>
          <w:sz w:val="24"/>
          <w:szCs w:val="24"/>
        </w:rPr>
      </w:pPr>
      <w:r>
        <w:rPr>
          <w:rFonts w:hint="eastAsia" w:hAnsi="宋体" w:cs="宋体"/>
          <w:b/>
          <w:bCs/>
          <w:color w:val="auto"/>
          <w:sz w:val="24"/>
          <w:szCs w:val="24"/>
        </w:rPr>
        <w:t>（供应商根据谈判文件及本项目情况自拟格式）</w:t>
      </w:r>
    </w:p>
    <w:p>
      <w:pPr>
        <w:autoSpaceDE w:val="0"/>
        <w:autoSpaceDN w:val="0"/>
        <w:spacing w:line="360" w:lineRule="auto"/>
        <w:textAlignment w:val="bottom"/>
        <w:rPr>
          <w:rFonts w:hAnsi="宋体" w:cs="宋体"/>
          <w:b/>
          <w:bCs/>
          <w:color w:val="auto"/>
          <w:sz w:val="24"/>
          <w:szCs w:val="24"/>
        </w:rPr>
      </w:pPr>
    </w:p>
    <w:p>
      <w:pPr>
        <w:autoSpaceDE w:val="0"/>
        <w:autoSpaceDN w:val="0"/>
        <w:spacing w:line="360" w:lineRule="auto"/>
        <w:textAlignment w:val="bottom"/>
        <w:rPr>
          <w:rFonts w:hAnsi="宋体" w:cs="宋体"/>
          <w:b/>
          <w:bCs/>
          <w:color w:val="auto"/>
          <w:sz w:val="24"/>
          <w:szCs w:val="24"/>
        </w:rPr>
      </w:pPr>
      <w:r>
        <w:rPr>
          <w:rFonts w:hint="eastAsia" w:hAnsi="宋体" w:cs="宋体"/>
          <w:b/>
          <w:bCs/>
          <w:color w:val="auto"/>
          <w:sz w:val="24"/>
          <w:szCs w:val="24"/>
        </w:rPr>
        <w:t>七、供应商的合理化建议；（如适用）</w:t>
      </w:r>
    </w:p>
    <w:p>
      <w:pPr>
        <w:autoSpaceDE w:val="0"/>
        <w:autoSpaceDN w:val="0"/>
        <w:spacing w:line="360" w:lineRule="auto"/>
        <w:ind w:firstLine="1205" w:firstLineChars="500"/>
        <w:textAlignment w:val="bottom"/>
        <w:rPr>
          <w:rFonts w:hAnsi="宋体" w:cs="宋体"/>
          <w:b/>
          <w:bCs/>
          <w:color w:val="auto"/>
          <w:sz w:val="24"/>
          <w:szCs w:val="24"/>
        </w:rPr>
      </w:pPr>
      <w:r>
        <w:rPr>
          <w:rFonts w:hint="eastAsia" w:hAnsi="宋体" w:cs="宋体"/>
          <w:b/>
          <w:bCs/>
          <w:color w:val="auto"/>
          <w:sz w:val="24"/>
          <w:szCs w:val="24"/>
        </w:rPr>
        <w:t>（供应商根据谈判文件及本项目情况自拟格式）</w:t>
      </w:r>
    </w:p>
    <w:p>
      <w:pPr>
        <w:autoSpaceDE w:val="0"/>
        <w:autoSpaceDN w:val="0"/>
        <w:spacing w:line="360" w:lineRule="auto"/>
        <w:textAlignment w:val="bottom"/>
        <w:rPr>
          <w:rFonts w:hAnsi="宋体" w:cs="宋体"/>
          <w:b/>
          <w:bCs/>
          <w:color w:val="auto"/>
          <w:sz w:val="24"/>
          <w:szCs w:val="24"/>
        </w:rPr>
      </w:pPr>
    </w:p>
    <w:p>
      <w:pPr>
        <w:autoSpaceDE w:val="0"/>
        <w:autoSpaceDN w:val="0"/>
        <w:spacing w:line="360" w:lineRule="auto"/>
        <w:textAlignment w:val="bottom"/>
        <w:rPr>
          <w:rFonts w:hAnsi="宋体" w:cs="宋体"/>
          <w:b/>
          <w:bCs/>
          <w:color w:val="auto"/>
          <w:sz w:val="24"/>
          <w:szCs w:val="24"/>
        </w:rPr>
      </w:pPr>
      <w:r>
        <w:rPr>
          <w:rFonts w:hint="eastAsia" w:hAnsi="宋体" w:cs="宋体"/>
          <w:b/>
          <w:bCs/>
          <w:color w:val="auto"/>
          <w:sz w:val="24"/>
          <w:szCs w:val="24"/>
        </w:rPr>
        <w:t>八、供应商服务承诺（如适用）</w:t>
      </w:r>
    </w:p>
    <w:p>
      <w:pPr>
        <w:autoSpaceDE w:val="0"/>
        <w:autoSpaceDN w:val="0"/>
        <w:spacing w:line="360" w:lineRule="auto"/>
        <w:ind w:firstLine="1205" w:firstLineChars="500"/>
        <w:textAlignment w:val="bottom"/>
        <w:rPr>
          <w:rFonts w:hAnsi="宋体" w:cs="宋体"/>
          <w:b/>
          <w:bCs/>
          <w:color w:val="auto"/>
          <w:sz w:val="24"/>
          <w:szCs w:val="24"/>
        </w:rPr>
      </w:pPr>
      <w:r>
        <w:rPr>
          <w:rFonts w:hint="eastAsia" w:hAnsi="宋体" w:cs="宋体"/>
          <w:b/>
          <w:bCs/>
          <w:color w:val="auto"/>
          <w:sz w:val="24"/>
          <w:szCs w:val="24"/>
        </w:rPr>
        <w:t>（供应商根据谈判文件及本项目情况自拟格式）</w:t>
      </w:r>
    </w:p>
    <w:p>
      <w:pPr>
        <w:autoSpaceDE w:val="0"/>
        <w:autoSpaceDN w:val="0"/>
        <w:spacing w:line="360" w:lineRule="auto"/>
        <w:textAlignment w:val="bottom"/>
        <w:rPr>
          <w:rFonts w:hAnsi="宋体" w:cs="宋体"/>
          <w:b/>
          <w:bCs/>
          <w:color w:val="auto"/>
          <w:sz w:val="24"/>
          <w:szCs w:val="24"/>
        </w:rPr>
      </w:pPr>
    </w:p>
    <w:p>
      <w:pPr>
        <w:adjustRightInd w:val="0"/>
        <w:snapToGrid w:val="0"/>
        <w:spacing w:line="360" w:lineRule="auto"/>
        <w:jc w:val="left"/>
        <w:rPr>
          <w:rFonts w:hAnsi="宋体" w:cs="宋体"/>
          <w:b/>
          <w:bCs/>
          <w:color w:val="auto"/>
          <w:sz w:val="24"/>
          <w:szCs w:val="24"/>
        </w:rPr>
      </w:pPr>
      <w:r>
        <w:rPr>
          <w:rFonts w:hint="eastAsia" w:hAnsi="宋体" w:cs="宋体"/>
          <w:b/>
          <w:bCs/>
          <w:color w:val="auto"/>
          <w:sz w:val="24"/>
          <w:szCs w:val="24"/>
        </w:rPr>
        <w:t>九、谈判文件要求的其他资料及证明材料或供应商认为必要的其他补充材料（如适用）</w:t>
      </w:r>
    </w:p>
    <w:p>
      <w:pPr>
        <w:spacing w:line="360" w:lineRule="auto"/>
        <w:ind w:firstLine="1205" w:firstLineChars="500"/>
        <w:jc w:val="both"/>
        <w:rPr>
          <w:rFonts w:hAnsi="宋体" w:cs="宋体"/>
          <w:b/>
          <w:bCs/>
          <w:color w:val="auto"/>
          <w:sz w:val="24"/>
          <w:szCs w:val="24"/>
        </w:rPr>
      </w:pPr>
      <w:r>
        <w:rPr>
          <w:rFonts w:hint="eastAsia" w:hAnsi="宋体" w:cs="宋体"/>
          <w:b/>
          <w:bCs/>
          <w:color w:val="auto"/>
          <w:sz w:val="24"/>
          <w:szCs w:val="24"/>
        </w:rPr>
        <w:t>（供应商根据谈判文件及本项目情况自拟格式）</w:t>
      </w:r>
    </w:p>
    <w:p>
      <w:pPr>
        <w:spacing w:line="360" w:lineRule="auto"/>
        <w:ind w:firstLine="479" w:firstLineChars="199"/>
        <w:jc w:val="center"/>
        <w:rPr>
          <w:rFonts w:hAnsi="宋体" w:cs="宋体"/>
          <w:b/>
          <w:bCs/>
          <w:color w:val="auto"/>
          <w:sz w:val="24"/>
          <w:szCs w:val="24"/>
        </w:rPr>
      </w:pPr>
    </w:p>
    <w:p>
      <w:pPr>
        <w:spacing w:line="360" w:lineRule="auto"/>
        <w:rPr>
          <w:rFonts w:hAnsi="宋体"/>
          <w:color w:val="auto"/>
          <w:sz w:val="24"/>
          <w:szCs w:val="24"/>
        </w:rPr>
      </w:pPr>
      <w:r>
        <w:rPr>
          <w:rFonts w:hint="eastAsia" w:hAnsi="宋体"/>
          <w:color w:val="auto"/>
          <w:sz w:val="24"/>
          <w:szCs w:val="24"/>
        </w:rPr>
        <w:t>注：1.请各供应商务按照项目的服务和实施方案，自行提供说明函和相关资料。如无上述内容可不提供。</w:t>
      </w:r>
    </w:p>
    <w:p>
      <w:pPr>
        <w:spacing w:line="360" w:lineRule="auto"/>
        <w:ind w:firstLine="480" w:firstLineChars="200"/>
        <w:rPr>
          <w:rFonts w:hAnsi="宋体"/>
          <w:color w:val="auto"/>
          <w:sz w:val="24"/>
          <w:szCs w:val="24"/>
        </w:rPr>
      </w:pPr>
      <w:r>
        <w:rPr>
          <w:rFonts w:hint="eastAsia" w:hAnsi="宋体"/>
          <w:color w:val="auto"/>
          <w:sz w:val="24"/>
          <w:szCs w:val="24"/>
        </w:rPr>
        <w:t>2.谈判文件中要求提供的其它文件、承诺或资料格式未作要求的供应商可自行拟定。</w:t>
      </w:r>
    </w:p>
    <w:p>
      <w:pPr>
        <w:spacing w:line="360" w:lineRule="auto"/>
        <w:ind w:firstLine="479" w:firstLineChars="199"/>
        <w:jc w:val="center"/>
        <w:rPr>
          <w:rFonts w:hAnsi="宋体" w:cs="宋体"/>
          <w:b/>
          <w:bCs/>
          <w:color w:val="auto"/>
          <w:sz w:val="24"/>
          <w:szCs w:val="24"/>
        </w:rPr>
      </w:pPr>
    </w:p>
    <w:p>
      <w:pPr>
        <w:pStyle w:val="3"/>
        <w:spacing w:before="0" w:after="0" w:line="360" w:lineRule="auto"/>
        <w:rPr>
          <w:color w:val="auto"/>
        </w:rPr>
      </w:pPr>
      <w:r>
        <w:rPr>
          <w:rFonts w:hint="eastAsia" w:cs="宋体"/>
          <w:color w:val="auto"/>
          <w:sz w:val="24"/>
        </w:rPr>
        <w:br w:type="page"/>
      </w:r>
      <w:bookmarkStart w:id="377" w:name="_Toc6400"/>
      <w:bookmarkStart w:id="378" w:name="_Toc462929217"/>
      <w:r>
        <w:rPr>
          <w:rFonts w:hint="eastAsia"/>
          <w:color w:val="auto"/>
        </w:rPr>
        <w:t xml:space="preserve">第十二部分 </w:t>
      </w:r>
      <w:bookmarkEnd w:id="376"/>
      <w:r>
        <w:rPr>
          <w:rFonts w:hint="eastAsia"/>
          <w:color w:val="auto"/>
        </w:rPr>
        <w:t>评审程序、评审方法、评审标准</w:t>
      </w:r>
      <w:bookmarkEnd w:id="377"/>
      <w:bookmarkEnd w:id="378"/>
    </w:p>
    <w:p>
      <w:pPr>
        <w:adjustRightInd w:val="0"/>
        <w:snapToGrid w:val="0"/>
        <w:spacing w:line="360" w:lineRule="auto"/>
        <w:ind w:firstLine="480" w:firstLineChars="200"/>
        <w:rPr>
          <w:color w:val="auto"/>
          <w:sz w:val="24"/>
          <w:szCs w:val="24"/>
        </w:rPr>
      </w:pPr>
      <w:r>
        <w:rPr>
          <w:rFonts w:hint="eastAsia" w:hAnsi="宋体"/>
          <w:color w:val="auto"/>
          <w:sz w:val="24"/>
          <w:szCs w:val="24"/>
        </w:rPr>
        <w:t>根据《中华人民共和国政府采购法》和财政部第87号令颁布的《政府采购货物和服务招标报价管理办法》、</w:t>
      </w:r>
      <w:r>
        <w:rPr>
          <w:color w:val="auto"/>
          <w:sz w:val="24"/>
          <w:szCs w:val="24"/>
        </w:rPr>
        <w:t>《政府采购非招标采购方式管理办法》</w:t>
      </w:r>
      <w:bookmarkStart w:id="379" w:name="_Toc209847168"/>
      <w:bookmarkStart w:id="380" w:name="_Toc430773950"/>
      <w:r>
        <w:rPr>
          <w:color w:val="auto"/>
          <w:sz w:val="24"/>
          <w:szCs w:val="24"/>
        </w:rPr>
        <w:t>《四川省政府采购非招标采购方式实施办法》</w:t>
      </w:r>
      <w:r>
        <w:rPr>
          <w:rFonts w:hint="eastAsia"/>
          <w:color w:val="auto"/>
          <w:sz w:val="24"/>
          <w:szCs w:val="24"/>
        </w:rPr>
        <w:t>等法律法规</w:t>
      </w:r>
      <w:r>
        <w:rPr>
          <w:rFonts w:hint="eastAsia" w:hAnsi="宋体"/>
          <w:color w:val="auto"/>
          <w:sz w:val="24"/>
          <w:szCs w:val="24"/>
        </w:rPr>
        <w:t>并结合本项目特点制定本评审细则。</w:t>
      </w:r>
    </w:p>
    <w:p>
      <w:pPr>
        <w:pStyle w:val="4"/>
        <w:spacing w:before="0" w:after="0"/>
        <w:rPr>
          <w:rStyle w:val="85"/>
          <w:b/>
          <w:color w:val="auto"/>
        </w:rPr>
      </w:pPr>
      <w:r>
        <w:rPr>
          <w:rStyle w:val="84"/>
          <w:rFonts w:hint="eastAsia"/>
          <w:b/>
          <w:color w:val="auto"/>
        </w:rPr>
        <w:t xml:space="preserve"> 一、评审方法和评审标准</w:t>
      </w:r>
    </w:p>
    <w:p>
      <w:pPr>
        <w:pStyle w:val="5"/>
        <w:adjustRightInd w:val="0"/>
        <w:snapToGrid w:val="0"/>
        <w:spacing w:before="0" w:after="0"/>
        <w:ind w:firstLine="482"/>
        <w:rPr>
          <w:color w:val="auto"/>
        </w:rPr>
      </w:pPr>
      <w:r>
        <w:rPr>
          <w:rFonts w:hint="eastAsia"/>
          <w:color w:val="auto"/>
        </w:rPr>
        <w:t>1、评审原则</w:t>
      </w:r>
      <w:bookmarkEnd w:id="379"/>
      <w:bookmarkEnd w:id="380"/>
    </w:p>
    <w:p>
      <w:pPr>
        <w:adjustRightInd w:val="0"/>
        <w:snapToGrid w:val="0"/>
        <w:spacing w:line="360" w:lineRule="auto"/>
        <w:rPr>
          <w:rFonts w:hAnsi="宋体"/>
          <w:color w:val="auto"/>
          <w:sz w:val="24"/>
          <w:szCs w:val="24"/>
        </w:rPr>
      </w:pPr>
      <w:r>
        <w:rPr>
          <w:rFonts w:hint="eastAsia" w:hAnsi="宋体"/>
          <w:color w:val="auto"/>
          <w:sz w:val="24"/>
          <w:szCs w:val="24"/>
        </w:rPr>
        <w:t>（1）评审</w:t>
      </w:r>
      <w:r>
        <w:rPr>
          <w:rFonts w:hAnsi="宋体"/>
          <w:color w:val="auto"/>
          <w:sz w:val="24"/>
          <w:szCs w:val="24"/>
        </w:rPr>
        <w:t>遵循公平、公正</w:t>
      </w:r>
      <w:r>
        <w:rPr>
          <w:rFonts w:hint="eastAsia" w:hAnsi="宋体"/>
          <w:color w:val="auto"/>
          <w:sz w:val="24"/>
          <w:szCs w:val="24"/>
        </w:rPr>
        <w:t>、科学及择优的</w:t>
      </w:r>
      <w:r>
        <w:rPr>
          <w:rFonts w:hAnsi="宋体"/>
          <w:color w:val="auto"/>
          <w:sz w:val="24"/>
          <w:szCs w:val="24"/>
        </w:rPr>
        <w:t>原则</w:t>
      </w:r>
      <w:r>
        <w:rPr>
          <w:rFonts w:hint="eastAsia" w:hAnsi="宋体"/>
          <w:color w:val="auto"/>
          <w:sz w:val="24"/>
          <w:szCs w:val="24"/>
        </w:rPr>
        <w:t>；</w:t>
      </w:r>
    </w:p>
    <w:p>
      <w:pPr>
        <w:adjustRightInd w:val="0"/>
        <w:snapToGrid w:val="0"/>
        <w:spacing w:line="360" w:lineRule="auto"/>
        <w:rPr>
          <w:rFonts w:hAnsi="宋体"/>
          <w:color w:val="auto"/>
          <w:sz w:val="24"/>
          <w:szCs w:val="24"/>
        </w:rPr>
      </w:pPr>
      <w:r>
        <w:rPr>
          <w:rFonts w:hint="eastAsia" w:hAnsi="宋体"/>
          <w:color w:val="auto"/>
          <w:sz w:val="24"/>
          <w:szCs w:val="24"/>
        </w:rPr>
        <w:t>（2）</w:t>
      </w:r>
      <w:r>
        <w:rPr>
          <w:rFonts w:hint="eastAsia" w:hAnsi="宋体"/>
          <w:bCs/>
          <w:color w:val="auto"/>
          <w:sz w:val="24"/>
          <w:szCs w:val="24"/>
        </w:rPr>
        <w:t>资格审查合格的</w:t>
      </w:r>
      <w:r>
        <w:rPr>
          <w:rFonts w:hint="eastAsia" w:hAnsi="宋体"/>
          <w:color w:val="auto"/>
          <w:sz w:val="24"/>
          <w:szCs w:val="24"/>
        </w:rPr>
        <w:t>供应商</w:t>
      </w:r>
      <w:r>
        <w:rPr>
          <w:rFonts w:hint="eastAsia" w:hAnsi="宋体"/>
          <w:bCs/>
          <w:color w:val="auto"/>
          <w:sz w:val="24"/>
          <w:szCs w:val="24"/>
        </w:rPr>
        <w:t>均有同等机会参加下一轮评审；</w:t>
      </w:r>
    </w:p>
    <w:p>
      <w:pPr>
        <w:adjustRightInd w:val="0"/>
        <w:snapToGrid w:val="0"/>
        <w:spacing w:line="360" w:lineRule="auto"/>
        <w:rPr>
          <w:rFonts w:hAnsi="宋体"/>
          <w:bCs/>
          <w:color w:val="auto"/>
          <w:sz w:val="24"/>
          <w:szCs w:val="24"/>
        </w:rPr>
      </w:pPr>
      <w:r>
        <w:rPr>
          <w:rFonts w:hint="eastAsia" w:hAnsi="宋体"/>
          <w:color w:val="auto"/>
          <w:sz w:val="24"/>
          <w:szCs w:val="24"/>
        </w:rPr>
        <w:t>（3）</w:t>
      </w:r>
      <w:r>
        <w:rPr>
          <w:rFonts w:hint="eastAsia" w:hAnsi="宋体"/>
          <w:bCs/>
          <w:color w:val="auto"/>
          <w:sz w:val="24"/>
          <w:szCs w:val="24"/>
        </w:rPr>
        <w:t>对所有</w:t>
      </w:r>
      <w:r>
        <w:rPr>
          <w:rFonts w:hint="eastAsia" w:hAnsi="宋体"/>
          <w:color w:val="auto"/>
          <w:sz w:val="24"/>
          <w:szCs w:val="24"/>
        </w:rPr>
        <w:t>供应商</w:t>
      </w:r>
      <w:r>
        <w:rPr>
          <w:rFonts w:hint="eastAsia" w:hAnsi="宋体"/>
          <w:bCs/>
          <w:color w:val="auto"/>
          <w:sz w:val="24"/>
          <w:szCs w:val="24"/>
        </w:rPr>
        <w:t>的</w:t>
      </w:r>
      <w:r>
        <w:rPr>
          <w:rFonts w:hint="eastAsia" w:hAnsi="宋体"/>
          <w:color w:val="auto"/>
          <w:sz w:val="24"/>
          <w:szCs w:val="24"/>
        </w:rPr>
        <w:t>谈判</w:t>
      </w:r>
      <w:r>
        <w:rPr>
          <w:rFonts w:hint="eastAsia" w:hAnsi="宋体"/>
          <w:bCs/>
          <w:color w:val="auto"/>
          <w:sz w:val="24"/>
          <w:szCs w:val="24"/>
        </w:rPr>
        <w:t>评估和比较都采用相同的程序和标准；</w:t>
      </w:r>
    </w:p>
    <w:p>
      <w:pPr>
        <w:pStyle w:val="8"/>
        <w:adjustRightInd w:val="0"/>
        <w:snapToGrid w:val="0"/>
        <w:spacing w:line="360" w:lineRule="auto"/>
        <w:ind w:firstLine="0"/>
        <w:rPr>
          <w:rFonts w:ascii="宋体" w:hAnsi="宋体"/>
          <w:color w:val="auto"/>
          <w:sz w:val="24"/>
          <w:szCs w:val="24"/>
        </w:rPr>
      </w:pPr>
      <w:r>
        <w:rPr>
          <w:rFonts w:hint="eastAsia" w:hAnsi="宋体"/>
          <w:color w:val="auto"/>
          <w:sz w:val="24"/>
          <w:szCs w:val="24"/>
        </w:rPr>
        <w:t>（4）</w:t>
      </w:r>
      <w:r>
        <w:rPr>
          <w:rFonts w:hint="eastAsia" w:ascii="宋体" w:hAnsi="宋体"/>
          <w:bCs/>
          <w:color w:val="auto"/>
          <w:sz w:val="24"/>
          <w:szCs w:val="24"/>
        </w:rPr>
        <w:t>评审过程中</w:t>
      </w:r>
      <w:r>
        <w:rPr>
          <w:rFonts w:ascii="宋体" w:hAnsi="宋体"/>
          <w:color w:val="auto"/>
          <w:sz w:val="24"/>
          <w:szCs w:val="24"/>
        </w:rPr>
        <w:t>遵循</w:t>
      </w:r>
      <w:r>
        <w:rPr>
          <w:rFonts w:hint="eastAsia" w:ascii="宋体" w:hAnsi="宋体"/>
          <w:bCs/>
          <w:color w:val="auto"/>
          <w:sz w:val="24"/>
          <w:szCs w:val="24"/>
        </w:rPr>
        <w:t>物有所值及维护采购人利益的原则。</w:t>
      </w:r>
    </w:p>
    <w:p>
      <w:pPr>
        <w:pStyle w:val="5"/>
        <w:adjustRightInd w:val="0"/>
        <w:snapToGrid w:val="0"/>
        <w:spacing w:before="0" w:after="0"/>
        <w:ind w:firstLine="482"/>
        <w:rPr>
          <w:color w:val="auto"/>
        </w:rPr>
      </w:pPr>
      <w:bookmarkStart w:id="381" w:name="_Toc101338402"/>
      <w:bookmarkStart w:id="382" w:name="_Toc209847169"/>
      <w:bookmarkStart w:id="383" w:name="_Toc430773951"/>
      <w:r>
        <w:rPr>
          <w:rFonts w:hint="eastAsia"/>
          <w:color w:val="auto"/>
        </w:rPr>
        <w:t>2、评审标准</w:t>
      </w:r>
      <w:bookmarkEnd w:id="381"/>
      <w:bookmarkEnd w:id="382"/>
      <w:bookmarkEnd w:id="383"/>
      <w:bookmarkStart w:id="384" w:name="_Hlt101844658"/>
      <w:bookmarkEnd w:id="384"/>
      <w:bookmarkStart w:id="385" w:name="_Hlt101105855"/>
      <w:bookmarkEnd w:id="385"/>
    </w:p>
    <w:p>
      <w:pPr>
        <w:adjustRightInd w:val="0"/>
        <w:snapToGrid w:val="0"/>
        <w:spacing w:line="360" w:lineRule="auto"/>
        <w:rPr>
          <w:rFonts w:hAnsi="宋体"/>
          <w:color w:val="auto"/>
          <w:sz w:val="24"/>
          <w:szCs w:val="24"/>
        </w:rPr>
      </w:pPr>
      <w:r>
        <w:rPr>
          <w:rFonts w:hint="eastAsia" w:hAnsi="宋体"/>
          <w:color w:val="auto"/>
          <w:sz w:val="24"/>
          <w:szCs w:val="24"/>
        </w:rPr>
        <w:t>（1）</w:t>
      </w:r>
      <w:r>
        <w:rPr>
          <w:rFonts w:hint="eastAsia" w:hAnsi="宋体"/>
          <w:bCs/>
          <w:color w:val="auto"/>
          <w:sz w:val="24"/>
          <w:szCs w:val="24"/>
        </w:rPr>
        <w:t>资格证明文件完整、真实、有效；</w:t>
      </w:r>
    </w:p>
    <w:p>
      <w:pPr>
        <w:adjustRightInd w:val="0"/>
        <w:snapToGrid w:val="0"/>
        <w:spacing w:line="360" w:lineRule="auto"/>
        <w:rPr>
          <w:rFonts w:hAnsi="宋体"/>
          <w:color w:val="auto"/>
          <w:sz w:val="24"/>
          <w:szCs w:val="24"/>
        </w:rPr>
      </w:pPr>
      <w:r>
        <w:rPr>
          <w:rFonts w:hint="eastAsia" w:hAnsi="宋体"/>
          <w:color w:val="auto"/>
          <w:sz w:val="24"/>
          <w:szCs w:val="24"/>
        </w:rPr>
        <w:t>（2）</w:t>
      </w:r>
      <w:r>
        <w:rPr>
          <w:rFonts w:hint="eastAsia" w:hAnsi="宋体"/>
          <w:bCs/>
          <w:color w:val="auto"/>
          <w:sz w:val="24"/>
          <w:szCs w:val="24"/>
        </w:rPr>
        <w:t>已缴纳足额</w:t>
      </w:r>
      <w:r>
        <w:rPr>
          <w:rFonts w:hint="eastAsia" w:hAnsi="宋体"/>
          <w:color w:val="auto"/>
          <w:sz w:val="24"/>
          <w:szCs w:val="24"/>
        </w:rPr>
        <w:t>保证金</w:t>
      </w:r>
      <w:r>
        <w:rPr>
          <w:rFonts w:hint="eastAsia" w:hAnsi="宋体"/>
          <w:bCs/>
          <w:color w:val="auto"/>
          <w:sz w:val="24"/>
          <w:szCs w:val="24"/>
        </w:rPr>
        <w:t>；</w:t>
      </w:r>
    </w:p>
    <w:p>
      <w:pPr>
        <w:adjustRightInd w:val="0"/>
        <w:snapToGrid w:val="0"/>
        <w:spacing w:line="360" w:lineRule="auto"/>
        <w:rPr>
          <w:rFonts w:hAnsi="宋体"/>
          <w:color w:val="auto"/>
          <w:sz w:val="24"/>
          <w:szCs w:val="24"/>
        </w:rPr>
      </w:pPr>
      <w:r>
        <w:rPr>
          <w:rFonts w:hint="eastAsia" w:hAnsi="宋体"/>
          <w:color w:val="auto"/>
          <w:sz w:val="24"/>
          <w:szCs w:val="24"/>
        </w:rPr>
        <w:t>（3）</w:t>
      </w:r>
      <w:r>
        <w:rPr>
          <w:rFonts w:hint="eastAsia" w:hAnsi="宋体"/>
          <w:bCs/>
          <w:color w:val="auto"/>
          <w:sz w:val="24"/>
          <w:szCs w:val="24"/>
        </w:rPr>
        <w:t>报价合理，并且最大限度满足谈判文件要求；</w:t>
      </w:r>
    </w:p>
    <w:p>
      <w:pPr>
        <w:adjustRightInd w:val="0"/>
        <w:snapToGrid w:val="0"/>
        <w:spacing w:line="360" w:lineRule="auto"/>
        <w:rPr>
          <w:rFonts w:hAnsi="宋体"/>
          <w:color w:val="auto"/>
          <w:sz w:val="24"/>
          <w:szCs w:val="24"/>
        </w:rPr>
      </w:pPr>
      <w:r>
        <w:rPr>
          <w:rFonts w:hint="eastAsia" w:hAnsi="宋体"/>
          <w:color w:val="auto"/>
          <w:sz w:val="24"/>
          <w:szCs w:val="24"/>
        </w:rPr>
        <w:t>（4）</w:t>
      </w:r>
      <w:r>
        <w:rPr>
          <w:rFonts w:hint="eastAsia" w:hAnsi="宋体"/>
          <w:bCs/>
          <w:color w:val="auto"/>
          <w:sz w:val="24"/>
          <w:szCs w:val="24"/>
        </w:rPr>
        <w:t>提供的货物/服务满足谈判文件技术方面的要求；</w:t>
      </w:r>
    </w:p>
    <w:p>
      <w:pPr>
        <w:adjustRightInd w:val="0"/>
        <w:snapToGrid w:val="0"/>
        <w:spacing w:line="360" w:lineRule="auto"/>
        <w:rPr>
          <w:rFonts w:hAnsi="宋体"/>
          <w:bCs/>
          <w:color w:val="auto"/>
          <w:sz w:val="24"/>
          <w:szCs w:val="24"/>
        </w:rPr>
      </w:pPr>
      <w:r>
        <w:rPr>
          <w:rFonts w:hint="eastAsia" w:hAnsi="宋体"/>
          <w:color w:val="auto"/>
          <w:sz w:val="24"/>
          <w:szCs w:val="24"/>
        </w:rPr>
        <w:t>（5）</w:t>
      </w:r>
      <w:r>
        <w:rPr>
          <w:rFonts w:hint="eastAsia" w:hAnsi="宋体"/>
          <w:bCs/>
          <w:color w:val="auto"/>
          <w:sz w:val="24"/>
          <w:szCs w:val="24"/>
        </w:rPr>
        <w:t>有能力提供优良的售后服务；</w:t>
      </w:r>
    </w:p>
    <w:p>
      <w:pPr>
        <w:adjustRightInd w:val="0"/>
        <w:snapToGrid w:val="0"/>
        <w:spacing w:line="360" w:lineRule="auto"/>
        <w:rPr>
          <w:rFonts w:hAnsi="宋体"/>
          <w:bCs/>
          <w:color w:val="auto"/>
          <w:sz w:val="24"/>
          <w:szCs w:val="24"/>
        </w:rPr>
      </w:pPr>
      <w:r>
        <w:rPr>
          <w:rFonts w:hint="eastAsia" w:hAnsi="宋体"/>
          <w:color w:val="auto"/>
          <w:sz w:val="24"/>
          <w:szCs w:val="24"/>
        </w:rPr>
        <w:t>（6）</w:t>
      </w:r>
      <w:r>
        <w:rPr>
          <w:rFonts w:hint="eastAsia" w:hAnsi="宋体"/>
          <w:bCs/>
          <w:color w:val="auto"/>
          <w:sz w:val="24"/>
          <w:szCs w:val="24"/>
        </w:rPr>
        <w:t>同等条件下优先采购</w:t>
      </w:r>
      <w:r>
        <w:rPr>
          <w:rFonts w:hint="eastAsia"/>
          <w:color w:val="auto"/>
          <w:sz w:val="24"/>
        </w:rPr>
        <w:t>节能、环保产品或者无线局域网产品</w:t>
      </w:r>
      <w:bookmarkStart w:id="386" w:name="_Toc209847170"/>
      <w:bookmarkStart w:id="387" w:name="_Toc430773952"/>
      <w:r>
        <w:rPr>
          <w:rFonts w:hint="eastAsia" w:hAnsi="宋体"/>
          <w:bCs/>
          <w:color w:val="auto"/>
          <w:sz w:val="24"/>
          <w:szCs w:val="24"/>
        </w:rPr>
        <w:t>。</w:t>
      </w:r>
    </w:p>
    <w:p>
      <w:pPr>
        <w:pStyle w:val="5"/>
        <w:adjustRightInd w:val="0"/>
        <w:snapToGrid w:val="0"/>
        <w:spacing w:before="0" w:after="0"/>
        <w:ind w:firstLine="482"/>
        <w:rPr>
          <w:color w:val="auto"/>
        </w:rPr>
      </w:pPr>
      <w:r>
        <w:rPr>
          <w:rFonts w:hint="eastAsia"/>
          <w:color w:val="auto"/>
        </w:rPr>
        <w:t>3、评审方法</w:t>
      </w:r>
      <w:bookmarkEnd w:id="386"/>
      <w:bookmarkEnd w:id="387"/>
      <w:bookmarkStart w:id="388" w:name="_Toc430773953"/>
      <w:bookmarkStart w:id="389" w:name="_Toc209847171"/>
      <w:r>
        <w:rPr>
          <w:rFonts w:hint="eastAsia"/>
          <w:color w:val="auto"/>
        </w:rPr>
        <w:t>：</w:t>
      </w:r>
      <w:r>
        <w:rPr>
          <w:rFonts w:hint="eastAsia"/>
          <w:color w:val="auto"/>
          <w:szCs w:val="24"/>
        </w:rPr>
        <w:t>最低评标价法。</w:t>
      </w:r>
      <w:bookmarkEnd w:id="388"/>
    </w:p>
    <w:p>
      <w:pPr>
        <w:pStyle w:val="5"/>
        <w:adjustRightInd w:val="0"/>
        <w:snapToGrid w:val="0"/>
        <w:spacing w:before="0" w:after="0"/>
        <w:ind w:firstLine="482"/>
        <w:rPr>
          <w:color w:val="auto"/>
        </w:rPr>
      </w:pPr>
      <w:bookmarkStart w:id="390" w:name="_Toc430773954"/>
      <w:r>
        <w:rPr>
          <w:rFonts w:hint="eastAsia"/>
          <w:color w:val="auto"/>
        </w:rPr>
        <w:t>4、响应文件的审查和响应性的确定</w:t>
      </w:r>
      <w:bookmarkEnd w:id="389"/>
      <w:bookmarkEnd w:id="390"/>
    </w:p>
    <w:p>
      <w:pPr>
        <w:adjustRightInd w:val="0"/>
        <w:snapToGrid w:val="0"/>
        <w:spacing w:line="360" w:lineRule="auto"/>
        <w:rPr>
          <w:rFonts w:hAnsi="宋体"/>
          <w:color w:val="auto"/>
          <w:sz w:val="24"/>
          <w:szCs w:val="24"/>
        </w:rPr>
      </w:pPr>
      <w:r>
        <w:rPr>
          <w:rFonts w:hint="eastAsia" w:hAnsi="宋体"/>
          <w:color w:val="auto"/>
          <w:sz w:val="24"/>
          <w:szCs w:val="24"/>
        </w:rPr>
        <w:t>谈判小组将审查响应文件是否完整，是否有计算错误，要求的保证金是否已有效提供，文件是否有效地签字。</w:t>
      </w:r>
    </w:p>
    <w:p>
      <w:pPr>
        <w:pStyle w:val="5"/>
        <w:adjustRightInd w:val="0"/>
        <w:snapToGrid w:val="0"/>
        <w:spacing w:before="0" w:after="0"/>
        <w:ind w:firstLine="482"/>
        <w:rPr>
          <w:color w:val="auto"/>
        </w:rPr>
      </w:pPr>
      <w:bookmarkStart w:id="391" w:name="_Toc430773955"/>
      <w:bookmarkStart w:id="392" w:name="_Toc209847172"/>
      <w:r>
        <w:rPr>
          <w:rFonts w:hint="eastAsia"/>
          <w:color w:val="auto"/>
        </w:rPr>
        <w:t>5、响应文件的澄清</w:t>
      </w:r>
      <w:bookmarkEnd w:id="391"/>
      <w:bookmarkEnd w:id="392"/>
    </w:p>
    <w:p>
      <w:pPr>
        <w:adjustRightInd w:val="0"/>
        <w:snapToGrid w:val="0"/>
        <w:spacing w:line="360" w:lineRule="auto"/>
        <w:rPr>
          <w:rFonts w:hAnsi="宋体"/>
          <w:color w:val="auto"/>
          <w:sz w:val="24"/>
          <w:szCs w:val="24"/>
        </w:rPr>
      </w:pPr>
      <w:r>
        <w:rPr>
          <w:rFonts w:hint="eastAsia" w:hAnsi="宋体"/>
          <w:color w:val="auto"/>
          <w:sz w:val="24"/>
          <w:szCs w:val="24"/>
        </w:rPr>
        <w:t>（1）在评审期间，谈判小组可要求供应商对其响应文件进行澄清。有关澄清的要求和答</w:t>
      </w:r>
      <w:r>
        <w:rPr>
          <w:rFonts w:hint="eastAsia" w:hAnsi="宋体"/>
          <w:color w:val="auto"/>
          <w:spacing w:val="14"/>
          <w:sz w:val="24"/>
          <w:szCs w:val="24"/>
        </w:rPr>
        <w:t>复应以书面形式提交。</w:t>
      </w:r>
      <w:r>
        <w:rPr>
          <w:rFonts w:hint="eastAsia" w:hAnsi="宋体"/>
          <w:color w:val="auto"/>
          <w:sz w:val="24"/>
          <w:szCs w:val="24"/>
        </w:rPr>
        <w:t>供应商须按照通知的时间、地点指派专人进行答疑和澄清。</w:t>
      </w:r>
    </w:p>
    <w:p>
      <w:pPr>
        <w:adjustRightInd w:val="0"/>
        <w:snapToGrid w:val="0"/>
        <w:spacing w:line="360" w:lineRule="auto"/>
        <w:rPr>
          <w:rFonts w:hAnsi="宋体"/>
          <w:color w:val="auto"/>
          <w:sz w:val="24"/>
          <w:szCs w:val="24"/>
        </w:rPr>
      </w:pPr>
      <w:r>
        <w:rPr>
          <w:rFonts w:hint="eastAsia" w:hAnsi="宋体"/>
          <w:color w:val="auto"/>
          <w:sz w:val="24"/>
          <w:szCs w:val="24"/>
        </w:rPr>
        <w:t>（2）供应商对谈判小组的询问不作答复时（供应商不能在规定时间内提供有效证明文件亦视为对谈判小组的询问不作答复），谈判小组在评审时将按有利于采购人的情形认定。</w:t>
      </w:r>
    </w:p>
    <w:p>
      <w:pPr>
        <w:pStyle w:val="8"/>
        <w:adjustRightInd w:val="0"/>
        <w:snapToGrid w:val="0"/>
        <w:spacing w:line="360" w:lineRule="auto"/>
        <w:ind w:firstLine="0"/>
        <w:rPr>
          <w:rFonts w:ascii="宋体" w:hAnsi="宋体"/>
          <w:color w:val="auto"/>
          <w:sz w:val="24"/>
          <w:szCs w:val="24"/>
        </w:rPr>
      </w:pPr>
      <w:r>
        <w:rPr>
          <w:rFonts w:hint="eastAsia" w:hAnsi="宋体"/>
          <w:color w:val="auto"/>
          <w:sz w:val="24"/>
          <w:szCs w:val="24"/>
        </w:rPr>
        <w:t>（3）</w:t>
      </w:r>
      <w:r>
        <w:rPr>
          <w:rFonts w:hint="eastAsia" w:ascii="宋体" w:hAnsi="宋体"/>
          <w:color w:val="auto"/>
          <w:sz w:val="24"/>
          <w:szCs w:val="24"/>
        </w:rPr>
        <w:t>除按本章规定的澄清，供应商不得就与其谈判有关的任何事项与采购人或采购代理机构违规联系。</w:t>
      </w:r>
    </w:p>
    <w:p>
      <w:pPr>
        <w:pStyle w:val="8"/>
        <w:adjustRightInd w:val="0"/>
        <w:snapToGrid w:val="0"/>
        <w:spacing w:line="360" w:lineRule="auto"/>
        <w:rPr>
          <w:rFonts w:ascii="宋体" w:hAnsi="宋体"/>
          <w:color w:val="auto"/>
          <w:sz w:val="24"/>
          <w:szCs w:val="24"/>
        </w:rPr>
      </w:pPr>
      <w:r>
        <w:rPr>
          <w:rFonts w:hint="eastAsia" w:ascii="宋体" w:hAnsi="宋体"/>
          <w:color w:val="auto"/>
          <w:sz w:val="24"/>
          <w:szCs w:val="24"/>
        </w:rPr>
        <w:t>（4）谈判小组</w:t>
      </w:r>
      <w:r>
        <w:rPr>
          <w:rFonts w:ascii="宋体" w:hAnsi="宋体"/>
          <w:color w:val="auto"/>
          <w:sz w:val="24"/>
          <w:szCs w:val="24"/>
        </w:rPr>
        <w:t>在对</w:t>
      </w:r>
      <w:r>
        <w:rPr>
          <w:rFonts w:hint="eastAsia" w:ascii="宋体" w:hAnsi="宋体"/>
          <w:color w:val="auto"/>
          <w:sz w:val="24"/>
          <w:szCs w:val="24"/>
        </w:rPr>
        <w:t>响应文件</w:t>
      </w:r>
      <w:r>
        <w:rPr>
          <w:rFonts w:ascii="宋体" w:hAnsi="宋体"/>
          <w:color w:val="auto"/>
          <w:sz w:val="24"/>
          <w:szCs w:val="24"/>
        </w:rPr>
        <w:t>的有效性、完整性和响应程度进行审查时，可以要求供应商对</w:t>
      </w:r>
      <w:r>
        <w:rPr>
          <w:rFonts w:hint="eastAsia" w:ascii="宋体" w:hAnsi="宋体"/>
          <w:color w:val="auto"/>
          <w:sz w:val="24"/>
          <w:szCs w:val="24"/>
        </w:rPr>
        <w:t>响应文件</w:t>
      </w:r>
      <w:r>
        <w:rPr>
          <w:rFonts w:ascii="宋体" w:hAnsi="宋体"/>
          <w:color w:val="auto"/>
          <w:sz w:val="24"/>
          <w:szCs w:val="24"/>
        </w:rPr>
        <w:t>中含义不明确、同类问题表述不一致或者有明显文字和计算错误的内容等作出必要的澄清、说明或者更正。供应商的澄清、说明或者更正不得超出</w:t>
      </w:r>
      <w:r>
        <w:rPr>
          <w:rFonts w:hint="eastAsia" w:ascii="宋体" w:hAnsi="宋体"/>
          <w:color w:val="auto"/>
          <w:sz w:val="24"/>
          <w:szCs w:val="24"/>
        </w:rPr>
        <w:t>响应文件</w:t>
      </w:r>
      <w:r>
        <w:rPr>
          <w:rFonts w:ascii="宋体" w:hAnsi="宋体"/>
          <w:color w:val="auto"/>
          <w:sz w:val="24"/>
          <w:szCs w:val="24"/>
        </w:rPr>
        <w:t>的范围或者改变</w:t>
      </w:r>
      <w:r>
        <w:rPr>
          <w:rFonts w:hint="eastAsia" w:ascii="宋体" w:hAnsi="宋体"/>
          <w:color w:val="auto"/>
          <w:sz w:val="24"/>
          <w:szCs w:val="24"/>
        </w:rPr>
        <w:t>响应文件</w:t>
      </w:r>
      <w:r>
        <w:rPr>
          <w:rFonts w:ascii="宋体" w:hAnsi="宋体"/>
          <w:color w:val="auto"/>
          <w:sz w:val="24"/>
          <w:szCs w:val="24"/>
        </w:rPr>
        <w:t>的实质性内容。</w:t>
      </w:r>
    </w:p>
    <w:p>
      <w:pPr>
        <w:adjustRightInd w:val="0"/>
        <w:snapToGrid w:val="0"/>
        <w:spacing w:line="360" w:lineRule="auto"/>
        <w:rPr>
          <w:rFonts w:hAnsi="宋体"/>
          <w:color w:val="auto"/>
          <w:sz w:val="24"/>
          <w:szCs w:val="24"/>
        </w:rPr>
      </w:pPr>
      <w:r>
        <w:rPr>
          <w:rFonts w:hint="eastAsia" w:hAnsi="宋体"/>
          <w:color w:val="auto"/>
          <w:sz w:val="24"/>
          <w:szCs w:val="24"/>
        </w:rPr>
        <w:t>（5）谈判小组</w:t>
      </w:r>
      <w:r>
        <w:rPr>
          <w:rFonts w:hAnsi="宋体"/>
          <w:color w:val="auto"/>
          <w:sz w:val="24"/>
          <w:szCs w:val="24"/>
        </w:rPr>
        <w:t>要求供应商澄清、说明或者更正</w:t>
      </w:r>
      <w:r>
        <w:rPr>
          <w:rFonts w:hint="eastAsia" w:hAnsi="宋体"/>
          <w:color w:val="auto"/>
          <w:sz w:val="24"/>
          <w:szCs w:val="24"/>
        </w:rPr>
        <w:t>响应文件</w:t>
      </w:r>
      <w:r>
        <w:rPr>
          <w:rFonts w:hAnsi="宋体"/>
          <w:color w:val="auto"/>
          <w:sz w:val="24"/>
          <w:szCs w:val="24"/>
        </w:rPr>
        <w:t>应当以书面形式作出。供应商的澄清、说明或者更正应当由法定代表人或其授权代表签字或者加盖</w:t>
      </w:r>
      <w:r>
        <w:rPr>
          <w:color w:val="auto"/>
        </w:rPr>
        <w:fldChar w:fldCharType="begin"/>
      </w:r>
      <w:r>
        <w:rPr>
          <w:color w:val="auto"/>
        </w:rPr>
        <w:instrText xml:space="preserve"> HYPERLINK "http://baike.sogou.com/lemma/ShowInnerLink.htm?lemmaId=188261&amp;ss_c=ssc.citiao.link" </w:instrText>
      </w:r>
      <w:r>
        <w:rPr>
          <w:color w:val="auto"/>
        </w:rPr>
        <w:fldChar w:fldCharType="separate"/>
      </w:r>
      <w:r>
        <w:rPr>
          <w:rFonts w:hAnsi="宋体"/>
          <w:color w:val="auto"/>
          <w:sz w:val="24"/>
          <w:szCs w:val="24"/>
        </w:rPr>
        <w:t>公章</w:t>
      </w:r>
      <w:r>
        <w:rPr>
          <w:rFonts w:hAnsi="宋体"/>
          <w:color w:val="auto"/>
          <w:sz w:val="24"/>
          <w:szCs w:val="24"/>
        </w:rPr>
        <w:fldChar w:fldCharType="end"/>
      </w:r>
      <w:r>
        <w:rPr>
          <w:rFonts w:hAnsi="宋体"/>
          <w:color w:val="auto"/>
          <w:sz w:val="24"/>
          <w:szCs w:val="24"/>
        </w:rPr>
        <w:t>。由授权代表签字的，应当附法定代表人授权书。供应商为自然人的，应当由本人签字并附身份证明。</w:t>
      </w:r>
    </w:p>
    <w:p>
      <w:pPr>
        <w:adjustRightInd w:val="0"/>
        <w:snapToGrid w:val="0"/>
        <w:spacing w:line="360" w:lineRule="auto"/>
        <w:rPr>
          <w:rFonts w:hAnsi="宋体"/>
          <w:color w:val="auto"/>
          <w:sz w:val="24"/>
          <w:szCs w:val="24"/>
        </w:rPr>
      </w:pPr>
      <w:r>
        <w:rPr>
          <w:rFonts w:hint="eastAsia" w:hAnsi="宋体"/>
          <w:color w:val="auto"/>
          <w:sz w:val="24"/>
          <w:szCs w:val="24"/>
        </w:rPr>
        <w:t>（6）在评审过程中，供应商报价低于采购预算50%或者低于其他有效供应商报价算术平均价40%，有可能影响产品质量或者不能诚信履约的，谈判小组应当要求其在评审现场合理的时间内提供成本构成书面说明，并提交相关证明材料。供应商书面说明应当按照国家财务会计制度的规定要求，逐项就供应商提供的货物、工程和服务的主营业务成本（应根据供应商企业类型予以区别）、税金及附加、销售费用、管理费用、财务费用等成本构成事项详细陈述。</w:t>
      </w:r>
    </w:p>
    <w:p>
      <w:pPr>
        <w:adjustRightInd w:val="0"/>
        <w:snapToGrid w:val="0"/>
        <w:spacing w:line="360" w:lineRule="auto"/>
        <w:rPr>
          <w:rFonts w:hAnsi="宋体"/>
          <w:color w:val="auto"/>
          <w:sz w:val="24"/>
          <w:szCs w:val="24"/>
        </w:rPr>
      </w:pPr>
      <w:r>
        <w:rPr>
          <w:rFonts w:hint="eastAsia" w:hAnsi="宋体"/>
          <w:color w:val="auto"/>
          <w:sz w:val="24"/>
          <w:szCs w:val="24"/>
        </w:rPr>
        <w:t>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pPr>
        <w:adjustRightInd w:val="0"/>
        <w:snapToGrid w:val="0"/>
        <w:spacing w:line="360" w:lineRule="auto"/>
        <w:rPr>
          <w:rFonts w:hAnsi="宋体"/>
          <w:color w:val="auto"/>
          <w:sz w:val="24"/>
          <w:szCs w:val="24"/>
        </w:rPr>
      </w:pPr>
      <w:r>
        <w:rPr>
          <w:rFonts w:hint="eastAsia" w:hAnsi="宋体"/>
          <w:color w:val="auto"/>
          <w:sz w:val="24"/>
          <w:szCs w:val="24"/>
        </w:rPr>
        <w:t xml:space="preserve"> 供应商提供书面说明后，谈判小组应当结合采购项目采购需求、专业实际情况、供应商财务状况报告、与其他供应商比较情况等就供应商书面说明进行审查评价。供应商拒绝或者变相拒绝提供有效书面说明或者书面说明不能证明其报价合理性的，谈判小组应当将其响应文件作为无效处理。</w:t>
      </w:r>
    </w:p>
    <w:p>
      <w:pPr>
        <w:pStyle w:val="5"/>
        <w:adjustRightInd w:val="0"/>
        <w:snapToGrid w:val="0"/>
        <w:spacing w:before="0" w:after="0"/>
        <w:ind w:firstLine="482"/>
        <w:rPr>
          <w:color w:val="auto"/>
        </w:rPr>
      </w:pPr>
      <w:bookmarkStart w:id="393" w:name="_Toc209847173"/>
      <w:bookmarkStart w:id="394" w:name="_Toc430773956"/>
      <w:r>
        <w:rPr>
          <w:rFonts w:hint="eastAsia"/>
          <w:color w:val="auto"/>
        </w:rPr>
        <w:t>6、错误的修改</w:t>
      </w:r>
      <w:bookmarkEnd w:id="393"/>
      <w:bookmarkEnd w:id="394"/>
    </w:p>
    <w:p>
      <w:pPr>
        <w:widowControl/>
        <w:autoSpaceDE w:val="0"/>
        <w:autoSpaceDN w:val="0"/>
        <w:adjustRightInd w:val="0"/>
        <w:snapToGrid w:val="0"/>
        <w:spacing w:line="360" w:lineRule="auto"/>
        <w:ind w:right="53"/>
        <w:textAlignment w:val="bottom"/>
        <w:rPr>
          <w:rFonts w:hAnsi="宋体"/>
          <w:color w:val="auto"/>
          <w:sz w:val="24"/>
          <w:szCs w:val="24"/>
        </w:rPr>
      </w:pPr>
      <w:r>
        <w:rPr>
          <w:rFonts w:hint="eastAsia" w:hAnsi="宋体"/>
          <w:color w:val="auto"/>
          <w:sz w:val="24"/>
          <w:szCs w:val="24"/>
        </w:rPr>
        <w:t>（1）谈判小组将对确定为实质上响应的报价进行审核，看其是否有计算上和累加上的算术错误，修正错误的原则如下：</w:t>
      </w:r>
    </w:p>
    <w:p>
      <w:pPr>
        <w:widowControl/>
        <w:autoSpaceDE w:val="0"/>
        <w:autoSpaceDN w:val="0"/>
        <w:adjustRightInd w:val="0"/>
        <w:snapToGrid w:val="0"/>
        <w:spacing w:line="360" w:lineRule="auto"/>
        <w:ind w:right="53" w:firstLine="480" w:firstLineChars="200"/>
        <w:textAlignment w:val="bottom"/>
        <w:rPr>
          <w:rFonts w:hAnsi="宋体"/>
          <w:color w:val="auto"/>
          <w:sz w:val="24"/>
          <w:szCs w:val="24"/>
        </w:rPr>
      </w:pPr>
      <w:r>
        <w:rPr>
          <w:rFonts w:hint="eastAsia" w:hAnsi="宋体"/>
          <w:color w:val="auto"/>
          <w:sz w:val="24"/>
          <w:szCs w:val="24"/>
        </w:rPr>
        <w:t>①如果用数字表示的金额和用文字表示的金额不一致，应以文字表示的金额为准。</w:t>
      </w:r>
    </w:p>
    <w:p>
      <w:pPr>
        <w:widowControl/>
        <w:autoSpaceDE w:val="0"/>
        <w:autoSpaceDN w:val="0"/>
        <w:adjustRightInd w:val="0"/>
        <w:snapToGrid w:val="0"/>
        <w:spacing w:line="360" w:lineRule="auto"/>
        <w:ind w:right="53" w:firstLine="480" w:firstLineChars="200"/>
        <w:textAlignment w:val="bottom"/>
        <w:rPr>
          <w:rFonts w:hAnsi="宋体"/>
          <w:color w:val="auto"/>
          <w:sz w:val="24"/>
          <w:szCs w:val="24"/>
        </w:rPr>
      </w:pPr>
      <w:r>
        <w:rPr>
          <w:rFonts w:hint="eastAsia" w:hAnsi="宋体"/>
          <w:color w:val="auto"/>
          <w:sz w:val="24"/>
          <w:szCs w:val="24"/>
        </w:rPr>
        <w:t>②当单价和数量的乘积和总价不一致时，以单价为准，并修正总价。</w:t>
      </w:r>
    </w:p>
    <w:p>
      <w:pPr>
        <w:widowControl/>
        <w:autoSpaceDE w:val="0"/>
        <w:autoSpaceDN w:val="0"/>
        <w:adjustRightInd w:val="0"/>
        <w:snapToGrid w:val="0"/>
        <w:spacing w:line="360" w:lineRule="auto"/>
        <w:ind w:right="53"/>
        <w:textAlignment w:val="bottom"/>
        <w:rPr>
          <w:rFonts w:hAnsi="宋体"/>
          <w:color w:val="auto"/>
          <w:sz w:val="24"/>
          <w:szCs w:val="24"/>
        </w:rPr>
      </w:pPr>
      <w:r>
        <w:rPr>
          <w:rFonts w:hint="eastAsia" w:hAnsi="宋体"/>
          <w:color w:val="auto"/>
          <w:sz w:val="24"/>
          <w:szCs w:val="24"/>
        </w:rPr>
        <w:t>（2）谈判小组将按上述修正错误的方法调整响应文件中的报价，调整后的价格应对供应商具有约束力。如果供应商不接受修正后的价格，则其报价将被拒绝。</w:t>
      </w:r>
    </w:p>
    <w:p>
      <w:pPr>
        <w:pStyle w:val="8"/>
        <w:adjustRightInd w:val="0"/>
        <w:snapToGrid w:val="0"/>
        <w:spacing w:line="360" w:lineRule="auto"/>
        <w:ind w:firstLine="0"/>
        <w:rPr>
          <w:rFonts w:ascii="宋体" w:hAnsi="宋体"/>
          <w:color w:val="auto"/>
          <w:sz w:val="24"/>
          <w:szCs w:val="24"/>
        </w:rPr>
      </w:pPr>
      <w:r>
        <w:rPr>
          <w:rFonts w:hint="eastAsia" w:hAnsi="宋体"/>
          <w:color w:val="auto"/>
          <w:sz w:val="24"/>
          <w:szCs w:val="24"/>
        </w:rPr>
        <w:t>（3）</w:t>
      </w:r>
      <w:r>
        <w:rPr>
          <w:rFonts w:hint="eastAsia" w:ascii="宋体" w:hAnsi="宋体"/>
          <w:color w:val="auto"/>
          <w:sz w:val="24"/>
          <w:szCs w:val="24"/>
        </w:rPr>
        <w:t>谈判小组将允许修正响应文件中不构成实质性、微小的、非正规的、不一致的或不规则的地方。</w:t>
      </w:r>
    </w:p>
    <w:p>
      <w:pPr>
        <w:pStyle w:val="5"/>
        <w:spacing w:before="0" w:after="0"/>
        <w:ind w:firstLine="482"/>
        <w:rPr>
          <w:color w:val="auto"/>
        </w:rPr>
      </w:pPr>
      <w:bookmarkStart w:id="395" w:name="_Toc209847176"/>
      <w:bookmarkStart w:id="396" w:name="_Toc430773959"/>
      <w:r>
        <w:rPr>
          <w:rFonts w:hint="eastAsia"/>
          <w:color w:val="auto"/>
        </w:rPr>
        <w:t>7、响应文件的评估和比较</w:t>
      </w:r>
      <w:bookmarkEnd w:id="395"/>
      <w:bookmarkEnd w:id="396"/>
    </w:p>
    <w:p>
      <w:pPr>
        <w:tabs>
          <w:tab w:val="left" w:pos="7665"/>
        </w:tabs>
        <w:adjustRightInd w:val="0"/>
        <w:snapToGrid w:val="0"/>
        <w:spacing w:line="360" w:lineRule="auto"/>
        <w:rPr>
          <w:rFonts w:hAnsi="宋体"/>
          <w:color w:val="auto"/>
          <w:sz w:val="24"/>
          <w:szCs w:val="24"/>
        </w:rPr>
      </w:pPr>
      <w:r>
        <w:rPr>
          <w:rFonts w:hint="eastAsia" w:hAnsi="宋体"/>
          <w:color w:val="auto"/>
          <w:sz w:val="24"/>
          <w:szCs w:val="24"/>
        </w:rPr>
        <w:t>（1）谈判小组只对确定为实质性响应谈判文件要求的响应文件进行评审和比较。</w:t>
      </w:r>
    </w:p>
    <w:p>
      <w:pPr>
        <w:tabs>
          <w:tab w:val="left" w:pos="7665"/>
        </w:tabs>
        <w:adjustRightInd w:val="0"/>
        <w:snapToGrid w:val="0"/>
        <w:spacing w:line="360" w:lineRule="auto"/>
        <w:rPr>
          <w:rFonts w:hAnsi="宋体"/>
          <w:color w:val="auto"/>
          <w:spacing w:val="20"/>
          <w:sz w:val="24"/>
          <w:szCs w:val="24"/>
        </w:rPr>
      </w:pPr>
      <w:r>
        <w:rPr>
          <w:rFonts w:hint="eastAsia" w:hAnsi="宋体"/>
          <w:color w:val="auto"/>
          <w:sz w:val="24"/>
          <w:szCs w:val="24"/>
        </w:rPr>
        <w:t>（2）在评审过程中，谈判小组若发现供应商的报价明显低于市场平均价格时，谈判小组有权要求该供应商作出书面说明并提供相关证明材料。供应商不能说明理由或谈判小组确定其理由不成立的，其报价按低于成本处理。</w:t>
      </w:r>
    </w:p>
    <w:p>
      <w:pPr>
        <w:pStyle w:val="4"/>
        <w:spacing w:before="0" w:after="0"/>
        <w:rPr>
          <w:color w:val="auto"/>
        </w:rPr>
      </w:pPr>
      <w:bookmarkStart w:id="397" w:name="_Toc209847177"/>
      <w:r>
        <w:rPr>
          <w:rFonts w:hint="eastAsia"/>
          <w:color w:val="auto"/>
        </w:rPr>
        <w:t>二、评审程序</w:t>
      </w:r>
    </w:p>
    <w:p>
      <w:pPr>
        <w:adjustRightInd w:val="0"/>
        <w:snapToGrid w:val="0"/>
        <w:spacing w:line="360" w:lineRule="auto"/>
        <w:rPr>
          <w:rStyle w:val="85"/>
          <w:color w:val="auto"/>
        </w:rPr>
      </w:pPr>
      <w:r>
        <w:rPr>
          <w:rStyle w:val="85"/>
          <w:rFonts w:hint="eastAsia"/>
          <w:color w:val="auto"/>
        </w:rPr>
        <w:t>1、谈判小组及专家组成</w:t>
      </w:r>
    </w:p>
    <w:p>
      <w:pPr>
        <w:adjustRightInd w:val="0"/>
        <w:snapToGrid w:val="0"/>
        <w:spacing w:line="360" w:lineRule="auto"/>
        <w:ind w:left="3" w:leftChars="1" w:firstLine="480" w:firstLineChars="200"/>
        <w:rPr>
          <w:rFonts w:hAnsi="宋体"/>
          <w:color w:val="auto"/>
          <w:sz w:val="24"/>
          <w:szCs w:val="24"/>
        </w:rPr>
      </w:pPr>
      <w:r>
        <w:rPr>
          <w:rFonts w:hint="eastAsia" w:hAnsi="宋体"/>
          <w:color w:val="auto"/>
          <w:sz w:val="24"/>
          <w:szCs w:val="24"/>
        </w:rPr>
        <w:t>根据《中华人民共和国政府采购法》、《政府采购非招标采购方式管理办法》和《四川省政府采购非招标采购方式实施办法》等的规定并结合本次采购项目的实际情况，谈判小组由采购人的代表和有关方面的专家三人及以上的单数组成，其中专家人数不少于成员总数的三分之二，负责本次采购项目的谈判和评审工作。</w:t>
      </w:r>
    </w:p>
    <w:p>
      <w:pPr>
        <w:adjustRightInd w:val="0"/>
        <w:snapToGrid w:val="0"/>
        <w:spacing w:line="360" w:lineRule="auto"/>
        <w:rPr>
          <w:rFonts w:hAnsi="宋体"/>
          <w:b/>
          <w:bCs/>
          <w:color w:val="auto"/>
          <w:sz w:val="24"/>
          <w:szCs w:val="24"/>
        </w:rPr>
      </w:pPr>
      <w:r>
        <w:rPr>
          <w:rStyle w:val="85"/>
          <w:rFonts w:hint="eastAsia"/>
          <w:color w:val="auto"/>
        </w:rPr>
        <w:t>2、谈判组织</w:t>
      </w:r>
    </w:p>
    <w:p>
      <w:pPr>
        <w:adjustRightInd w:val="0"/>
        <w:snapToGrid w:val="0"/>
        <w:spacing w:line="360" w:lineRule="auto"/>
        <w:ind w:left="3" w:leftChars="1" w:firstLine="480" w:firstLineChars="200"/>
        <w:rPr>
          <w:rFonts w:hAnsi="宋体"/>
          <w:color w:val="auto"/>
          <w:sz w:val="24"/>
          <w:szCs w:val="24"/>
        </w:rPr>
      </w:pPr>
      <w:r>
        <w:rPr>
          <w:rFonts w:hint="eastAsia" w:hAnsi="宋体"/>
          <w:color w:val="auto"/>
          <w:sz w:val="24"/>
          <w:szCs w:val="24"/>
          <w:lang w:val="zh-CN"/>
        </w:rPr>
        <w:t>谈判工作由采购代理机构负责组织，具体谈判事务由依法组建的谈判小组（</w:t>
      </w:r>
      <w:r>
        <w:rPr>
          <w:rFonts w:hint="eastAsia" w:hAnsi="宋体"/>
          <w:color w:val="auto"/>
          <w:sz w:val="24"/>
          <w:szCs w:val="24"/>
        </w:rPr>
        <w:t>评审委员会）</w:t>
      </w:r>
      <w:r>
        <w:rPr>
          <w:rFonts w:hint="eastAsia" w:hAnsi="宋体"/>
          <w:color w:val="auto"/>
          <w:sz w:val="24"/>
          <w:szCs w:val="24"/>
          <w:lang w:val="zh-CN"/>
        </w:rPr>
        <w:t>负责。</w:t>
      </w:r>
    </w:p>
    <w:p>
      <w:pPr>
        <w:spacing w:line="360" w:lineRule="auto"/>
        <w:rPr>
          <w:rStyle w:val="85"/>
          <w:color w:val="auto"/>
        </w:rPr>
      </w:pPr>
      <w:r>
        <w:rPr>
          <w:rStyle w:val="85"/>
          <w:rFonts w:hint="eastAsia"/>
          <w:color w:val="auto"/>
        </w:rPr>
        <w:t>3、评审程序</w:t>
      </w:r>
    </w:p>
    <w:p>
      <w:pPr>
        <w:spacing w:line="360" w:lineRule="auto"/>
        <w:ind w:left="3" w:leftChars="1" w:firstLine="480" w:firstLineChars="200"/>
        <w:rPr>
          <w:rFonts w:hAnsi="宋体"/>
          <w:color w:val="auto"/>
          <w:sz w:val="24"/>
          <w:szCs w:val="24"/>
        </w:rPr>
      </w:pPr>
      <w:r>
        <w:rPr>
          <w:rFonts w:hint="eastAsia" w:hAnsi="宋体"/>
          <w:color w:val="auto"/>
          <w:sz w:val="24"/>
          <w:szCs w:val="24"/>
        </w:rPr>
        <w:t>本项目评审程序分为资格、实质性响应评审、最后报价、推荐成交供应商、编写谈判情况记录、评审报告。</w:t>
      </w:r>
    </w:p>
    <w:p>
      <w:pPr>
        <w:spacing w:line="360" w:lineRule="auto"/>
        <w:ind w:left="3" w:leftChars="1" w:firstLine="482" w:firstLineChars="200"/>
        <w:rPr>
          <w:rFonts w:hAnsi="宋体"/>
          <w:b/>
          <w:bCs/>
          <w:color w:val="auto"/>
          <w:sz w:val="24"/>
          <w:szCs w:val="24"/>
        </w:rPr>
      </w:pPr>
      <w:r>
        <w:rPr>
          <w:rFonts w:hint="eastAsia" w:hAnsi="宋体"/>
          <w:b/>
          <w:bCs/>
          <w:color w:val="auto"/>
          <w:sz w:val="24"/>
          <w:szCs w:val="24"/>
        </w:rPr>
        <w:t>3.1 资格审查</w:t>
      </w:r>
    </w:p>
    <w:p>
      <w:pPr>
        <w:spacing w:line="360" w:lineRule="auto"/>
        <w:ind w:left="3" w:leftChars="1" w:firstLine="480" w:firstLineChars="200"/>
        <w:rPr>
          <w:rFonts w:hAnsi="宋体"/>
          <w:color w:val="auto"/>
          <w:sz w:val="24"/>
          <w:szCs w:val="24"/>
        </w:rPr>
      </w:pPr>
      <w:r>
        <w:rPr>
          <w:rFonts w:hint="eastAsia" w:hAnsi="宋体"/>
          <w:color w:val="auto"/>
          <w:sz w:val="24"/>
          <w:szCs w:val="24"/>
        </w:rPr>
        <w:t>3.1.1 供应商递交响应文件截止时间结束后，采购代理机构组织谈判小组对递交响应文件的供应商进行资格审查，确定邀请参加谈判的供应商名单。</w:t>
      </w:r>
    </w:p>
    <w:p>
      <w:pPr>
        <w:spacing w:line="360" w:lineRule="auto"/>
        <w:ind w:left="3" w:leftChars="1" w:firstLine="480" w:firstLineChars="200"/>
        <w:rPr>
          <w:rFonts w:hAnsi="宋体"/>
          <w:color w:val="auto"/>
          <w:sz w:val="24"/>
          <w:szCs w:val="24"/>
        </w:rPr>
      </w:pPr>
      <w:r>
        <w:rPr>
          <w:rFonts w:hint="eastAsia" w:hAnsi="宋体"/>
          <w:color w:val="auto"/>
          <w:sz w:val="24"/>
          <w:szCs w:val="24"/>
        </w:rPr>
        <w:t>3.1.2 供应商资格审查以相关法律法规和谈判文件为依据，审查供应商是否具备谈判资格。审查内容包括：是否属于禁止参加谈判的供应商、是否按照规定要求提供资格性证明材料、是否按照规定交纳谈判保证金，审查范围不能超过法律法规和谈判文件的对供应商的资格条件要求。</w:t>
      </w:r>
    </w:p>
    <w:p>
      <w:pPr>
        <w:spacing w:line="360" w:lineRule="auto"/>
        <w:ind w:left="3" w:leftChars="1" w:firstLine="480" w:firstLineChars="200"/>
        <w:rPr>
          <w:rFonts w:hAnsi="宋体"/>
          <w:color w:val="auto"/>
          <w:sz w:val="24"/>
          <w:szCs w:val="24"/>
        </w:rPr>
      </w:pPr>
      <w:r>
        <w:rPr>
          <w:rFonts w:hint="eastAsia" w:hAnsi="宋体"/>
          <w:color w:val="auto"/>
          <w:sz w:val="24"/>
          <w:szCs w:val="24"/>
        </w:rPr>
        <w:t>3.1.3 谈判小组资格审查过程中，其成员对供应商资格是否符合规定存在争议的，应当以少数服从多数的原则处理，但不得违背相关法律法规和谈判文件规定。有不同意见的谈判小组成员认为资格审查过程不符合法律法规和谈判文件规定的，应当及时向同级财政部门报告。</w:t>
      </w:r>
    </w:p>
    <w:p>
      <w:pPr>
        <w:spacing w:line="360" w:lineRule="auto"/>
        <w:ind w:left="3" w:leftChars="1" w:firstLine="480" w:firstLineChars="200"/>
        <w:rPr>
          <w:rFonts w:hAnsi="宋体"/>
          <w:color w:val="auto"/>
          <w:sz w:val="24"/>
          <w:szCs w:val="24"/>
        </w:rPr>
      </w:pPr>
      <w:r>
        <w:rPr>
          <w:rFonts w:hint="eastAsia" w:hAnsi="宋体"/>
          <w:color w:val="auto"/>
          <w:sz w:val="24"/>
          <w:szCs w:val="24"/>
        </w:rPr>
        <w:t>3.1.4 谈判小组资格审查结束后，应当向采购人、采购代理机构出具资格审查报告，确定参加谈判的供应商名单。没有通过资格审查的供应商，谈判小组应当在资格审查报告中说明原因。</w:t>
      </w:r>
    </w:p>
    <w:p>
      <w:pPr>
        <w:spacing w:line="360" w:lineRule="auto"/>
        <w:ind w:left="3" w:leftChars="1" w:firstLine="480" w:firstLineChars="200"/>
        <w:rPr>
          <w:rFonts w:hAnsi="宋体"/>
          <w:color w:val="auto"/>
          <w:sz w:val="24"/>
          <w:szCs w:val="24"/>
        </w:rPr>
      </w:pPr>
      <w:r>
        <w:rPr>
          <w:rFonts w:hint="eastAsia" w:hAnsi="宋体"/>
          <w:color w:val="auto"/>
          <w:sz w:val="24"/>
          <w:szCs w:val="24"/>
        </w:rPr>
        <w:t>3.1.5 资格审查报告应当由全体谈判小组成员签字确认，谈判小组成员对资格审查过程和结果有不同意见的，应当在资格审查报告中写明并说明理由。签字但不写明不同意见或者不说明理由的，视同无意见。拒不签字又不另行书面说明其不同意见和理由的，视同同意资格审查结果。</w:t>
      </w:r>
    </w:p>
    <w:p>
      <w:pPr>
        <w:spacing w:line="360" w:lineRule="auto"/>
        <w:ind w:left="3" w:leftChars="1" w:firstLine="480" w:firstLineChars="200"/>
        <w:rPr>
          <w:rFonts w:hAnsi="宋体"/>
          <w:color w:val="auto"/>
          <w:sz w:val="24"/>
          <w:szCs w:val="24"/>
        </w:rPr>
      </w:pPr>
      <w:r>
        <w:rPr>
          <w:rFonts w:hint="eastAsia" w:hAnsi="宋体"/>
          <w:color w:val="auto"/>
          <w:sz w:val="24"/>
          <w:szCs w:val="24"/>
        </w:rPr>
        <w:t>3.1.6 谈判小组出具资格审查报告后，采购代理机构应当将通过资格审查和未通过资格审查的供应商名单向所有递交响应文件的供应商当场宣布。并告知未通过资格审查的供应商未通过资格审查的原因，但涉及商业秘密的除外。</w:t>
      </w:r>
    </w:p>
    <w:p>
      <w:pPr>
        <w:spacing w:line="360" w:lineRule="auto"/>
        <w:ind w:left="3" w:leftChars="1" w:firstLine="480" w:firstLineChars="200"/>
        <w:rPr>
          <w:rFonts w:hAnsi="宋体"/>
          <w:color w:val="auto"/>
          <w:sz w:val="24"/>
          <w:szCs w:val="24"/>
        </w:rPr>
      </w:pPr>
      <w:r>
        <w:rPr>
          <w:rFonts w:hint="eastAsia" w:hAnsi="宋体"/>
          <w:color w:val="auto"/>
          <w:sz w:val="24"/>
          <w:szCs w:val="24"/>
        </w:rPr>
        <w:t>3.1.7 通过资格审查的供应商不足三家的，本次谈判采购活动终止。</w:t>
      </w:r>
    </w:p>
    <w:p>
      <w:pPr>
        <w:spacing w:line="360" w:lineRule="auto"/>
        <w:rPr>
          <w:rFonts w:hAnsi="宋体"/>
          <w:b/>
          <w:bCs/>
          <w:color w:val="auto"/>
          <w:sz w:val="24"/>
          <w:szCs w:val="24"/>
        </w:rPr>
      </w:pPr>
      <w:r>
        <w:rPr>
          <w:rFonts w:hint="eastAsia" w:hAnsi="宋体"/>
          <w:b/>
          <w:bCs/>
          <w:color w:val="auto"/>
          <w:sz w:val="24"/>
          <w:szCs w:val="24"/>
        </w:rPr>
        <w:t>3.2 谈判</w:t>
      </w:r>
    </w:p>
    <w:p>
      <w:pPr>
        <w:spacing w:line="360" w:lineRule="auto"/>
        <w:ind w:left="3" w:leftChars="1" w:firstLine="480" w:firstLineChars="200"/>
        <w:rPr>
          <w:rFonts w:hAnsi="宋体"/>
          <w:color w:val="auto"/>
          <w:sz w:val="24"/>
          <w:szCs w:val="24"/>
        </w:rPr>
      </w:pPr>
      <w:r>
        <w:rPr>
          <w:rFonts w:hint="eastAsia" w:hAnsi="宋体"/>
          <w:color w:val="auto"/>
          <w:sz w:val="24"/>
          <w:szCs w:val="24"/>
        </w:rPr>
        <w:t>3.2 .1 供应商资格审查结束后，采购代理机构应当组织谈判小组按照谈判文件的规定与通过资格审查的供应商进行谈判，谈判的顺序以现场抽签或者其他能够给予供应商平等机会的方式确定。</w:t>
      </w:r>
    </w:p>
    <w:p>
      <w:pPr>
        <w:adjustRightInd w:val="0"/>
        <w:snapToGrid w:val="0"/>
        <w:spacing w:line="360" w:lineRule="auto"/>
        <w:ind w:left="3" w:leftChars="1" w:firstLine="480" w:firstLineChars="200"/>
        <w:rPr>
          <w:rFonts w:hAnsi="宋体"/>
          <w:color w:val="auto"/>
          <w:sz w:val="24"/>
          <w:szCs w:val="24"/>
        </w:rPr>
      </w:pPr>
      <w:r>
        <w:rPr>
          <w:rFonts w:hint="eastAsia" w:hAnsi="宋体"/>
          <w:color w:val="auto"/>
          <w:sz w:val="24"/>
          <w:szCs w:val="24"/>
        </w:rPr>
        <w:t>3.2.2 谈判过程中，谈判小组获得采购人、采购代理机构同意后，可以根据谈判文件和谈判情况实质性变动采购需求中的技术、服务要求以及合同草案条款，并将变更的内容书面通知所有参加谈判的供应商，并做好书面记录，同时要求供应商就变动部分重新提交响应文件，并给予供应商重新提交响应文件的合理时间。</w:t>
      </w:r>
    </w:p>
    <w:p>
      <w:pPr>
        <w:adjustRightInd w:val="0"/>
        <w:snapToGrid w:val="0"/>
        <w:spacing w:line="360" w:lineRule="auto"/>
        <w:ind w:left="3" w:leftChars="1" w:firstLine="480" w:firstLineChars="200"/>
        <w:rPr>
          <w:rFonts w:hAnsi="宋体"/>
          <w:color w:val="auto"/>
          <w:sz w:val="24"/>
          <w:szCs w:val="24"/>
        </w:rPr>
      </w:pPr>
      <w:r>
        <w:rPr>
          <w:rFonts w:hint="eastAsia" w:hAnsi="宋体"/>
          <w:color w:val="auto"/>
          <w:sz w:val="24"/>
          <w:szCs w:val="24"/>
        </w:rPr>
        <w:t>3.2.3 谈判过程中，谈判小组可以根据谈判情况调整谈判轮次。</w:t>
      </w:r>
    </w:p>
    <w:p>
      <w:pPr>
        <w:adjustRightInd w:val="0"/>
        <w:snapToGrid w:val="0"/>
        <w:spacing w:line="360" w:lineRule="auto"/>
        <w:ind w:left="3" w:leftChars="1" w:firstLine="480" w:firstLineChars="200"/>
        <w:rPr>
          <w:rFonts w:hAnsi="宋体"/>
          <w:color w:val="auto"/>
          <w:sz w:val="24"/>
          <w:szCs w:val="24"/>
        </w:rPr>
      </w:pPr>
      <w:r>
        <w:rPr>
          <w:rFonts w:hint="eastAsia" w:hAnsi="宋体"/>
          <w:color w:val="auto"/>
          <w:sz w:val="24"/>
          <w:szCs w:val="24"/>
        </w:rPr>
        <w:t>3.2.4 谈判过程中，供应商可以根据谈判情况变更其响应文件，并将变更内容形成书面材料送谈判小组（注：要求供应商重新提交的响应文件，不必按照首次提交的响应文件内容格式提交，只需供应商就变动的内容提交相应的响应文件）。</w:t>
      </w:r>
    </w:p>
    <w:p>
      <w:pPr>
        <w:adjustRightInd w:val="0"/>
        <w:snapToGrid w:val="0"/>
        <w:spacing w:line="360" w:lineRule="auto"/>
        <w:ind w:left="3" w:leftChars="1" w:firstLine="480" w:firstLineChars="200"/>
        <w:rPr>
          <w:rFonts w:hAnsi="宋体"/>
          <w:color w:val="auto"/>
          <w:sz w:val="24"/>
          <w:szCs w:val="24"/>
        </w:rPr>
      </w:pPr>
      <w:r>
        <w:rPr>
          <w:rFonts w:hint="eastAsia" w:hAnsi="宋体"/>
          <w:color w:val="auto"/>
          <w:sz w:val="24"/>
          <w:szCs w:val="24"/>
        </w:rPr>
        <w:t>供应商变更内容书面材料应当签字确认或者加盖公章，否则无效。变更内容书面材料的签字确认，供应商为法人的，由其法定代表人或者代理人签字确认；供应商为其他组织的，由其主要负责人或者代理人签字确认；供应商为自然人的，由其本人或者代理人签字确认，否则无效。变更内容书面材料应作为响应文件的一部分。</w:t>
      </w:r>
    </w:p>
    <w:p>
      <w:pPr>
        <w:adjustRightInd w:val="0"/>
        <w:snapToGrid w:val="0"/>
        <w:spacing w:line="360" w:lineRule="auto"/>
        <w:ind w:left="3" w:leftChars="1" w:firstLine="480" w:firstLineChars="200"/>
        <w:rPr>
          <w:rFonts w:hAnsi="宋体"/>
          <w:color w:val="auto"/>
          <w:sz w:val="24"/>
          <w:szCs w:val="24"/>
        </w:rPr>
      </w:pPr>
      <w:r>
        <w:rPr>
          <w:rFonts w:hint="eastAsia" w:hAnsi="宋体"/>
          <w:color w:val="auto"/>
          <w:sz w:val="24"/>
          <w:szCs w:val="24"/>
        </w:rPr>
        <w:t>3.2.5 谈判小组与供应商谈判结束后，供应商响应文件仍未实质性响应谈判文件的，谈判小组应当对其响应文件按无效处理，并书面告知供应商，说明理由。</w:t>
      </w:r>
    </w:p>
    <w:p>
      <w:pPr>
        <w:adjustRightInd w:val="0"/>
        <w:snapToGrid w:val="0"/>
        <w:spacing w:line="360" w:lineRule="auto"/>
        <w:rPr>
          <w:rFonts w:hAnsi="宋体"/>
          <w:b/>
          <w:bCs/>
          <w:color w:val="auto"/>
          <w:sz w:val="24"/>
          <w:szCs w:val="24"/>
        </w:rPr>
      </w:pPr>
      <w:r>
        <w:rPr>
          <w:rFonts w:hint="eastAsia" w:hAnsi="宋体"/>
          <w:b/>
          <w:bCs/>
          <w:color w:val="auto"/>
          <w:sz w:val="24"/>
          <w:szCs w:val="24"/>
        </w:rPr>
        <w:t>3.3 报价</w:t>
      </w:r>
    </w:p>
    <w:p>
      <w:pPr>
        <w:adjustRightInd w:val="0"/>
        <w:snapToGrid w:val="0"/>
        <w:spacing w:line="360" w:lineRule="auto"/>
        <w:ind w:left="3" w:leftChars="1" w:firstLine="480" w:firstLineChars="200"/>
        <w:rPr>
          <w:rFonts w:hAnsi="宋体"/>
          <w:color w:val="auto"/>
          <w:sz w:val="24"/>
          <w:szCs w:val="24"/>
        </w:rPr>
      </w:pPr>
      <w:r>
        <w:rPr>
          <w:rFonts w:hint="eastAsia" w:hAnsi="宋体"/>
          <w:color w:val="auto"/>
          <w:sz w:val="24"/>
          <w:szCs w:val="24"/>
        </w:rPr>
        <w:t>3.3.1 谈判结束后，谈判小组应当要求所有实质性响应的供应商在规定时间内进行最后报价或多轮报价后再最后报价。两轮（响应文件中的报价算一轮）以上报价的，供应商在未提高响应文件中承诺的产品及其服务质量的情况下，其最后报价不得高于对该项目之前的报价，否则，谈判小组应当对其响应文件按无效处理，并书面告知供应商，说明理由。</w:t>
      </w:r>
    </w:p>
    <w:p>
      <w:pPr>
        <w:adjustRightInd w:val="0"/>
        <w:snapToGrid w:val="0"/>
        <w:spacing w:line="360" w:lineRule="auto"/>
        <w:ind w:left="3" w:leftChars="1" w:firstLine="480" w:firstLineChars="200"/>
        <w:rPr>
          <w:rFonts w:hAnsi="宋体"/>
          <w:color w:val="auto"/>
          <w:sz w:val="24"/>
          <w:szCs w:val="24"/>
        </w:rPr>
      </w:pPr>
      <w:r>
        <w:rPr>
          <w:rFonts w:hint="eastAsia" w:hAnsi="宋体"/>
          <w:color w:val="auto"/>
          <w:sz w:val="24"/>
          <w:szCs w:val="24"/>
        </w:rPr>
        <w:t>3.3.2 供应商进行现场报价，应当单独或独立填写报价单，密封递交谈判小组，采购人、采购代理机构工作人员不能拆封供应商报价单。</w:t>
      </w:r>
    </w:p>
    <w:p>
      <w:pPr>
        <w:adjustRightInd w:val="0"/>
        <w:snapToGrid w:val="0"/>
        <w:spacing w:line="360" w:lineRule="auto"/>
        <w:rPr>
          <w:rFonts w:hAnsi="宋体"/>
          <w:color w:val="auto"/>
          <w:sz w:val="24"/>
          <w:szCs w:val="24"/>
        </w:rPr>
      </w:pPr>
      <w:r>
        <w:rPr>
          <w:rFonts w:hint="eastAsia" w:hAnsi="宋体"/>
          <w:color w:val="auto"/>
          <w:sz w:val="24"/>
          <w:szCs w:val="24"/>
        </w:rPr>
        <w:t>3.3.3供应商报价单应当签字确认或者加盖公章，否则无效。报价单的签字确认，供应商为法人的，由其法定代表人或者代理人签字确认；供应商为其他组织的，由其主要负责人或者代理人签字确认；供应商为自然人的，由其本人或者代理人签字确认。</w:t>
      </w:r>
    </w:p>
    <w:p>
      <w:pPr>
        <w:adjustRightInd w:val="0"/>
        <w:snapToGrid w:val="0"/>
        <w:spacing w:line="360" w:lineRule="auto"/>
        <w:ind w:left="3" w:leftChars="1" w:firstLine="480" w:firstLineChars="200"/>
        <w:rPr>
          <w:rFonts w:hAnsi="宋体"/>
          <w:color w:val="auto"/>
          <w:sz w:val="24"/>
          <w:szCs w:val="24"/>
        </w:rPr>
      </w:pPr>
      <w:r>
        <w:rPr>
          <w:rFonts w:hint="eastAsia" w:hAnsi="宋体"/>
          <w:color w:val="auto"/>
          <w:sz w:val="24"/>
          <w:szCs w:val="24"/>
        </w:rPr>
        <w:t>3.3.4谈判过程中，有下列情形之一的，采购活动终止：</w:t>
      </w:r>
    </w:p>
    <w:p>
      <w:pPr>
        <w:adjustRightInd w:val="0"/>
        <w:snapToGrid w:val="0"/>
        <w:spacing w:line="360" w:lineRule="auto"/>
        <w:ind w:firstLine="480" w:firstLineChars="200"/>
        <w:rPr>
          <w:rFonts w:hAnsi="宋体"/>
          <w:color w:val="auto"/>
          <w:sz w:val="24"/>
          <w:szCs w:val="24"/>
        </w:rPr>
      </w:pPr>
      <w:r>
        <w:rPr>
          <w:rFonts w:hint="eastAsia" w:hAnsi="宋体"/>
          <w:color w:val="auto"/>
          <w:sz w:val="24"/>
          <w:szCs w:val="24"/>
        </w:rPr>
        <w:t xml:space="preserve"> （一）因情况变化，不再符合规定的竞争性谈判采购方式适用情形的；</w:t>
      </w:r>
    </w:p>
    <w:p>
      <w:pPr>
        <w:adjustRightInd w:val="0"/>
        <w:snapToGrid w:val="0"/>
        <w:spacing w:line="360" w:lineRule="auto"/>
        <w:ind w:firstLine="480" w:firstLineChars="200"/>
        <w:rPr>
          <w:rFonts w:hAnsi="宋体"/>
          <w:color w:val="auto"/>
          <w:sz w:val="24"/>
          <w:szCs w:val="24"/>
        </w:rPr>
      </w:pPr>
      <w:r>
        <w:rPr>
          <w:rFonts w:hint="eastAsia" w:hAnsi="宋体"/>
          <w:color w:val="auto"/>
          <w:sz w:val="24"/>
          <w:szCs w:val="24"/>
        </w:rPr>
        <w:t>（二）出现影响采购公正的违法、违规行为的；</w:t>
      </w:r>
    </w:p>
    <w:p>
      <w:pPr>
        <w:adjustRightInd w:val="0"/>
        <w:snapToGrid w:val="0"/>
        <w:spacing w:line="360" w:lineRule="auto"/>
        <w:ind w:left="3" w:leftChars="1" w:firstLine="480" w:firstLineChars="200"/>
        <w:rPr>
          <w:rFonts w:hAnsi="宋体"/>
          <w:color w:val="auto"/>
          <w:sz w:val="24"/>
          <w:szCs w:val="24"/>
        </w:rPr>
      </w:pPr>
      <w:r>
        <w:rPr>
          <w:rFonts w:hint="eastAsia" w:hAnsi="宋体"/>
          <w:color w:val="auto"/>
          <w:sz w:val="24"/>
          <w:szCs w:val="24"/>
        </w:rPr>
        <w:t>（三）除《政府采购非招标采购方式管理办法》第二十一条第三款规定的情形外，在采购过程中符合竞争要求的供应商或者报价未超过采购预算的供应商不足3家的。</w:t>
      </w:r>
    </w:p>
    <w:p>
      <w:pPr>
        <w:adjustRightInd w:val="0"/>
        <w:snapToGrid w:val="0"/>
        <w:spacing w:line="360" w:lineRule="auto"/>
        <w:ind w:firstLine="480" w:firstLineChars="200"/>
        <w:rPr>
          <w:rFonts w:hAnsi="宋体"/>
          <w:color w:val="auto"/>
          <w:sz w:val="24"/>
          <w:szCs w:val="24"/>
        </w:rPr>
      </w:pPr>
      <w:r>
        <w:rPr>
          <w:rFonts w:hint="eastAsia" w:hAnsi="宋体"/>
          <w:color w:val="auto"/>
          <w:sz w:val="24"/>
          <w:szCs w:val="24"/>
        </w:rPr>
        <w:t>（四）法律法规规定的其他情形。</w:t>
      </w:r>
    </w:p>
    <w:p>
      <w:pPr>
        <w:spacing w:line="360" w:lineRule="auto"/>
        <w:rPr>
          <w:rFonts w:hAnsi="宋体"/>
          <w:b/>
          <w:bCs/>
          <w:color w:val="auto"/>
          <w:sz w:val="24"/>
          <w:szCs w:val="24"/>
        </w:rPr>
      </w:pPr>
      <w:r>
        <w:rPr>
          <w:rFonts w:hint="eastAsia" w:hAnsi="宋体"/>
          <w:b/>
          <w:bCs/>
          <w:color w:val="auto"/>
          <w:sz w:val="24"/>
          <w:szCs w:val="24"/>
        </w:rPr>
        <w:t>3.4 推荐成交候选供应商</w:t>
      </w:r>
    </w:p>
    <w:p>
      <w:pPr>
        <w:spacing w:line="360" w:lineRule="auto"/>
        <w:ind w:left="3" w:leftChars="1" w:firstLine="480" w:firstLineChars="200"/>
        <w:rPr>
          <w:rFonts w:hAnsi="宋体"/>
          <w:color w:val="auto"/>
          <w:sz w:val="24"/>
          <w:szCs w:val="24"/>
        </w:rPr>
      </w:pPr>
      <w:r>
        <w:rPr>
          <w:rFonts w:hint="eastAsia" w:hAnsi="宋体"/>
          <w:color w:val="auto"/>
          <w:sz w:val="24"/>
          <w:szCs w:val="24"/>
        </w:rPr>
        <w:t>3.4.1 供应商报价结束后，谈判小组应当进行评审符合，对拟推荐成交候选供应商的、报价最低的、供应商资格审查未通过的、供应商被无效处理的重点复核。谈判小组应遵循公平、公正、科学、择优的原则，根据符合采购需求、质量和服务相等且报价最低的原则，确定成交候选供应商顺序。供应商报价相同的，由评审委员会组织供应商抽签确定推荐的成交候选供应商顺序。同等条件下优先采购节能环保产品。</w:t>
      </w:r>
    </w:p>
    <w:p>
      <w:pPr>
        <w:spacing w:line="360" w:lineRule="auto"/>
        <w:ind w:left="3" w:leftChars="1" w:firstLine="480" w:firstLineChars="200"/>
        <w:rPr>
          <w:rFonts w:hAnsi="宋体"/>
          <w:color w:val="auto"/>
          <w:sz w:val="24"/>
          <w:szCs w:val="24"/>
        </w:rPr>
      </w:pPr>
      <w:r>
        <w:rPr>
          <w:rFonts w:hint="eastAsia" w:hAnsi="宋体"/>
          <w:color w:val="auto"/>
          <w:sz w:val="24"/>
          <w:szCs w:val="24"/>
        </w:rPr>
        <w:t>3.4.2 谈判小组推荐成交候选供应商后，应当向采购人、采购代理机构出具评审报告。评审报告应当包括下列内容：</w:t>
      </w:r>
    </w:p>
    <w:p>
      <w:pPr>
        <w:spacing w:line="360" w:lineRule="auto"/>
        <w:ind w:left="3" w:leftChars="1" w:firstLine="480" w:firstLineChars="200"/>
        <w:rPr>
          <w:rFonts w:hAnsi="宋体"/>
          <w:color w:val="auto"/>
          <w:sz w:val="24"/>
          <w:szCs w:val="24"/>
        </w:rPr>
      </w:pPr>
      <w:r>
        <w:rPr>
          <w:rFonts w:hint="eastAsia" w:hAnsi="宋体"/>
          <w:color w:val="auto"/>
          <w:sz w:val="24"/>
          <w:szCs w:val="24"/>
        </w:rPr>
        <w:t>（一）邀请供应商参加采购活动的具体方式和相关情况，以及参加采购活动的供应商名单；</w:t>
      </w:r>
    </w:p>
    <w:p>
      <w:pPr>
        <w:spacing w:line="360" w:lineRule="auto"/>
        <w:ind w:left="3" w:leftChars="1" w:firstLine="480" w:firstLineChars="200"/>
        <w:rPr>
          <w:rFonts w:hAnsi="宋体"/>
          <w:color w:val="auto"/>
          <w:sz w:val="24"/>
          <w:szCs w:val="24"/>
        </w:rPr>
      </w:pPr>
      <w:r>
        <w:rPr>
          <w:rFonts w:hint="eastAsia" w:hAnsi="宋体"/>
          <w:color w:val="auto"/>
          <w:sz w:val="24"/>
          <w:szCs w:val="24"/>
        </w:rPr>
        <w:t xml:space="preserve">（二）评审日期和地点，评审委员会成员名单； </w:t>
      </w:r>
    </w:p>
    <w:p>
      <w:pPr>
        <w:spacing w:line="360" w:lineRule="auto"/>
        <w:ind w:left="3" w:leftChars="1" w:firstLine="480" w:firstLineChars="200"/>
        <w:rPr>
          <w:rFonts w:hAnsi="宋体"/>
          <w:color w:val="auto"/>
          <w:sz w:val="24"/>
          <w:szCs w:val="24"/>
        </w:rPr>
      </w:pPr>
      <w:r>
        <w:rPr>
          <w:rFonts w:hint="eastAsia" w:hAnsi="宋体"/>
          <w:color w:val="auto"/>
          <w:sz w:val="24"/>
          <w:szCs w:val="24"/>
        </w:rPr>
        <w:t>（三）参加报价的供应商名单及报价情况和未参加报价的供应商名单及原因；</w:t>
      </w:r>
    </w:p>
    <w:p>
      <w:pPr>
        <w:spacing w:line="360" w:lineRule="auto"/>
        <w:ind w:left="3" w:leftChars="1" w:firstLine="480" w:firstLineChars="200"/>
        <w:rPr>
          <w:rFonts w:hAnsi="宋体"/>
          <w:color w:val="auto"/>
          <w:sz w:val="24"/>
          <w:szCs w:val="24"/>
        </w:rPr>
      </w:pPr>
      <w:r>
        <w:rPr>
          <w:rFonts w:hint="eastAsia" w:hAnsi="宋体"/>
          <w:color w:val="auto"/>
          <w:sz w:val="24"/>
          <w:szCs w:val="24"/>
        </w:rPr>
        <w:t>（四）谈判文件规定的采购项目实质性要求及变动采购文件实质性内容的有关资料及记录；</w:t>
      </w:r>
    </w:p>
    <w:p>
      <w:pPr>
        <w:spacing w:line="360" w:lineRule="auto"/>
        <w:ind w:left="3" w:leftChars="1" w:firstLine="480" w:firstLineChars="200"/>
        <w:rPr>
          <w:rFonts w:hAnsi="宋体"/>
          <w:color w:val="auto"/>
          <w:sz w:val="24"/>
          <w:szCs w:val="24"/>
        </w:rPr>
      </w:pPr>
      <w:r>
        <w:rPr>
          <w:rFonts w:hint="eastAsia" w:hAnsi="宋体"/>
          <w:color w:val="auto"/>
          <w:sz w:val="24"/>
          <w:szCs w:val="24"/>
        </w:rPr>
        <w:t>（五）供应商响应文件响应谈判文件实质性要求情况及供应商变动响应文件有关资料及记录；</w:t>
      </w:r>
    </w:p>
    <w:p>
      <w:pPr>
        <w:spacing w:line="360" w:lineRule="auto"/>
        <w:ind w:left="3" w:leftChars="1" w:firstLine="480" w:firstLineChars="200"/>
        <w:rPr>
          <w:rFonts w:hAnsi="宋体"/>
          <w:color w:val="auto"/>
          <w:sz w:val="24"/>
          <w:szCs w:val="24"/>
        </w:rPr>
      </w:pPr>
      <w:r>
        <w:rPr>
          <w:rFonts w:hint="eastAsia" w:hAnsi="宋体"/>
          <w:color w:val="auto"/>
          <w:sz w:val="24"/>
          <w:szCs w:val="24"/>
        </w:rPr>
        <w:t>（六）评审情况记录和说明，包括对供应商的资格审查情况、供应商响应文件评审、谈判情况等；</w:t>
      </w:r>
    </w:p>
    <w:p>
      <w:pPr>
        <w:spacing w:line="360" w:lineRule="auto"/>
        <w:ind w:left="3" w:leftChars="1" w:firstLine="480" w:firstLineChars="200"/>
        <w:rPr>
          <w:rFonts w:hAnsi="宋体"/>
          <w:color w:val="auto"/>
          <w:sz w:val="24"/>
          <w:szCs w:val="24"/>
        </w:rPr>
      </w:pPr>
      <w:r>
        <w:rPr>
          <w:rFonts w:hint="eastAsia" w:hAnsi="宋体"/>
          <w:color w:val="auto"/>
          <w:sz w:val="24"/>
          <w:szCs w:val="24"/>
        </w:rPr>
        <w:t>（七）推荐的成交候选供应商名单及理由。</w:t>
      </w:r>
    </w:p>
    <w:p>
      <w:pPr>
        <w:spacing w:line="360" w:lineRule="auto"/>
        <w:ind w:left="3" w:leftChars="1" w:firstLine="480" w:firstLineChars="200"/>
        <w:rPr>
          <w:rFonts w:hAnsi="宋体"/>
          <w:color w:val="auto"/>
          <w:sz w:val="24"/>
          <w:szCs w:val="24"/>
        </w:rPr>
      </w:pPr>
      <w:r>
        <w:rPr>
          <w:rFonts w:hint="eastAsia" w:hAnsi="宋体"/>
          <w:color w:val="auto"/>
          <w:sz w:val="24"/>
          <w:szCs w:val="24"/>
        </w:rPr>
        <w:t>3.4.3 评审报告应当由全体谈判小组成员签字确认。谈判小组成员对评审过程和结果有不同意见的，应当在评审报告中写明并说明理由。签字但不写明不同意见或者不说明理由的，视同无意见。拒不签字又不另行书面说明其不同意见和理由的，视同同意评审结果。</w:t>
      </w:r>
    </w:p>
    <w:p>
      <w:pPr>
        <w:adjustRightInd w:val="0"/>
        <w:snapToGrid w:val="0"/>
        <w:spacing w:line="360" w:lineRule="auto"/>
        <w:ind w:left="3" w:leftChars="1" w:firstLine="480" w:firstLineChars="200"/>
        <w:rPr>
          <w:rFonts w:hAnsi="宋体"/>
          <w:color w:val="auto"/>
          <w:sz w:val="24"/>
          <w:szCs w:val="24"/>
        </w:rPr>
      </w:pPr>
      <w:r>
        <w:rPr>
          <w:rFonts w:hint="eastAsia" w:hAnsi="宋体"/>
          <w:color w:val="auto"/>
          <w:sz w:val="24"/>
          <w:szCs w:val="24"/>
        </w:rPr>
        <w:t>3.4.4 对于违反谈判纪律的将可能被取消成交供应商资格或视为无效响应。</w:t>
      </w:r>
    </w:p>
    <w:bookmarkEnd w:id="397"/>
    <w:p>
      <w:pPr>
        <w:widowControl/>
        <w:spacing w:line="360" w:lineRule="auto"/>
        <w:jc w:val="left"/>
        <w:rPr>
          <w:rFonts w:hAnsi="宋体"/>
          <w:b/>
          <w:color w:val="auto"/>
          <w:kern w:val="2"/>
          <w:sz w:val="24"/>
          <w:szCs w:val="24"/>
        </w:rPr>
      </w:pPr>
      <w:bookmarkStart w:id="398" w:name="_Toc430773964"/>
      <w:bookmarkStart w:id="399" w:name="_Toc209847182"/>
      <w:r>
        <w:rPr>
          <w:rFonts w:hint="eastAsia" w:hAnsi="宋体"/>
          <w:b/>
          <w:color w:val="auto"/>
          <w:sz w:val="24"/>
          <w:szCs w:val="24"/>
        </w:rPr>
        <w:t>附件 评审纪律</w:t>
      </w:r>
      <w:bookmarkEnd w:id="398"/>
      <w:bookmarkEnd w:id="399"/>
    </w:p>
    <w:p>
      <w:pPr>
        <w:spacing w:line="360" w:lineRule="auto"/>
        <w:ind w:firstLine="480" w:firstLineChars="200"/>
        <w:rPr>
          <w:rFonts w:hAnsi="宋体"/>
          <w:color w:val="auto"/>
          <w:sz w:val="24"/>
          <w:szCs w:val="24"/>
        </w:rPr>
      </w:pPr>
      <w:r>
        <w:rPr>
          <w:rFonts w:hint="eastAsia" w:hAnsi="宋体"/>
          <w:color w:val="auto"/>
          <w:sz w:val="24"/>
          <w:szCs w:val="24"/>
        </w:rPr>
        <w:t>为了保证本项目竞争性谈判评审工作的严肃性和规范性，严格按照本项目谈判文件制定的评审程序、标准及方法进行评审工作，根据《中华人民共和国政府采购法》、财政部第87号令颁布的《政府采购货物和服务招标报价管理办法》、</w:t>
      </w:r>
      <w:r>
        <w:rPr>
          <w:color w:val="auto"/>
          <w:sz w:val="24"/>
          <w:szCs w:val="24"/>
        </w:rPr>
        <w:t>《政府采购非招标采购方式管理办法》</w:t>
      </w:r>
      <w:r>
        <w:rPr>
          <w:rFonts w:hint="eastAsia"/>
          <w:color w:val="auto"/>
          <w:sz w:val="24"/>
          <w:szCs w:val="24"/>
        </w:rPr>
        <w:t>、《四川省政府采购非招标采购方式实施办法》</w:t>
      </w:r>
      <w:r>
        <w:rPr>
          <w:rFonts w:hint="eastAsia" w:hAnsi="宋体"/>
          <w:color w:val="auto"/>
          <w:sz w:val="24"/>
          <w:szCs w:val="24"/>
        </w:rPr>
        <w:t>和《中华人民共和国保密法》的有关规定，制定本评审纪律。</w:t>
      </w:r>
    </w:p>
    <w:p>
      <w:pPr>
        <w:spacing w:line="360" w:lineRule="auto"/>
        <w:rPr>
          <w:rFonts w:hAnsi="宋体"/>
          <w:color w:val="auto"/>
          <w:sz w:val="24"/>
          <w:szCs w:val="24"/>
        </w:rPr>
      </w:pPr>
      <w:r>
        <w:rPr>
          <w:rFonts w:hint="eastAsia" w:hAnsi="宋体"/>
          <w:color w:val="auto"/>
          <w:sz w:val="24"/>
          <w:szCs w:val="24"/>
        </w:rPr>
        <w:t>1、本项目评审工作本着“公平、公正、科学及择优”的原则进行。</w:t>
      </w:r>
    </w:p>
    <w:p>
      <w:pPr>
        <w:spacing w:line="360" w:lineRule="auto"/>
        <w:rPr>
          <w:rFonts w:hAnsi="宋体"/>
          <w:color w:val="auto"/>
          <w:sz w:val="24"/>
          <w:szCs w:val="24"/>
        </w:rPr>
      </w:pPr>
      <w:r>
        <w:rPr>
          <w:rFonts w:hint="eastAsia" w:hAnsi="宋体"/>
          <w:color w:val="auto"/>
          <w:sz w:val="24"/>
          <w:szCs w:val="24"/>
        </w:rPr>
        <w:t xml:space="preserve">    2、谈判小组应严格遵循《四川省政府采购谈判小组工作规程》，按照谈判文件所提的内容，严格、认真、公平、公正地审查响应文件在实质上是否响应了谈判文件的要求，根据谈判文件的要求和供应商的条件择优而定。</w:t>
      </w:r>
    </w:p>
    <w:p>
      <w:pPr>
        <w:spacing w:line="360" w:lineRule="auto"/>
        <w:ind w:right="18" w:firstLine="480" w:firstLineChars="200"/>
        <w:rPr>
          <w:rFonts w:hAnsi="宋体"/>
          <w:color w:val="auto"/>
          <w:sz w:val="24"/>
          <w:szCs w:val="24"/>
        </w:rPr>
      </w:pPr>
      <w:r>
        <w:rPr>
          <w:rFonts w:hint="eastAsia" w:hAnsi="宋体"/>
          <w:color w:val="auto"/>
          <w:sz w:val="24"/>
          <w:szCs w:val="24"/>
        </w:rPr>
        <w:t>3、谈判小组由相关方面的专家组成，谈判小组有权要求供应商对其响应文件中含义不明确的内容作必要的澄清或者说明。</w:t>
      </w:r>
    </w:p>
    <w:p>
      <w:pPr>
        <w:spacing w:line="360" w:lineRule="auto"/>
        <w:ind w:right="18" w:firstLine="480" w:firstLineChars="200"/>
        <w:rPr>
          <w:rFonts w:hAnsi="宋体"/>
          <w:color w:val="auto"/>
          <w:sz w:val="24"/>
          <w:szCs w:val="24"/>
        </w:rPr>
      </w:pPr>
      <w:r>
        <w:rPr>
          <w:rFonts w:hint="eastAsia" w:hAnsi="宋体"/>
          <w:color w:val="auto"/>
          <w:sz w:val="24"/>
          <w:szCs w:val="24"/>
        </w:rPr>
        <w:t>4、评审的过程严加保密。评审过程中指定联络员与报价方联系，谈判小组成员或工作人员不得与供应商私下交换意见或透露评审情况，如违反规定将予以严肃处理。</w:t>
      </w:r>
    </w:p>
    <w:p>
      <w:pPr>
        <w:spacing w:line="360" w:lineRule="auto"/>
        <w:ind w:right="18" w:firstLine="480" w:firstLineChars="200"/>
        <w:rPr>
          <w:rFonts w:hAnsi="宋体"/>
          <w:color w:val="auto"/>
          <w:sz w:val="24"/>
          <w:szCs w:val="24"/>
        </w:rPr>
      </w:pPr>
      <w:r>
        <w:rPr>
          <w:rFonts w:hint="eastAsia" w:hAnsi="宋体"/>
          <w:color w:val="auto"/>
          <w:sz w:val="24"/>
          <w:szCs w:val="24"/>
        </w:rPr>
        <w:t>5、在谈判、评审期间，供应商试图影响评审的任何做法（包括向谈判小组成员、工作人员探听评审情况等）都被视为严重违纪，谈判小组有权拒绝其谈判。若在成交后发现有此行为，则取消成交供应商签订合同的资格。</w:t>
      </w:r>
    </w:p>
    <w:p>
      <w:pPr>
        <w:spacing w:line="360" w:lineRule="auto"/>
        <w:ind w:firstLine="480" w:firstLineChars="200"/>
        <w:rPr>
          <w:rFonts w:hAnsi="宋体"/>
          <w:color w:val="auto"/>
          <w:sz w:val="24"/>
          <w:szCs w:val="24"/>
        </w:rPr>
      </w:pPr>
      <w:r>
        <w:rPr>
          <w:rFonts w:hint="eastAsia" w:hAnsi="宋体"/>
          <w:color w:val="auto"/>
          <w:sz w:val="24"/>
          <w:szCs w:val="24"/>
        </w:rPr>
        <w:t>6、在评审期间，任何人不得向外传递信息。不允许把响应文件及其汇总材料带出指定地点，该材料应有专人保管和发放。</w:t>
      </w:r>
    </w:p>
    <w:p>
      <w:pPr>
        <w:spacing w:line="360" w:lineRule="auto"/>
        <w:ind w:firstLine="480" w:firstLineChars="200"/>
        <w:rPr>
          <w:rFonts w:hAnsi="宋体"/>
          <w:color w:val="auto"/>
          <w:sz w:val="24"/>
          <w:szCs w:val="24"/>
        </w:rPr>
      </w:pPr>
      <w:r>
        <w:rPr>
          <w:rFonts w:hint="eastAsia" w:hAnsi="宋体"/>
          <w:color w:val="auto"/>
          <w:sz w:val="24"/>
          <w:szCs w:val="24"/>
        </w:rPr>
        <w:t>7、参加评审的专家不代表各自单位，没有向各自单位汇报评审情况的权利和义务。</w:t>
      </w:r>
    </w:p>
    <w:p>
      <w:pPr>
        <w:spacing w:line="360" w:lineRule="auto"/>
        <w:rPr>
          <w:rFonts w:hAnsi="宋体"/>
          <w:color w:val="auto"/>
          <w:sz w:val="24"/>
          <w:szCs w:val="24"/>
        </w:rPr>
      </w:pPr>
      <w:r>
        <w:rPr>
          <w:rFonts w:hint="eastAsia" w:hAnsi="宋体"/>
          <w:color w:val="auto"/>
          <w:sz w:val="24"/>
          <w:szCs w:val="24"/>
        </w:rPr>
        <w:t xml:space="preserve">    8、参加评审的专家不得向供应商解答与之有关的评审情况。谈判小组及其成员没有向未成交供应商解答与评审有关问题的权利和义务。</w:t>
      </w:r>
    </w:p>
    <w:p>
      <w:pPr>
        <w:spacing w:line="360" w:lineRule="auto"/>
        <w:ind w:right="18" w:firstLine="480" w:firstLineChars="200"/>
        <w:rPr>
          <w:rFonts w:hAnsi="宋体"/>
          <w:color w:val="auto"/>
          <w:sz w:val="24"/>
          <w:szCs w:val="24"/>
        </w:rPr>
      </w:pPr>
      <w:r>
        <w:rPr>
          <w:rFonts w:hint="eastAsia" w:hAnsi="宋体"/>
          <w:color w:val="auto"/>
          <w:sz w:val="24"/>
          <w:szCs w:val="24"/>
        </w:rPr>
        <w:t>9、评审过程除谈判小组成员外，有关工作人员因工作需要可以参加会议，但没有评议和表决权。其他与评审无关人员不得参加评审，不得探听评审情况，如违反规定，将严肃处理。</w:t>
      </w:r>
    </w:p>
    <w:p>
      <w:pPr>
        <w:pStyle w:val="8"/>
        <w:spacing w:line="360" w:lineRule="auto"/>
        <w:rPr>
          <w:rFonts w:ascii="宋体" w:hAnsi="宋体"/>
          <w:color w:val="auto"/>
          <w:sz w:val="24"/>
          <w:szCs w:val="24"/>
        </w:rPr>
      </w:pPr>
      <w:r>
        <w:rPr>
          <w:rFonts w:hint="eastAsia" w:ascii="宋体" w:hAnsi="宋体"/>
          <w:color w:val="auto"/>
          <w:sz w:val="24"/>
          <w:szCs w:val="24"/>
        </w:rPr>
        <w:t>10、根据择优而定的原则，谈判小组对成交供应商的选择必须确保在符合法定人数的基础上作出决定，所有谈判小组成员应在评审结果和评审报告上签字。</w:t>
      </w:r>
    </w:p>
    <w:p>
      <w:pPr>
        <w:widowControl/>
        <w:ind w:firstLine="1700" w:firstLineChars="500"/>
        <w:jc w:val="left"/>
        <w:rPr>
          <w:rFonts w:hint="eastAsia"/>
          <w:color w:val="auto"/>
        </w:rPr>
      </w:pPr>
      <w:bookmarkStart w:id="400" w:name="_Toc430773937"/>
      <w:bookmarkStart w:id="401" w:name="_Toc462929218"/>
      <w:bookmarkStart w:id="402" w:name="_Toc209847078"/>
      <w:bookmarkStart w:id="403" w:name="_Toc6216"/>
      <w:r>
        <w:rPr>
          <w:rFonts w:hint="eastAsia"/>
          <w:color w:val="auto"/>
        </w:rPr>
        <w:br w:type="page"/>
      </w:r>
    </w:p>
    <w:p>
      <w:pPr>
        <w:widowControl/>
        <w:ind w:firstLine="2249" w:firstLineChars="700"/>
        <w:jc w:val="both"/>
        <w:rPr>
          <w:rFonts w:hint="eastAsia" w:ascii="宋体" w:hAnsi="宋体" w:eastAsia="宋体" w:cs="Times New Roman"/>
          <w:b/>
          <w:color w:val="auto"/>
          <w:kern w:val="44"/>
          <w:sz w:val="32"/>
          <w:szCs w:val="22"/>
          <w:lang w:val="en-US" w:eastAsia="zh-CN" w:bidi="ar-SA"/>
        </w:rPr>
      </w:pPr>
      <w:r>
        <w:rPr>
          <w:rFonts w:hint="eastAsia" w:ascii="宋体" w:hAnsi="宋体" w:eastAsia="宋体" w:cs="Times New Roman"/>
          <w:b/>
          <w:color w:val="auto"/>
          <w:kern w:val="44"/>
          <w:sz w:val="32"/>
          <w:szCs w:val="22"/>
          <w:lang w:val="en-US" w:eastAsia="zh-CN" w:bidi="ar-SA"/>
        </w:rPr>
        <w:t xml:space="preserve">第十三部分 </w:t>
      </w:r>
      <w:bookmarkEnd w:id="400"/>
      <w:bookmarkEnd w:id="401"/>
      <w:bookmarkEnd w:id="402"/>
      <w:r>
        <w:rPr>
          <w:rFonts w:hint="eastAsia" w:ascii="宋体" w:hAnsi="宋体" w:eastAsia="宋体" w:cs="Times New Roman"/>
          <w:b/>
          <w:color w:val="auto"/>
          <w:kern w:val="44"/>
          <w:sz w:val="32"/>
          <w:szCs w:val="22"/>
          <w:lang w:val="en-US" w:eastAsia="zh-CN" w:bidi="ar-SA"/>
        </w:rPr>
        <w:t>采购合同</w:t>
      </w:r>
      <w:bookmarkEnd w:id="403"/>
      <w:r>
        <w:rPr>
          <w:rFonts w:hint="eastAsia" w:ascii="宋体" w:hAnsi="宋体" w:eastAsia="宋体" w:cs="Times New Roman"/>
          <w:b/>
          <w:color w:val="auto"/>
          <w:kern w:val="44"/>
          <w:sz w:val="32"/>
          <w:szCs w:val="22"/>
          <w:lang w:val="en-US" w:eastAsia="zh-CN" w:bidi="ar-SA"/>
        </w:rPr>
        <w:t>（范本）</w:t>
      </w:r>
    </w:p>
    <w:p>
      <w:pPr>
        <w:spacing w:line="360" w:lineRule="auto"/>
        <w:ind w:firstLine="480"/>
        <w:rPr>
          <w:rFonts w:hint="eastAsia" w:hAnsi="宋体" w:cs="宋体"/>
          <w:color w:val="auto"/>
          <w:sz w:val="24"/>
          <w:highlight w:val="none"/>
          <w:shd w:val="clear" w:color="auto" w:fill="auto"/>
        </w:rPr>
      </w:pPr>
      <w:r>
        <w:rPr>
          <w:rFonts w:hint="eastAsia" w:hAnsi="宋体" w:cs="宋体"/>
          <w:color w:val="auto"/>
          <w:sz w:val="24"/>
          <w:highlight w:val="none"/>
          <w:shd w:val="clear" w:color="auto" w:fill="auto"/>
        </w:rPr>
        <w:t>合同编号：XXXX。（</w:t>
      </w:r>
      <w:r>
        <w:rPr>
          <w:rFonts w:hint="eastAsia" w:hAnsi="宋体" w:cs="宋体"/>
          <w:b/>
          <w:bCs/>
          <w:color w:val="auto"/>
          <w:sz w:val="24"/>
          <w:highlight w:val="none"/>
          <w:shd w:val="clear" w:color="auto" w:fill="auto"/>
        </w:rPr>
        <w:t>注：必须以中标通知书上的合同编号为准</w:t>
      </w:r>
      <w:r>
        <w:rPr>
          <w:rFonts w:hint="eastAsia" w:hAnsi="宋体" w:cs="宋体"/>
          <w:color w:val="auto"/>
          <w:sz w:val="24"/>
          <w:highlight w:val="none"/>
          <w:shd w:val="clear" w:color="auto" w:fill="auto"/>
        </w:rPr>
        <w:t>）</w:t>
      </w:r>
    </w:p>
    <w:p>
      <w:pPr>
        <w:spacing w:line="360" w:lineRule="auto"/>
        <w:ind w:firstLine="480"/>
        <w:rPr>
          <w:rFonts w:hint="eastAsia" w:hAnsi="宋体" w:cs="宋体"/>
          <w:color w:val="auto"/>
          <w:sz w:val="24"/>
          <w:highlight w:val="none"/>
          <w:shd w:val="clear" w:color="auto" w:fill="auto"/>
        </w:rPr>
      </w:pPr>
      <w:r>
        <w:rPr>
          <w:rFonts w:hint="eastAsia" w:hAnsi="宋体" w:cs="宋体"/>
          <w:color w:val="auto"/>
          <w:sz w:val="24"/>
          <w:highlight w:val="none"/>
          <w:shd w:val="clear" w:color="auto" w:fill="auto"/>
        </w:rPr>
        <w:t>签订地点：XXXX。</w:t>
      </w:r>
    </w:p>
    <w:p>
      <w:pPr>
        <w:spacing w:line="360" w:lineRule="auto"/>
        <w:ind w:firstLine="480"/>
        <w:rPr>
          <w:rFonts w:hint="eastAsia" w:hAnsi="宋体" w:cs="宋体"/>
          <w:color w:val="auto"/>
          <w:sz w:val="24"/>
          <w:highlight w:val="none"/>
          <w:shd w:val="clear" w:color="auto" w:fill="auto"/>
        </w:rPr>
      </w:pPr>
      <w:r>
        <w:rPr>
          <w:rFonts w:hint="eastAsia" w:hAnsi="宋体" w:cs="宋体"/>
          <w:color w:val="auto"/>
          <w:sz w:val="24"/>
          <w:highlight w:val="none"/>
          <w:shd w:val="clear" w:color="auto" w:fill="auto"/>
        </w:rPr>
        <w:t>签订时间：XXXX年XX月XX日。</w:t>
      </w:r>
    </w:p>
    <w:p>
      <w:pPr>
        <w:spacing w:line="360" w:lineRule="auto"/>
        <w:ind w:firstLine="480" w:firstLineChars="200"/>
        <w:rPr>
          <w:rFonts w:hint="eastAsia" w:hAnsi="宋体" w:cs="宋体"/>
          <w:color w:val="auto"/>
          <w:sz w:val="24"/>
          <w:highlight w:val="none"/>
          <w:shd w:val="clear" w:color="auto" w:fill="auto"/>
        </w:rPr>
      </w:pPr>
      <w:r>
        <w:rPr>
          <w:rFonts w:hint="eastAsia" w:hAnsi="宋体" w:cs="宋体"/>
          <w:color w:val="auto"/>
          <w:sz w:val="24"/>
          <w:highlight w:val="none"/>
          <w:shd w:val="clear" w:color="auto" w:fill="auto"/>
        </w:rPr>
        <w:t>采购人（甲方）：</w:t>
      </w:r>
      <w:r>
        <w:rPr>
          <w:rFonts w:hint="eastAsia" w:hAnsi="宋体" w:cs="宋体"/>
          <w:color w:val="auto"/>
          <w:sz w:val="24"/>
          <w:highlight w:val="none"/>
          <w:u w:val="single"/>
          <w:shd w:val="clear" w:color="auto" w:fill="auto"/>
        </w:rPr>
        <w:t xml:space="preserve">          </w:t>
      </w:r>
    </w:p>
    <w:p>
      <w:pPr>
        <w:spacing w:line="360" w:lineRule="auto"/>
        <w:ind w:firstLine="480" w:firstLineChars="200"/>
        <w:rPr>
          <w:rFonts w:hint="eastAsia" w:hAnsi="宋体" w:cs="宋体"/>
          <w:color w:val="auto"/>
          <w:sz w:val="24"/>
          <w:highlight w:val="none"/>
          <w:shd w:val="clear" w:color="auto" w:fill="auto"/>
        </w:rPr>
      </w:pPr>
      <w:r>
        <w:rPr>
          <w:rFonts w:hint="eastAsia" w:hAnsi="宋体" w:cs="宋体"/>
          <w:color w:val="auto"/>
          <w:sz w:val="24"/>
          <w:highlight w:val="none"/>
          <w:shd w:val="clear" w:color="auto" w:fill="auto"/>
        </w:rPr>
        <w:t>供应商（乙方）：</w:t>
      </w:r>
      <w:r>
        <w:rPr>
          <w:rFonts w:hint="eastAsia" w:hAnsi="宋体" w:cs="宋体"/>
          <w:color w:val="auto"/>
          <w:sz w:val="24"/>
          <w:highlight w:val="none"/>
          <w:u w:val="single"/>
          <w:shd w:val="clear" w:color="auto" w:fill="auto"/>
        </w:rPr>
        <w:t xml:space="preserve">                              </w:t>
      </w:r>
    </w:p>
    <w:p>
      <w:pPr>
        <w:spacing w:line="360" w:lineRule="auto"/>
        <w:ind w:firstLine="480" w:firstLineChars="200"/>
        <w:jc w:val="left"/>
        <w:rPr>
          <w:rFonts w:hint="eastAsia" w:hAnsi="宋体" w:cs="宋体"/>
          <w:b/>
          <w:color w:val="auto"/>
          <w:sz w:val="24"/>
          <w:highlight w:val="none"/>
          <w:shd w:val="clear" w:color="auto" w:fill="auto"/>
        </w:rPr>
      </w:pPr>
      <w:r>
        <w:rPr>
          <w:rFonts w:hint="eastAsia" w:hAnsi="宋体" w:cs="宋体"/>
          <w:color w:val="auto"/>
          <w:sz w:val="24"/>
          <w:highlight w:val="none"/>
          <w:shd w:val="clear" w:color="auto" w:fill="auto"/>
        </w:rPr>
        <w:t>根据《中华人民共和国政府采购法》、《中华人民共和国合同法》及</w:t>
      </w:r>
      <w:r>
        <w:rPr>
          <w:rFonts w:hint="eastAsia" w:hAnsi="宋体" w:cs="宋体"/>
          <w:color w:val="auto"/>
          <w:sz w:val="24"/>
          <w:highlight w:val="none"/>
          <w:u w:val="single"/>
          <w:shd w:val="clear" w:color="auto" w:fill="auto"/>
        </w:rPr>
        <w:t>XX</w:t>
      </w:r>
      <w:r>
        <w:rPr>
          <w:rFonts w:hint="eastAsia" w:hAnsi="宋体" w:cs="宋体"/>
          <w:color w:val="auto"/>
          <w:sz w:val="24"/>
          <w:highlight w:val="none"/>
          <w:shd w:val="clear" w:color="auto" w:fill="auto"/>
        </w:rPr>
        <w:t>采购项目（项目编号：XX）的《</w:t>
      </w:r>
      <w:r>
        <w:rPr>
          <w:rFonts w:hint="eastAsia" w:hAnsi="宋体" w:cs="宋体"/>
          <w:color w:val="auto"/>
          <w:sz w:val="24"/>
          <w:highlight w:val="none"/>
          <w:shd w:val="clear" w:color="auto" w:fill="auto"/>
          <w:lang w:eastAsia="zh-CN"/>
        </w:rPr>
        <w:t>谈判</w:t>
      </w:r>
      <w:r>
        <w:rPr>
          <w:rFonts w:hint="eastAsia" w:hAnsi="宋体" w:cs="宋体"/>
          <w:color w:val="auto"/>
          <w:sz w:val="24"/>
          <w:highlight w:val="none"/>
          <w:shd w:val="clear" w:color="auto" w:fill="auto"/>
        </w:rPr>
        <w:t>文件》、乙方的《</w:t>
      </w:r>
      <w:r>
        <w:rPr>
          <w:rFonts w:hint="eastAsia" w:hAnsi="宋体" w:cs="宋体"/>
          <w:color w:val="auto"/>
          <w:sz w:val="24"/>
          <w:highlight w:val="none"/>
          <w:shd w:val="clear" w:color="auto" w:fill="auto"/>
          <w:lang w:eastAsia="zh-CN"/>
        </w:rPr>
        <w:t>响应</w:t>
      </w:r>
      <w:r>
        <w:rPr>
          <w:rFonts w:hint="eastAsia" w:hAnsi="宋体" w:cs="宋体"/>
          <w:color w:val="auto"/>
          <w:sz w:val="24"/>
          <w:highlight w:val="none"/>
          <w:shd w:val="clear" w:color="auto" w:fill="auto"/>
        </w:rPr>
        <w:t>文件》及《</w:t>
      </w:r>
      <w:r>
        <w:rPr>
          <w:rFonts w:hint="eastAsia" w:hAnsi="宋体" w:cs="宋体"/>
          <w:color w:val="auto"/>
          <w:sz w:val="24"/>
          <w:highlight w:val="none"/>
          <w:shd w:val="clear" w:color="auto" w:fill="auto"/>
          <w:lang w:eastAsia="zh-CN"/>
        </w:rPr>
        <w:t>成交</w:t>
      </w:r>
      <w:r>
        <w:rPr>
          <w:rFonts w:hint="eastAsia" w:hAnsi="宋体" w:cs="宋体"/>
          <w:color w:val="auto"/>
          <w:sz w:val="24"/>
          <w:highlight w:val="none"/>
          <w:shd w:val="clear" w:color="auto" w:fill="auto"/>
        </w:rPr>
        <w:t>通知书》，甲、乙双方同意签订本合同。详细技术说明及其他有关合同项目的特定信息由合同附件予以说明，合同附件及本项目的</w:t>
      </w:r>
      <w:r>
        <w:rPr>
          <w:rFonts w:hint="eastAsia" w:hAnsi="宋体" w:cs="宋体"/>
          <w:color w:val="auto"/>
          <w:sz w:val="24"/>
          <w:highlight w:val="none"/>
          <w:shd w:val="clear" w:color="auto" w:fill="auto"/>
          <w:lang w:eastAsia="zh-CN"/>
        </w:rPr>
        <w:t>谈判</w:t>
      </w:r>
      <w:r>
        <w:rPr>
          <w:rFonts w:hint="eastAsia" w:hAnsi="宋体" w:cs="宋体"/>
          <w:color w:val="auto"/>
          <w:sz w:val="24"/>
          <w:highlight w:val="none"/>
          <w:shd w:val="clear" w:color="auto" w:fill="auto"/>
        </w:rPr>
        <w:t>文件、</w:t>
      </w:r>
      <w:r>
        <w:rPr>
          <w:rFonts w:hint="eastAsia" w:hAnsi="宋体" w:cs="宋体"/>
          <w:color w:val="auto"/>
          <w:sz w:val="24"/>
          <w:highlight w:val="none"/>
          <w:shd w:val="clear" w:color="auto" w:fill="auto"/>
          <w:lang w:eastAsia="zh-CN"/>
        </w:rPr>
        <w:t>响应</w:t>
      </w:r>
      <w:r>
        <w:rPr>
          <w:rFonts w:hint="eastAsia" w:hAnsi="宋体" w:cs="宋体"/>
          <w:color w:val="auto"/>
          <w:sz w:val="24"/>
          <w:highlight w:val="none"/>
          <w:shd w:val="clear" w:color="auto" w:fill="auto"/>
        </w:rPr>
        <w:t>文件、《</w:t>
      </w:r>
      <w:r>
        <w:rPr>
          <w:rFonts w:hint="eastAsia" w:hAnsi="宋体" w:cs="宋体"/>
          <w:color w:val="auto"/>
          <w:sz w:val="24"/>
          <w:highlight w:val="none"/>
          <w:shd w:val="clear" w:color="auto" w:fill="auto"/>
          <w:lang w:eastAsia="zh-CN"/>
        </w:rPr>
        <w:t>成交</w:t>
      </w:r>
      <w:r>
        <w:rPr>
          <w:rFonts w:hint="eastAsia" w:hAnsi="宋体" w:cs="宋体"/>
          <w:color w:val="auto"/>
          <w:sz w:val="24"/>
          <w:highlight w:val="none"/>
          <w:shd w:val="clear" w:color="auto" w:fill="auto"/>
        </w:rPr>
        <w:t>通知书》等均为本合同不可分割的部分。双方同意共同遵守如下条款：</w:t>
      </w:r>
    </w:p>
    <w:p>
      <w:pPr>
        <w:spacing w:line="360" w:lineRule="auto"/>
        <w:ind w:firstLine="482" w:firstLineChars="200"/>
        <w:rPr>
          <w:rFonts w:hint="eastAsia" w:hAnsi="宋体" w:cs="宋体"/>
          <w:b/>
          <w:color w:val="auto"/>
          <w:sz w:val="24"/>
          <w:highlight w:val="none"/>
          <w:shd w:val="clear" w:color="auto" w:fill="auto"/>
        </w:rPr>
      </w:pPr>
    </w:p>
    <w:p>
      <w:pPr>
        <w:widowControl/>
        <w:numPr>
          <w:ilvl w:val="0"/>
          <w:numId w:val="7"/>
        </w:numPr>
        <w:spacing w:line="360" w:lineRule="auto"/>
        <w:jc w:val="left"/>
        <w:rPr>
          <w:rFonts w:hint="eastAsia" w:hAnsi="宋体" w:cs="宋体"/>
          <w:b/>
          <w:color w:val="auto"/>
          <w:sz w:val="24"/>
          <w:highlight w:val="none"/>
          <w:shd w:val="clear" w:color="auto" w:fill="auto"/>
        </w:rPr>
      </w:pPr>
      <w:r>
        <w:rPr>
          <w:rFonts w:hint="eastAsia" w:hAnsi="宋体" w:cs="宋体"/>
          <w:b/>
          <w:color w:val="auto"/>
          <w:sz w:val="24"/>
          <w:highlight w:val="none"/>
          <w:shd w:val="clear" w:color="auto" w:fill="auto"/>
        </w:rPr>
        <w:t>项目基本情况</w:t>
      </w:r>
    </w:p>
    <w:p>
      <w:pPr>
        <w:widowControl/>
        <w:numPr>
          <w:ilvl w:val="0"/>
          <w:numId w:val="7"/>
        </w:numPr>
        <w:spacing w:line="360" w:lineRule="auto"/>
        <w:jc w:val="left"/>
        <w:rPr>
          <w:rFonts w:hint="eastAsia" w:hAnsi="宋体" w:cs="宋体"/>
          <w:b/>
          <w:color w:val="auto"/>
          <w:sz w:val="24"/>
          <w:highlight w:val="none"/>
          <w:shd w:val="clear" w:color="auto" w:fill="auto"/>
        </w:rPr>
      </w:pPr>
      <w:r>
        <w:rPr>
          <w:rFonts w:hint="eastAsia" w:hAnsi="宋体" w:cs="宋体"/>
          <w:b/>
          <w:color w:val="auto"/>
          <w:sz w:val="24"/>
          <w:highlight w:val="none"/>
          <w:shd w:val="clear" w:color="auto" w:fill="auto"/>
        </w:rPr>
        <w:t>合同期限</w:t>
      </w:r>
    </w:p>
    <w:p>
      <w:pPr>
        <w:widowControl/>
        <w:numPr>
          <w:ilvl w:val="0"/>
          <w:numId w:val="7"/>
        </w:numPr>
        <w:spacing w:line="360" w:lineRule="auto"/>
        <w:jc w:val="left"/>
        <w:rPr>
          <w:rFonts w:hint="eastAsia" w:hAnsi="宋体" w:cs="宋体"/>
          <w:b/>
          <w:color w:val="auto"/>
          <w:sz w:val="24"/>
          <w:highlight w:val="none"/>
          <w:shd w:val="clear" w:color="auto" w:fill="auto"/>
        </w:rPr>
      </w:pPr>
      <w:bookmarkStart w:id="404" w:name="_Toc286993786"/>
      <w:bookmarkStart w:id="405" w:name="_Toc247334841"/>
      <w:bookmarkStart w:id="406" w:name="_Toc211854449"/>
      <w:bookmarkStart w:id="407" w:name="_Toc212019594"/>
      <w:bookmarkStart w:id="408" w:name="_Toc225654644"/>
      <w:bookmarkStart w:id="409" w:name="_Toc239568418"/>
      <w:bookmarkStart w:id="410" w:name="_Toc225244852"/>
      <w:bookmarkStart w:id="411" w:name="_Toc241833903"/>
      <w:bookmarkStart w:id="412" w:name="_Toc185395249"/>
      <w:bookmarkStart w:id="413" w:name="_Toc237145406"/>
      <w:bookmarkStart w:id="414" w:name="_Toc211911348"/>
      <w:bookmarkStart w:id="415" w:name="_Toc225670751"/>
      <w:bookmarkStart w:id="416" w:name="_Toc238984975"/>
      <w:bookmarkStart w:id="417" w:name="_Toc251768862"/>
      <w:bookmarkStart w:id="418" w:name="_Toc282696226"/>
      <w:bookmarkStart w:id="419" w:name="_Toc283019214"/>
      <w:bookmarkStart w:id="420" w:name="_Toc232492928"/>
      <w:bookmarkStart w:id="421" w:name="_Toc239233914"/>
      <w:r>
        <w:rPr>
          <w:rFonts w:hint="eastAsia" w:hAnsi="宋体" w:cs="宋体"/>
          <w:b/>
          <w:color w:val="auto"/>
          <w:sz w:val="24"/>
          <w:highlight w:val="none"/>
          <w:shd w:val="clear" w:color="auto" w:fill="auto"/>
        </w:rPr>
        <w:t>服务内容与质量标准</w:t>
      </w:r>
    </w:p>
    <w:p>
      <w:pPr>
        <w:spacing w:line="360" w:lineRule="auto"/>
        <w:ind w:left="567"/>
        <w:rPr>
          <w:rFonts w:hint="eastAsia" w:hAnsi="宋体" w:cs="宋体"/>
          <w:color w:val="auto"/>
          <w:sz w:val="24"/>
          <w:highlight w:val="none"/>
          <w:shd w:val="clear" w:color="auto" w:fill="auto"/>
        </w:rPr>
      </w:pPr>
      <w:r>
        <w:rPr>
          <w:rFonts w:hint="eastAsia" w:hAnsi="宋体" w:cs="宋体"/>
          <w:color w:val="auto"/>
          <w:sz w:val="24"/>
          <w:highlight w:val="none"/>
          <w:shd w:val="clear" w:color="auto" w:fill="auto"/>
        </w:rPr>
        <w:t>1、XXXX；</w:t>
      </w:r>
    </w:p>
    <w:p>
      <w:pPr>
        <w:spacing w:line="360" w:lineRule="auto"/>
        <w:ind w:left="567"/>
        <w:rPr>
          <w:rFonts w:hint="eastAsia" w:hAnsi="宋体" w:cs="宋体"/>
          <w:color w:val="auto"/>
          <w:sz w:val="24"/>
          <w:highlight w:val="none"/>
          <w:shd w:val="clear" w:color="auto" w:fill="auto"/>
        </w:rPr>
      </w:pPr>
      <w:r>
        <w:rPr>
          <w:rFonts w:hint="eastAsia" w:hAnsi="宋体" w:cs="宋体"/>
          <w:color w:val="auto"/>
          <w:sz w:val="24"/>
          <w:highlight w:val="none"/>
          <w:shd w:val="clear" w:color="auto" w:fill="auto"/>
        </w:rPr>
        <w:t>2、XXXX；</w:t>
      </w:r>
    </w:p>
    <w:p>
      <w:pPr>
        <w:spacing w:line="360" w:lineRule="auto"/>
        <w:ind w:left="567"/>
        <w:rPr>
          <w:rFonts w:hint="eastAsia" w:hAnsi="宋体" w:cs="宋体"/>
          <w:color w:val="auto"/>
          <w:sz w:val="24"/>
          <w:highlight w:val="none"/>
          <w:shd w:val="clear" w:color="auto" w:fill="auto"/>
        </w:rPr>
      </w:pPr>
      <w:r>
        <w:rPr>
          <w:rFonts w:hint="eastAsia" w:hAnsi="宋体" w:cs="宋体"/>
          <w:color w:val="auto"/>
          <w:sz w:val="24"/>
          <w:highlight w:val="none"/>
          <w:shd w:val="clear" w:color="auto" w:fill="auto"/>
        </w:rPr>
        <w:t>3、XXXX．</w:t>
      </w:r>
    </w:p>
    <w:p>
      <w:pPr>
        <w:spacing w:line="360" w:lineRule="auto"/>
        <w:ind w:firstLine="630"/>
        <w:rPr>
          <w:rFonts w:hint="eastAsia" w:hAnsi="宋体" w:cs="宋体"/>
          <w:color w:val="auto"/>
          <w:sz w:val="24"/>
          <w:highlight w:val="none"/>
          <w:shd w:val="clear" w:color="auto" w:fill="auto"/>
        </w:rPr>
      </w:pPr>
      <w:r>
        <w:rPr>
          <w:rFonts w:hint="eastAsia" w:hAnsi="宋体" w:cs="宋体"/>
          <w:color w:val="auto"/>
          <w:sz w:val="24"/>
          <w:highlight w:val="none"/>
          <w:shd w:val="clear" w:color="auto" w:fill="auto"/>
        </w:rPr>
        <w:t>…</w:t>
      </w:r>
    </w:p>
    <w:p>
      <w:pPr>
        <w:widowControl/>
        <w:numPr>
          <w:ilvl w:val="0"/>
          <w:numId w:val="7"/>
        </w:numPr>
        <w:spacing w:line="360" w:lineRule="auto"/>
        <w:jc w:val="left"/>
        <w:rPr>
          <w:rFonts w:hint="eastAsia" w:hAnsi="宋体" w:cs="宋体"/>
          <w:b/>
          <w:color w:val="auto"/>
          <w:sz w:val="24"/>
          <w:highlight w:val="none"/>
          <w:shd w:val="clear" w:color="auto" w:fill="auto"/>
        </w:rPr>
      </w:pPr>
      <w:r>
        <w:rPr>
          <w:rFonts w:hint="eastAsia" w:hAnsi="宋体" w:cs="宋体"/>
          <w:b/>
          <w:color w:val="auto"/>
          <w:sz w:val="24"/>
          <w:highlight w:val="none"/>
          <w:shd w:val="clear" w:color="auto" w:fill="auto"/>
        </w:rPr>
        <w:t>服务费用及支付方式</w:t>
      </w:r>
    </w:p>
    <w:p>
      <w:pPr>
        <w:widowControl/>
        <w:numPr>
          <w:ilvl w:val="0"/>
          <w:numId w:val="8"/>
        </w:numPr>
        <w:spacing w:line="360" w:lineRule="auto"/>
        <w:ind w:left="0" w:firstLine="567"/>
        <w:jc w:val="left"/>
        <w:rPr>
          <w:rFonts w:hint="eastAsia" w:hAnsi="宋体" w:cs="宋体"/>
          <w:b/>
          <w:color w:val="auto"/>
          <w:sz w:val="24"/>
          <w:highlight w:val="none"/>
          <w:shd w:val="clear" w:color="auto" w:fill="auto"/>
        </w:rPr>
      </w:pPr>
      <w:r>
        <w:rPr>
          <w:rFonts w:hint="eastAsia" w:hAnsi="宋体" w:cs="宋体"/>
          <w:b/>
          <w:color w:val="auto"/>
          <w:sz w:val="24"/>
          <w:highlight w:val="none"/>
          <w:shd w:val="clear" w:color="auto" w:fill="auto"/>
        </w:rPr>
        <w:t>本项目服务费用由以下组成：</w:t>
      </w:r>
    </w:p>
    <w:p>
      <w:pPr>
        <w:spacing w:line="360" w:lineRule="auto"/>
        <w:ind w:firstLine="480" w:firstLineChars="200"/>
        <w:rPr>
          <w:rFonts w:hint="eastAsia" w:hAnsi="宋体" w:cs="宋体"/>
          <w:color w:val="auto"/>
          <w:sz w:val="24"/>
          <w:highlight w:val="none"/>
          <w:shd w:val="clear" w:color="auto" w:fill="auto"/>
        </w:rPr>
      </w:pPr>
      <w:r>
        <w:rPr>
          <w:rFonts w:hint="eastAsia" w:hAnsi="宋体" w:cs="宋体"/>
          <w:color w:val="auto"/>
          <w:sz w:val="24"/>
          <w:highlight w:val="none"/>
          <w:shd w:val="clear" w:color="auto" w:fill="auto"/>
        </w:rPr>
        <w:t>1、XX万元；</w:t>
      </w:r>
    </w:p>
    <w:p>
      <w:pPr>
        <w:spacing w:line="360" w:lineRule="auto"/>
        <w:ind w:firstLine="480" w:firstLineChars="200"/>
        <w:rPr>
          <w:rFonts w:hint="eastAsia" w:hAnsi="宋体" w:cs="宋体"/>
          <w:color w:val="auto"/>
          <w:sz w:val="24"/>
          <w:highlight w:val="none"/>
          <w:shd w:val="clear" w:color="auto" w:fill="auto"/>
        </w:rPr>
      </w:pPr>
      <w:r>
        <w:rPr>
          <w:rFonts w:hint="eastAsia" w:hAnsi="宋体" w:cs="宋体"/>
          <w:color w:val="auto"/>
          <w:sz w:val="24"/>
          <w:highlight w:val="none"/>
          <w:shd w:val="clear" w:color="auto" w:fill="auto"/>
        </w:rPr>
        <w:t>2、XX万元；</w:t>
      </w:r>
    </w:p>
    <w:p>
      <w:pPr>
        <w:spacing w:line="360" w:lineRule="auto"/>
        <w:ind w:firstLine="480" w:firstLineChars="200"/>
        <w:rPr>
          <w:rFonts w:hint="eastAsia" w:hAnsi="宋体" w:cs="宋体"/>
          <w:color w:val="auto"/>
          <w:sz w:val="24"/>
          <w:highlight w:val="none"/>
          <w:shd w:val="clear" w:color="auto" w:fill="auto"/>
        </w:rPr>
      </w:pPr>
      <w:r>
        <w:rPr>
          <w:rFonts w:hint="eastAsia" w:hAnsi="宋体" w:cs="宋体"/>
          <w:color w:val="auto"/>
          <w:sz w:val="24"/>
          <w:highlight w:val="none"/>
          <w:shd w:val="clear" w:color="auto" w:fill="auto"/>
        </w:rPr>
        <w:t>3、XX万元。</w:t>
      </w:r>
    </w:p>
    <w:p>
      <w:pPr>
        <w:spacing w:line="360" w:lineRule="auto"/>
        <w:ind w:firstLine="480" w:firstLineChars="200"/>
        <w:rPr>
          <w:rFonts w:hint="eastAsia" w:hAnsi="宋体" w:cs="宋体"/>
          <w:color w:val="auto"/>
          <w:sz w:val="24"/>
          <w:highlight w:val="none"/>
          <w:shd w:val="clear" w:color="auto" w:fill="auto"/>
        </w:rPr>
      </w:pPr>
      <w:r>
        <w:rPr>
          <w:rFonts w:hint="eastAsia" w:hAnsi="宋体" w:cs="宋体"/>
          <w:color w:val="auto"/>
          <w:sz w:val="24"/>
          <w:highlight w:val="none"/>
          <w:shd w:val="clear" w:color="auto" w:fill="auto"/>
        </w:rPr>
        <w:t>……</w:t>
      </w:r>
    </w:p>
    <w:p>
      <w:pPr>
        <w:widowControl/>
        <w:numPr>
          <w:ilvl w:val="0"/>
          <w:numId w:val="8"/>
        </w:numPr>
        <w:tabs>
          <w:tab w:val="left" w:pos="780"/>
        </w:tabs>
        <w:spacing w:line="360" w:lineRule="auto"/>
        <w:ind w:left="0" w:firstLine="567"/>
        <w:jc w:val="left"/>
        <w:rPr>
          <w:rFonts w:hint="eastAsia" w:hAnsi="宋体" w:cs="宋体"/>
          <w:b/>
          <w:color w:val="auto"/>
          <w:sz w:val="24"/>
          <w:highlight w:val="none"/>
          <w:shd w:val="clear" w:color="auto" w:fill="auto"/>
        </w:rPr>
      </w:pPr>
      <w:r>
        <w:rPr>
          <w:rFonts w:hint="eastAsia" w:hAnsi="宋体" w:cs="宋体"/>
          <w:b/>
          <w:color w:val="auto"/>
          <w:sz w:val="24"/>
          <w:highlight w:val="none"/>
          <w:shd w:val="clear" w:color="auto" w:fill="auto"/>
        </w:rPr>
        <w:t xml:space="preserve">服务费支付方式： </w:t>
      </w:r>
    </w:p>
    <w:p>
      <w:pPr>
        <w:widowControl/>
        <w:numPr>
          <w:ilvl w:val="0"/>
          <w:numId w:val="7"/>
        </w:numPr>
        <w:spacing w:line="360" w:lineRule="auto"/>
        <w:jc w:val="left"/>
        <w:rPr>
          <w:rFonts w:hint="eastAsia" w:hAnsi="宋体" w:cs="宋体"/>
          <w:b/>
          <w:color w:val="auto"/>
          <w:spacing w:val="-20"/>
          <w:sz w:val="24"/>
          <w:highlight w:val="none"/>
          <w:shd w:val="clear" w:color="auto" w:fill="auto"/>
        </w:rPr>
      </w:pPr>
      <w:r>
        <w:rPr>
          <w:rFonts w:hint="eastAsia" w:hAnsi="宋体" w:cs="宋体"/>
          <w:b/>
          <w:color w:val="auto"/>
          <w:sz w:val="24"/>
          <w:highlight w:val="none"/>
          <w:shd w:val="clear" w:color="auto" w:fill="auto"/>
        </w:rPr>
        <w:t>知识产权</w:t>
      </w:r>
    </w:p>
    <w:p>
      <w:pPr>
        <w:tabs>
          <w:tab w:val="left" w:pos="1440"/>
        </w:tabs>
        <w:spacing w:line="360" w:lineRule="auto"/>
        <w:ind w:firstLine="400" w:firstLineChars="200"/>
        <w:rPr>
          <w:rFonts w:hint="eastAsia" w:hAnsi="宋体" w:cs="宋体"/>
          <w:color w:val="auto"/>
          <w:spacing w:val="-20"/>
          <w:sz w:val="24"/>
          <w:highlight w:val="none"/>
          <w:shd w:val="clear" w:color="auto" w:fill="auto"/>
        </w:rPr>
      </w:pPr>
      <w:r>
        <w:rPr>
          <w:rFonts w:hint="eastAsia" w:hAnsi="宋体" w:cs="宋体"/>
          <w:color w:val="auto"/>
          <w:spacing w:val="-20"/>
          <w:sz w:val="24"/>
          <w:highlight w:val="none"/>
          <w:shd w:val="clear" w:color="auto" w:fill="auto"/>
        </w:rPr>
        <w:t>乙方应保证所提供的服务或其任何一部分均不会侵犯任何第三方的专利权、商标权或著作权。</w:t>
      </w:r>
    </w:p>
    <w:p>
      <w:pPr>
        <w:widowControl/>
        <w:numPr>
          <w:ilvl w:val="0"/>
          <w:numId w:val="7"/>
        </w:numPr>
        <w:spacing w:line="360" w:lineRule="auto"/>
        <w:jc w:val="left"/>
        <w:rPr>
          <w:rFonts w:hint="eastAsia" w:hAnsi="宋体" w:cs="宋体"/>
          <w:b/>
          <w:color w:val="auto"/>
          <w:sz w:val="24"/>
          <w:highlight w:val="none"/>
          <w:shd w:val="clear" w:color="auto" w:fill="auto"/>
        </w:rPr>
      </w:pPr>
      <w:r>
        <w:rPr>
          <w:rFonts w:hint="eastAsia" w:hAnsi="宋体" w:cs="宋体"/>
          <w:b/>
          <w:color w:val="auto"/>
          <w:sz w:val="24"/>
          <w:highlight w:val="none"/>
          <w:shd w:val="clear" w:color="auto" w:fill="auto"/>
        </w:rPr>
        <w:t>无产权瑕疵条款</w:t>
      </w:r>
    </w:p>
    <w:p>
      <w:pPr>
        <w:tabs>
          <w:tab w:val="left" w:pos="1440"/>
        </w:tabs>
        <w:spacing w:line="360" w:lineRule="auto"/>
        <w:ind w:firstLine="480" w:firstLineChars="200"/>
        <w:rPr>
          <w:rFonts w:hint="eastAsia" w:hAnsi="宋体" w:cs="宋体"/>
          <w:color w:val="auto"/>
          <w:sz w:val="24"/>
          <w:highlight w:val="none"/>
          <w:shd w:val="clear" w:color="auto" w:fill="auto"/>
        </w:rPr>
      </w:pPr>
      <w:r>
        <w:rPr>
          <w:rFonts w:hint="eastAsia" w:hAnsi="宋体" w:cs="宋体"/>
          <w:color w:val="auto"/>
          <w:sz w:val="24"/>
          <w:highlight w:val="none"/>
          <w:shd w:val="clear" w:color="auto" w:fill="auto"/>
        </w:rPr>
        <w:t>乙方保证所提供的服务的所有权完全属于乙方且无任何抵押、查封等产权瑕疵。如有产权瑕疵的，视为乙方违约。乙方应负担由此而产生的一切损失。</w:t>
      </w:r>
    </w:p>
    <w:p>
      <w:pPr>
        <w:widowControl/>
        <w:numPr>
          <w:ilvl w:val="0"/>
          <w:numId w:val="7"/>
        </w:numPr>
        <w:spacing w:line="360" w:lineRule="auto"/>
        <w:jc w:val="left"/>
        <w:rPr>
          <w:rFonts w:hint="eastAsia" w:hAnsi="宋体" w:cs="宋体"/>
          <w:b/>
          <w:color w:val="auto"/>
          <w:sz w:val="24"/>
          <w:highlight w:val="none"/>
          <w:shd w:val="clear" w:color="auto" w:fill="auto"/>
        </w:rPr>
      </w:pPr>
      <w:r>
        <w:rPr>
          <w:rFonts w:hint="eastAsia" w:hAnsi="宋体" w:cs="宋体"/>
          <w:b/>
          <w:color w:val="auto"/>
          <w:sz w:val="24"/>
          <w:highlight w:val="none"/>
          <w:shd w:val="clear" w:color="auto" w:fill="auto"/>
        </w:rPr>
        <w:t>履约保证金</w:t>
      </w:r>
    </w:p>
    <w:p>
      <w:pPr>
        <w:adjustRightInd w:val="0"/>
        <w:spacing w:line="360" w:lineRule="auto"/>
        <w:ind w:firstLine="480" w:firstLineChars="200"/>
        <w:jc w:val="left"/>
        <w:textAlignment w:val="baseline"/>
        <w:rPr>
          <w:rFonts w:hint="eastAsia" w:hAnsi="宋体" w:cs="宋体"/>
          <w:bCs/>
          <w:color w:val="auto"/>
          <w:sz w:val="24"/>
          <w:highlight w:val="none"/>
          <w:shd w:val="clear" w:color="auto" w:fill="auto"/>
        </w:rPr>
      </w:pPr>
      <w:r>
        <w:rPr>
          <w:rFonts w:hint="eastAsia" w:hAnsi="宋体" w:cs="宋体"/>
          <w:bCs/>
          <w:color w:val="auto"/>
          <w:sz w:val="24"/>
          <w:highlight w:val="none"/>
          <w:shd w:val="clear" w:color="auto" w:fill="auto"/>
        </w:rPr>
        <w:t>双方协商。</w:t>
      </w:r>
    </w:p>
    <w:p>
      <w:pPr>
        <w:widowControl/>
        <w:numPr>
          <w:ilvl w:val="0"/>
          <w:numId w:val="7"/>
        </w:numPr>
        <w:spacing w:line="360" w:lineRule="auto"/>
        <w:jc w:val="left"/>
        <w:rPr>
          <w:rFonts w:hint="eastAsia" w:hAnsi="宋体" w:cs="宋体"/>
          <w:b/>
          <w:color w:val="auto"/>
          <w:sz w:val="24"/>
          <w:highlight w:val="none"/>
          <w:shd w:val="clear" w:color="auto" w:fill="auto"/>
        </w:rPr>
      </w:pPr>
      <w:r>
        <w:rPr>
          <w:rFonts w:hint="eastAsia" w:hAnsi="宋体" w:cs="宋体"/>
          <w:b/>
          <w:color w:val="auto"/>
          <w:sz w:val="24"/>
          <w:highlight w:val="none"/>
          <w:shd w:val="clear" w:color="auto" w:fill="auto"/>
        </w:rPr>
        <w:t>甲方的权利和义务</w:t>
      </w:r>
    </w:p>
    <w:p>
      <w:pPr>
        <w:adjustRightInd w:val="0"/>
        <w:spacing w:line="360" w:lineRule="auto"/>
        <w:ind w:firstLine="480" w:firstLineChars="200"/>
        <w:jc w:val="left"/>
        <w:textAlignment w:val="baseline"/>
        <w:rPr>
          <w:rFonts w:hint="eastAsia" w:hAnsi="宋体" w:cs="宋体"/>
          <w:bCs/>
          <w:color w:val="auto"/>
          <w:sz w:val="24"/>
          <w:highlight w:val="none"/>
          <w:shd w:val="clear" w:color="auto" w:fill="auto"/>
        </w:rPr>
      </w:pPr>
      <w:r>
        <w:rPr>
          <w:rFonts w:hint="eastAsia" w:hAnsi="宋体" w:cs="宋体"/>
          <w:bCs/>
          <w:color w:val="auto"/>
          <w:sz w:val="24"/>
          <w:highlight w:val="none"/>
          <w:shd w:val="clear" w:color="auto" w:fill="auto"/>
        </w:rPr>
        <w:t>1、甲方有权对合同规定范围内乙方的服务行为进行监督和检查，拥有监管权。有权定期核对乙方提供服务所配备的人员数量。对甲方认为不合理的部分有权下达整改通知书，并要求乙方限期整改。</w:t>
      </w:r>
    </w:p>
    <w:p>
      <w:pPr>
        <w:adjustRightInd w:val="0"/>
        <w:spacing w:line="360" w:lineRule="auto"/>
        <w:ind w:firstLine="480" w:firstLineChars="200"/>
        <w:jc w:val="left"/>
        <w:textAlignment w:val="baseline"/>
        <w:rPr>
          <w:rFonts w:hint="eastAsia" w:hAnsi="宋体" w:cs="宋体"/>
          <w:bCs/>
          <w:color w:val="auto"/>
          <w:sz w:val="24"/>
          <w:highlight w:val="none"/>
          <w:shd w:val="clear" w:color="auto" w:fill="auto"/>
        </w:rPr>
      </w:pPr>
      <w:r>
        <w:rPr>
          <w:rFonts w:hint="eastAsia" w:hAnsi="宋体" w:cs="宋体"/>
          <w:bCs/>
          <w:color w:val="auto"/>
          <w:sz w:val="24"/>
          <w:highlight w:val="none"/>
          <w:shd w:val="clear" w:color="auto" w:fill="auto"/>
        </w:rPr>
        <w:t>2、甲方有权依据双方签订的考评办法对乙方提供的服务进行定期考评。当考评结果未达到标准时，有权依据考评办法约定的数额扣除履约保证金。</w:t>
      </w:r>
    </w:p>
    <w:p>
      <w:pPr>
        <w:adjustRightInd w:val="0"/>
        <w:spacing w:line="360" w:lineRule="auto"/>
        <w:ind w:firstLine="480" w:firstLineChars="200"/>
        <w:jc w:val="left"/>
        <w:textAlignment w:val="baseline"/>
        <w:rPr>
          <w:rFonts w:hint="eastAsia" w:hAnsi="宋体" w:cs="宋体"/>
          <w:bCs/>
          <w:color w:val="auto"/>
          <w:sz w:val="24"/>
          <w:highlight w:val="none"/>
          <w:shd w:val="clear" w:color="auto" w:fill="auto"/>
        </w:rPr>
      </w:pPr>
      <w:r>
        <w:rPr>
          <w:rFonts w:hint="eastAsia" w:hAnsi="宋体" w:cs="宋体"/>
          <w:bCs/>
          <w:color w:val="auto"/>
          <w:sz w:val="24"/>
          <w:highlight w:val="none"/>
          <w:shd w:val="clear" w:color="auto" w:fill="auto"/>
        </w:rPr>
        <w:t>3、负责检查监督乙方管理工作的实施及制度的执行情况。</w:t>
      </w:r>
    </w:p>
    <w:p>
      <w:pPr>
        <w:adjustRightInd w:val="0"/>
        <w:spacing w:line="360" w:lineRule="auto"/>
        <w:ind w:firstLine="480" w:firstLineChars="200"/>
        <w:jc w:val="left"/>
        <w:textAlignment w:val="baseline"/>
        <w:rPr>
          <w:rFonts w:hint="eastAsia" w:hAnsi="宋体" w:cs="宋体"/>
          <w:bCs/>
          <w:color w:val="auto"/>
          <w:sz w:val="24"/>
          <w:highlight w:val="none"/>
          <w:shd w:val="clear" w:color="auto" w:fill="auto"/>
        </w:rPr>
      </w:pPr>
      <w:r>
        <w:rPr>
          <w:rFonts w:hint="eastAsia" w:hAnsi="宋体" w:cs="宋体"/>
          <w:bCs/>
          <w:color w:val="auto"/>
          <w:sz w:val="24"/>
          <w:highlight w:val="none"/>
          <w:shd w:val="clear" w:color="auto" w:fill="auto"/>
        </w:rPr>
        <w:t>4、根据本合同规定，按时向乙方支付应付服务费用。</w:t>
      </w:r>
    </w:p>
    <w:p>
      <w:pPr>
        <w:adjustRightInd w:val="0"/>
        <w:spacing w:line="360" w:lineRule="auto"/>
        <w:ind w:firstLine="480" w:firstLineChars="200"/>
        <w:jc w:val="left"/>
        <w:textAlignment w:val="baseline"/>
        <w:rPr>
          <w:rFonts w:hint="eastAsia" w:hAnsi="宋体" w:cs="宋体"/>
          <w:bCs/>
          <w:color w:val="auto"/>
          <w:sz w:val="24"/>
          <w:highlight w:val="none"/>
          <w:shd w:val="clear" w:color="auto" w:fill="auto"/>
        </w:rPr>
      </w:pPr>
      <w:r>
        <w:rPr>
          <w:rFonts w:hint="eastAsia" w:hAnsi="宋体" w:cs="宋体"/>
          <w:bCs/>
          <w:color w:val="auto"/>
          <w:sz w:val="24"/>
          <w:highlight w:val="none"/>
          <w:shd w:val="clear" w:color="auto" w:fill="auto"/>
        </w:rPr>
        <w:t>5、国家法律、法规所规定由甲方承担的其它责任。</w:t>
      </w:r>
    </w:p>
    <w:p>
      <w:pPr>
        <w:widowControl/>
        <w:numPr>
          <w:ilvl w:val="0"/>
          <w:numId w:val="7"/>
        </w:numPr>
        <w:spacing w:line="360" w:lineRule="auto"/>
        <w:jc w:val="left"/>
        <w:rPr>
          <w:rFonts w:hint="eastAsia" w:hAnsi="宋体" w:cs="宋体"/>
          <w:b/>
          <w:color w:val="auto"/>
          <w:sz w:val="24"/>
          <w:highlight w:val="none"/>
          <w:shd w:val="clear" w:color="auto" w:fill="auto"/>
        </w:rPr>
      </w:pPr>
      <w:r>
        <w:rPr>
          <w:rFonts w:hint="eastAsia" w:hAnsi="宋体" w:cs="宋体"/>
          <w:b/>
          <w:color w:val="auto"/>
          <w:sz w:val="24"/>
          <w:highlight w:val="none"/>
          <w:shd w:val="clear" w:color="auto" w:fill="auto"/>
        </w:rPr>
        <w:t>乙方的权利和义务</w:t>
      </w:r>
    </w:p>
    <w:p>
      <w:pPr>
        <w:adjustRightInd w:val="0"/>
        <w:spacing w:line="360" w:lineRule="auto"/>
        <w:ind w:firstLine="480" w:firstLineChars="200"/>
        <w:jc w:val="left"/>
        <w:textAlignment w:val="baseline"/>
        <w:rPr>
          <w:rFonts w:hint="eastAsia" w:hAnsi="宋体" w:cs="宋体"/>
          <w:bCs/>
          <w:color w:val="auto"/>
          <w:sz w:val="24"/>
          <w:highlight w:val="none"/>
          <w:shd w:val="clear" w:color="auto" w:fill="auto"/>
        </w:rPr>
      </w:pPr>
      <w:r>
        <w:rPr>
          <w:rFonts w:hint="eastAsia" w:hAnsi="宋体" w:cs="宋体"/>
          <w:bCs/>
          <w:color w:val="auto"/>
          <w:sz w:val="24"/>
          <w:highlight w:val="none"/>
          <w:shd w:val="clear" w:color="auto" w:fill="auto"/>
        </w:rPr>
        <w:t>1、对本合同规定的委托服务范围内的项目享有管理权及服务义务。</w:t>
      </w:r>
    </w:p>
    <w:p>
      <w:pPr>
        <w:adjustRightInd w:val="0"/>
        <w:spacing w:line="360" w:lineRule="auto"/>
        <w:ind w:firstLine="480" w:firstLineChars="200"/>
        <w:jc w:val="left"/>
        <w:textAlignment w:val="baseline"/>
        <w:rPr>
          <w:rFonts w:hint="eastAsia" w:hAnsi="宋体" w:cs="宋体"/>
          <w:bCs/>
          <w:color w:val="auto"/>
          <w:sz w:val="24"/>
          <w:highlight w:val="none"/>
          <w:shd w:val="clear" w:color="auto" w:fill="auto"/>
        </w:rPr>
      </w:pPr>
      <w:r>
        <w:rPr>
          <w:rFonts w:hint="eastAsia" w:hAnsi="宋体" w:cs="宋体"/>
          <w:bCs/>
          <w:color w:val="auto"/>
          <w:sz w:val="24"/>
          <w:highlight w:val="none"/>
          <w:shd w:val="clear" w:color="auto" w:fill="auto"/>
        </w:rPr>
        <w:t>2、根据本合同的规定向甲方收取相关服务费用，并有权在本项目管理范围内管理及合理使用。</w:t>
      </w:r>
    </w:p>
    <w:p>
      <w:pPr>
        <w:adjustRightInd w:val="0"/>
        <w:spacing w:line="360" w:lineRule="auto"/>
        <w:ind w:firstLine="480" w:firstLineChars="200"/>
        <w:jc w:val="left"/>
        <w:textAlignment w:val="baseline"/>
        <w:rPr>
          <w:rFonts w:hint="eastAsia" w:hAnsi="宋体" w:cs="宋体"/>
          <w:color w:val="auto"/>
          <w:sz w:val="24"/>
          <w:highlight w:val="none"/>
          <w:shd w:val="clear" w:color="auto" w:fill="auto"/>
        </w:rPr>
      </w:pPr>
      <w:r>
        <w:rPr>
          <w:rFonts w:hint="eastAsia" w:hAnsi="宋体" w:cs="宋体"/>
          <w:color w:val="auto"/>
          <w:sz w:val="24"/>
          <w:highlight w:val="none"/>
          <w:shd w:val="clear" w:color="auto" w:fill="auto"/>
        </w:rPr>
        <w:t>3、及时向甲方通告本项目服务范围内有关服务的重大事项，及时配合处理投诉。</w:t>
      </w:r>
    </w:p>
    <w:p>
      <w:pPr>
        <w:adjustRightInd w:val="0"/>
        <w:spacing w:line="360" w:lineRule="auto"/>
        <w:ind w:firstLine="480" w:firstLineChars="200"/>
        <w:jc w:val="left"/>
        <w:textAlignment w:val="baseline"/>
        <w:rPr>
          <w:rFonts w:hint="eastAsia" w:hAnsi="宋体" w:cs="宋体"/>
          <w:bCs/>
          <w:color w:val="auto"/>
          <w:sz w:val="24"/>
          <w:highlight w:val="none"/>
          <w:shd w:val="clear" w:color="auto" w:fill="auto"/>
        </w:rPr>
      </w:pPr>
      <w:r>
        <w:rPr>
          <w:rFonts w:hint="eastAsia" w:hAnsi="宋体" w:cs="宋体"/>
          <w:color w:val="auto"/>
          <w:sz w:val="24"/>
          <w:highlight w:val="none"/>
          <w:shd w:val="clear" w:color="auto" w:fill="auto"/>
        </w:rPr>
        <w:t>4、</w:t>
      </w:r>
      <w:r>
        <w:rPr>
          <w:rFonts w:hint="eastAsia" w:hAnsi="宋体" w:cs="宋体"/>
          <w:bCs/>
          <w:color w:val="auto"/>
          <w:sz w:val="24"/>
          <w:highlight w:val="none"/>
          <w:shd w:val="clear" w:color="auto" w:fill="auto"/>
        </w:rPr>
        <w:t>接受项目行业管理部门及政府有关部门的指导，接受甲方的监督。</w:t>
      </w:r>
    </w:p>
    <w:p>
      <w:pPr>
        <w:adjustRightInd w:val="0"/>
        <w:spacing w:line="360" w:lineRule="auto"/>
        <w:ind w:firstLine="480" w:firstLineChars="200"/>
        <w:jc w:val="left"/>
        <w:textAlignment w:val="baseline"/>
        <w:rPr>
          <w:rFonts w:hint="eastAsia" w:hAnsi="宋体" w:cs="宋体"/>
          <w:bCs/>
          <w:color w:val="auto"/>
          <w:sz w:val="24"/>
          <w:highlight w:val="none"/>
          <w:shd w:val="clear" w:color="auto" w:fill="auto"/>
        </w:rPr>
      </w:pPr>
      <w:r>
        <w:rPr>
          <w:rFonts w:hint="eastAsia" w:hAnsi="宋体" w:cs="宋体"/>
          <w:bCs/>
          <w:color w:val="auto"/>
          <w:sz w:val="24"/>
          <w:highlight w:val="none"/>
          <w:shd w:val="clear" w:color="auto" w:fill="auto"/>
        </w:rPr>
        <w:t>5、国家法律、法规所规定由乙方承担的其它责任。</w:t>
      </w:r>
    </w:p>
    <w:p>
      <w:pPr>
        <w:widowControl/>
        <w:numPr>
          <w:ilvl w:val="0"/>
          <w:numId w:val="7"/>
        </w:numPr>
        <w:spacing w:line="360" w:lineRule="auto"/>
        <w:jc w:val="left"/>
        <w:rPr>
          <w:rFonts w:hint="eastAsia" w:hAnsi="宋体" w:cs="宋体"/>
          <w:b/>
          <w:color w:val="auto"/>
          <w:sz w:val="24"/>
          <w:highlight w:val="none"/>
          <w:shd w:val="clear" w:color="auto" w:fill="auto"/>
        </w:rPr>
      </w:pPr>
      <w:r>
        <w:rPr>
          <w:rFonts w:hint="eastAsia" w:hAnsi="宋体" w:cs="宋体"/>
          <w:b/>
          <w:color w:val="auto"/>
          <w:sz w:val="24"/>
          <w:highlight w:val="none"/>
          <w:shd w:val="clear" w:color="auto" w:fill="auto"/>
        </w:rPr>
        <w:t>违约责任</w:t>
      </w:r>
    </w:p>
    <w:p>
      <w:pPr>
        <w:adjustRightInd w:val="0"/>
        <w:spacing w:line="360" w:lineRule="auto"/>
        <w:ind w:firstLine="480" w:firstLineChars="200"/>
        <w:jc w:val="left"/>
        <w:textAlignment w:val="baseline"/>
        <w:rPr>
          <w:rFonts w:hint="eastAsia" w:hAnsi="宋体" w:cs="宋体"/>
          <w:bCs/>
          <w:color w:val="auto"/>
          <w:sz w:val="24"/>
          <w:highlight w:val="none"/>
          <w:shd w:val="clear" w:color="auto" w:fill="auto"/>
        </w:rPr>
      </w:pPr>
      <w:r>
        <w:rPr>
          <w:rFonts w:hint="eastAsia" w:hAnsi="宋体" w:cs="宋体"/>
          <w:bCs/>
          <w:color w:val="auto"/>
          <w:sz w:val="24"/>
          <w:highlight w:val="none"/>
          <w:shd w:val="clear" w:color="auto" w:fill="auto"/>
        </w:rPr>
        <w:t>1、甲乙双方必须遵守本合同并执行合同中的各项规定，保证本合同的正常履行。</w:t>
      </w:r>
    </w:p>
    <w:p>
      <w:pPr>
        <w:adjustRightInd w:val="0"/>
        <w:spacing w:line="360" w:lineRule="auto"/>
        <w:ind w:firstLine="480" w:firstLineChars="200"/>
        <w:jc w:val="left"/>
        <w:textAlignment w:val="baseline"/>
        <w:rPr>
          <w:rFonts w:hint="eastAsia" w:hAnsi="宋体" w:cs="宋体"/>
          <w:bCs/>
          <w:color w:val="auto"/>
          <w:sz w:val="24"/>
          <w:highlight w:val="none"/>
          <w:shd w:val="clear" w:color="auto" w:fill="auto"/>
        </w:rPr>
      </w:pPr>
      <w:r>
        <w:rPr>
          <w:rFonts w:hint="eastAsia" w:hAnsi="宋体" w:cs="宋体"/>
          <w:bCs/>
          <w:color w:val="auto"/>
          <w:sz w:val="24"/>
          <w:highlight w:val="none"/>
          <w:shd w:val="clear" w:color="auto" w:fill="auto"/>
        </w:rPr>
        <w:t>2、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p>
      <w:pPr>
        <w:widowControl/>
        <w:numPr>
          <w:ilvl w:val="0"/>
          <w:numId w:val="7"/>
        </w:numPr>
        <w:spacing w:line="360" w:lineRule="auto"/>
        <w:jc w:val="left"/>
        <w:rPr>
          <w:rFonts w:hint="eastAsia" w:hAnsi="宋体" w:cs="宋体"/>
          <w:b/>
          <w:color w:val="auto"/>
          <w:sz w:val="24"/>
          <w:highlight w:val="none"/>
          <w:shd w:val="clear" w:color="auto" w:fill="auto"/>
        </w:rPr>
      </w:pPr>
      <w:r>
        <w:rPr>
          <w:rFonts w:hint="eastAsia" w:hAnsi="宋体" w:cs="宋体"/>
          <w:b/>
          <w:color w:val="auto"/>
          <w:sz w:val="24"/>
          <w:highlight w:val="none"/>
          <w:shd w:val="clear" w:color="auto" w:fill="auto"/>
        </w:rPr>
        <w:t>不可抗力事件处理</w:t>
      </w:r>
    </w:p>
    <w:p>
      <w:pPr>
        <w:tabs>
          <w:tab w:val="left" w:pos="0"/>
        </w:tabs>
        <w:spacing w:line="360" w:lineRule="auto"/>
        <w:ind w:firstLine="480" w:firstLineChars="200"/>
        <w:rPr>
          <w:rFonts w:hint="eastAsia" w:hAnsi="宋体" w:cs="宋体"/>
          <w:color w:val="auto"/>
          <w:sz w:val="24"/>
          <w:highlight w:val="none"/>
          <w:shd w:val="clear" w:color="auto" w:fill="auto"/>
        </w:rPr>
      </w:pPr>
      <w:r>
        <w:rPr>
          <w:rFonts w:hint="eastAsia" w:hAnsi="宋体" w:cs="宋体"/>
          <w:color w:val="auto"/>
          <w:sz w:val="24"/>
          <w:highlight w:val="none"/>
          <w:shd w:val="clear" w:color="auto" w:fill="auto"/>
        </w:rPr>
        <w:t>1、在合同有效期内，任何一方因不可抗力事件导致不能履行合同，则合同履行期可延长，其延长期与不可抗力影响期相同。</w:t>
      </w:r>
    </w:p>
    <w:p>
      <w:pPr>
        <w:tabs>
          <w:tab w:val="left" w:pos="0"/>
        </w:tabs>
        <w:spacing w:line="360" w:lineRule="auto"/>
        <w:ind w:firstLine="480" w:firstLineChars="200"/>
        <w:rPr>
          <w:rFonts w:hint="eastAsia" w:hAnsi="宋体" w:cs="宋体"/>
          <w:color w:val="auto"/>
          <w:sz w:val="24"/>
          <w:highlight w:val="none"/>
          <w:shd w:val="clear" w:color="auto" w:fill="auto"/>
        </w:rPr>
      </w:pPr>
      <w:r>
        <w:rPr>
          <w:rFonts w:hint="eastAsia" w:hAnsi="宋体" w:cs="宋体"/>
          <w:color w:val="auto"/>
          <w:sz w:val="24"/>
          <w:highlight w:val="none"/>
          <w:shd w:val="clear" w:color="auto" w:fill="auto"/>
        </w:rPr>
        <w:t>2、不可抗力事件发生后，应立即通知对方，并寄送有关权威机构出具的证明。</w:t>
      </w:r>
    </w:p>
    <w:p>
      <w:pPr>
        <w:tabs>
          <w:tab w:val="left" w:pos="0"/>
        </w:tabs>
        <w:spacing w:line="360" w:lineRule="auto"/>
        <w:ind w:firstLine="480" w:firstLineChars="200"/>
        <w:rPr>
          <w:rFonts w:hint="eastAsia" w:hAnsi="宋体" w:cs="宋体"/>
          <w:color w:val="auto"/>
          <w:sz w:val="24"/>
          <w:highlight w:val="none"/>
          <w:shd w:val="clear" w:color="auto" w:fill="auto"/>
        </w:rPr>
      </w:pPr>
      <w:r>
        <w:rPr>
          <w:rFonts w:hint="eastAsia" w:hAnsi="宋体" w:cs="宋体"/>
          <w:color w:val="auto"/>
          <w:sz w:val="24"/>
          <w:highlight w:val="none"/>
          <w:shd w:val="clear" w:color="auto" w:fill="auto"/>
        </w:rPr>
        <w:t>3、不可抗力事件延续XX天以上，双方应通过友好协商，确定是否继续履行合同。</w:t>
      </w:r>
    </w:p>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Pr>
        <w:widowControl/>
        <w:numPr>
          <w:ilvl w:val="0"/>
          <w:numId w:val="7"/>
        </w:numPr>
        <w:spacing w:line="360" w:lineRule="auto"/>
        <w:jc w:val="left"/>
        <w:rPr>
          <w:rFonts w:hint="eastAsia" w:hAnsi="宋体" w:cs="宋体"/>
          <w:b/>
          <w:color w:val="auto"/>
          <w:sz w:val="24"/>
          <w:highlight w:val="none"/>
          <w:shd w:val="clear" w:color="auto" w:fill="auto"/>
        </w:rPr>
      </w:pPr>
      <w:bookmarkStart w:id="422" w:name="_Toc211911353"/>
      <w:bookmarkStart w:id="423" w:name="_Toc232492933"/>
      <w:bookmarkStart w:id="424" w:name="_Toc211854454"/>
      <w:bookmarkStart w:id="425" w:name="_Toc238984980"/>
      <w:bookmarkStart w:id="426" w:name="_Toc286993792"/>
      <w:bookmarkStart w:id="427" w:name="_Toc239233919"/>
      <w:bookmarkStart w:id="428" w:name="_Toc185395254"/>
      <w:bookmarkStart w:id="429" w:name="_Toc251768867"/>
      <w:bookmarkStart w:id="430" w:name="_Toc247334846"/>
      <w:bookmarkStart w:id="431" w:name="_Toc212019599"/>
      <w:bookmarkStart w:id="432" w:name="_Toc225244857"/>
      <w:bookmarkStart w:id="433" w:name="_Toc239568423"/>
      <w:bookmarkStart w:id="434" w:name="_Toc225670756"/>
      <w:bookmarkStart w:id="435" w:name="_Toc225654649"/>
      <w:bookmarkStart w:id="436" w:name="_Toc241833908"/>
      <w:bookmarkStart w:id="437" w:name="_Toc237145411"/>
      <w:r>
        <w:rPr>
          <w:rFonts w:hint="eastAsia" w:hAnsi="宋体" w:cs="宋体"/>
          <w:b/>
          <w:color w:val="auto"/>
          <w:sz w:val="24"/>
          <w:highlight w:val="none"/>
          <w:shd w:val="clear" w:color="auto" w:fill="auto"/>
        </w:rPr>
        <w:t>解决合同纠纷的方式</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pPr>
        <w:tabs>
          <w:tab w:val="left" w:pos="0"/>
        </w:tabs>
        <w:spacing w:line="360" w:lineRule="auto"/>
        <w:ind w:firstLine="480" w:firstLineChars="200"/>
        <w:rPr>
          <w:rFonts w:hint="eastAsia" w:hAnsi="宋体" w:cs="宋体"/>
          <w:color w:val="auto"/>
          <w:sz w:val="24"/>
          <w:highlight w:val="none"/>
          <w:shd w:val="clear" w:color="auto" w:fill="auto"/>
        </w:rPr>
      </w:pPr>
      <w:r>
        <w:rPr>
          <w:rFonts w:hint="eastAsia" w:hAnsi="宋体" w:cs="宋体"/>
          <w:color w:val="auto"/>
          <w:sz w:val="24"/>
          <w:highlight w:val="none"/>
          <w:shd w:val="clear" w:color="auto" w:fill="auto"/>
        </w:rPr>
        <w:t>1、在执行本合同中发生的或与本合同有关的争端，双方应通过友好协商解决，经协商在XX天内不能达成协议时，应提交成都仲裁委员会仲裁。</w:t>
      </w:r>
    </w:p>
    <w:p>
      <w:pPr>
        <w:tabs>
          <w:tab w:val="left" w:pos="0"/>
        </w:tabs>
        <w:spacing w:line="360" w:lineRule="auto"/>
        <w:ind w:firstLine="480" w:firstLineChars="200"/>
        <w:rPr>
          <w:rFonts w:hint="eastAsia" w:hAnsi="宋体" w:cs="宋体"/>
          <w:color w:val="auto"/>
          <w:sz w:val="24"/>
          <w:highlight w:val="none"/>
          <w:shd w:val="clear" w:color="auto" w:fill="auto"/>
        </w:rPr>
      </w:pPr>
      <w:r>
        <w:rPr>
          <w:rFonts w:hint="eastAsia" w:hAnsi="宋体" w:cs="宋体"/>
          <w:color w:val="auto"/>
          <w:sz w:val="24"/>
          <w:highlight w:val="none"/>
          <w:shd w:val="clear" w:color="auto" w:fill="auto"/>
        </w:rPr>
        <w:t>2、仲裁裁决应为最终决定，并对双方具有约束力。</w:t>
      </w:r>
    </w:p>
    <w:p>
      <w:pPr>
        <w:tabs>
          <w:tab w:val="left" w:pos="0"/>
        </w:tabs>
        <w:spacing w:line="360" w:lineRule="auto"/>
        <w:ind w:firstLine="480" w:firstLineChars="200"/>
        <w:rPr>
          <w:rFonts w:hint="eastAsia" w:hAnsi="宋体" w:cs="宋体"/>
          <w:color w:val="auto"/>
          <w:sz w:val="24"/>
          <w:highlight w:val="none"/>
          <w:shd w:val="clear" w:color="auto" w:fill="auto"/>
        </w:rPr>
      </w:pPr>
      <w:r>
        <w:rPr>
          <w:rFonts w:hint="eastAsia" w:hAnsi="宋体" w:cs="宋体"/>
          <w:color w:val="auto"/>
          <w:sz w:val="24"/>
          <w:highlight w:val="none"/>
          <w:shd w:val="clear" w:color="auto" w:fill="auto"/>
        </w:rPr>
        <w:t xml:space="preserve">3、除另有裁决外，仲裁费应由败诉方负担。 </w:t>
      </w:r>
    </w:p>
    <w:p>
      <w:pPr>
        <w:tabs>
          <w:tab w:val="left" w:pos="0"/>
        </w:tabs>
        <w:spacing w:line="360" w:lineRule="auto"/>
        <w:ind w:firstLine="480" w:firstLineChars="200"/>
        <w:rPr>
          <w:rFonts w:hint="eastAsia" w:hAnsi="宋体" w:cs="宋体"/>
          <w:color w:val="auto"/>
          <w:sz w:val="24"/>
          <w:highlight w:val="none"/>
          <w:shd w:val="clear" w:color="auto" w:fill="auto"/>
        </w:rPr>
      </w:pPr>
      <w:r>
        <w:rPr>
          <w:rFonts w:hint="eastAsia" w:hAnsi="宋体" w:cs="宋体"/>
          <w:color w:val="auto"/>
          <w:sz w:val="24"/>
          <w:highlight w:val="none"/>
          <w:shd w:val="clear" w:color="auto" w:fill="auto"/>
        </w:rPr>
        <w:t xml:space="preserve">4、在仲裁期间，除正在进行仲裁部分外，合同其他部分继续执行。  </w:t>
      </w:r>
    </w:p>
    <w:p>
      <w:pPr>
        <w:widowControl/>
        <w:numPr>
          <w:ilvl w:val="0"/>
          <w:numId w:val="7"/>
        </w:numPr>
        <w:spacing w:line="360" w:lineRule="auto"/>
        <w:jc w:val="left"/>
        <w:rPr>
          <w:rFonts w:hint="eastAsia" w:hAnsi="宋体" w:cs="宋体"/>
          <w:b/>
          <w:color w:val="auto"/>
          <w:sz w:val="24"/>
          <w:highlight w:val="none"/>
          <w:shd w:val="clear" w:color="auto" w:fill="auto"/>
        </w:rPr>
      </w:pPr>
      <w:bookmarkStart w:id="438" w:name="_Toc247334847"/>
      <w:bookmarkStart w:id="439" w:name="_Toc239568424"/>
      <w:bookmarkStart w:id="440" w:name="_Toc241833909"/>
      <w:bookmarkStart w:id="441" w:name="_Toc237145412"/>
      <w:bookmarkStart w:id="442" w:name="_Toc251768868"/>
      <w:bookmarkStart w:id="443" w:name="_Toc225244858"/>
      <w:bookmarkStart w:id="444" w:name="_Toc286993793"/>
      <w:bookmarkStart w:id="445" w:name="_Toc225670757"/>
      <w:bookmarkStart w:id="446" w:name="_Toc232492934"/>
      <w:bookmarkStart w:id="447" w:name="_Toc185395255"/>
      <w:bookmarkStart w:id="448" w:name="_Toc282696231"/>
      <w:bookmarkStart w:id="449" w:name="_Toc212019600"/>
      <w:bookmarkStart w:id="450" w:name="_Toc211854455"/>
      <w:bookmarkStart w:id="451" w:name="_Toc283019219"/>
      <w:bookmarkStart w:id="452" w:name="_Toc225654650"/>
      <w:bookmarkStart w:id="453" w:name="_Toc238984981"/>
      <w:bookmarkStart w:id="454" w:name="_Toc211911354"/>
      <w:bookmarkStart w:id="455" w:name="_Toc239233920"/>
      <w:r>
        <w:rPr>
          <w:rFonts w:hint="eastAsia" w:hAnsi="宋体" w:cs="宋体"/>
          <w:b/>
          <w:color w:val="auto"/>
          <w:sz w:val="24"/>
          <w:highlight w:val="none"/>
          <w:shd w:val="clear" w:color="auto" w:fill="auto"/>
        </w:rPr>
        <w:t>合同</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Pr>
          <w:rFonts w:hint="eastAsia" w:hAnsi="宋体" w:cs="宋体"/>
          <w:b/>
          <w:color w:val="auto"/>
          <w:sz w:val="24"/>
          <w:highlight w:val="none"/>
          <w:shd w:val="clear" w:color="auto" w:fill="auto"/>
        </w:rPr>
        <w:t>生效及其他</w:t>
      </w:r>
    </w:p>
    <w:p>
      <w:pPr>
        <w:pStyle w:val="121"/>
        <w:spacing w:line="360" w:lineRule="auto"/>
        <w:ind w:firstLine="480"/>
        <w:rPr>
          <w:rFonts w:hint="eastAsia" w:ascii="宋体" w:hAnsi="宋体" w:cs="宋体"/>
          <w:color w:val="auto"/>
          <w:sz w:val="24"/>
          <w:szCs w:val="24"/>
          <w:highlight w:val="none"/>
          <w:shd w:val="clear" w:color="auto" w:fill="auto"/>
        </w:rPr>
      </w:pPr>
      <w:r>
        <w:rPr>
          <w:rFonts w:hint="eastAsia" w:ascii="宋体" w:hAnsi="宋体" w:cs="宋体"/>
          <w:color w:val="auto"/>
          <w:sz w:val="24"/>
          <w:szCs w:val="24"/>
          <w:highlight w:val="none"/>
          <w:shd w:val="clear" w:color="auto" w:fill="auto"/>
        </w:rPr>
        <w:t>1、合同经双方法定代表人或授权委托代理人签字并加盖单位公章后生效。</w:t>
      </w:r>
    </w:p>
    <w:p>
      <w:pPr>
        <w:pStyle w:val="121"/>
        <w:spacing w:line="360" w:lineRule="auto"/>
        <w:ind w:firstLine="480"/>
        <w:rPr>
          <w:rFonts w:hint="eastAsia" w:ascii="宋体" w:hAnsi="宋体" w:cs="宋体"/>
          <w:color w:val="auto"/>
          <w:sz w:val="24"/>
          <w:szCs w:val="24"/>
          <w:highlight w:val="none"/>
          <w:shd w:val="clear" w:color="auto" w:fill="auto"/>
        </w:rPr>
      </w:pPr>
      <w:r>
        <w:rPr>
          <w:rFonts w:hint="eastAsia" w:ascii="宋体" w:hAnsi="宋体" w:cs="宋体"/>
          <w:color w:val="auto"/>
          <w:sz w:val="24"/>
          <w:szCs w:val="24"/>
          <w:highlight w:val="none"/>
          <w:shd w:val="clear" w:color="auto" w:fill="auto"/>
        </w:rPr>
        <w:t>2、合同执行中涉及采购资金和采购内容修改或补充的，须经政府采购监管部门审批，并签书面补充协议报政府采购监督管理部门备案，方可作为主合同不可分割的一部分。</w:t>
      </w:r>
    </w:p>
    <w:p>
      <w:pPr>
        <w:pStyle w:val="121"/>
        <w:spacing w:line="360" w:lineRule="auto"/>
        <w:ind w:firstLine="480"/>
        <w:rPr>
          <w:rFonts w:hint="eastAsia" w:ascii="宋体" w:hAnsi="宋体" w:cs="宋体"/>
          <w:color w:val="auto"/>
          <w:sz w:val="24"/>
          <w:szCs w:val="24"/>
          <w:highlight w:val="none"/>
          <w:shd w:val="clear" w:color="auto" w:fill="auto"/>
        </w:rPr>
      </w:pPr>
      <w:r>
        <w:rPr>
          <w:rFonts w:hint="eastAsia" w:ascii="宋体" w:hAnsi="宋体" w:cs="宋体"/>
          <w:color w:val="auto"/>
          <w:sz w:val="24"/>
          <w:szCs w:val="24"/>
          <w:highlight w:val="none"/>
          <w:shd w:val="clear" w:color="auto" w:fill="auto"/>
        </w:rPr>
        <w:t>3、本合同一式XX份，自双方签章之日起起效。甲方XX份，乙方XX份，政府采购代理机构XX份，同级财政部门备案XX份，具有同等法律效力。</w:t>
      </w:r>
    </w:p>
    <w:p>
      <w:pPr>
        <w:widowControl/>
        <w:numPr>
          <w:ilvl w:val="0"/>
          <w:numId w:val="7"/>
        </w:numPr>
        <w:spacing w:line="360" w:lineRule="auto"/>
        <w:jc w:val="left"/>
        <w:rPr>
          <w:rFonts w:hint="eastAsia" w:hAnsi="宋体" w:cs="宋体"/>
          <w:b/>
          <w:color w:val="auto"/>
          <w:sz w:val="24"/>
          <w:highlight w:val="none"/>
          <w:shd w:val="clear" w:color="auto" w:fill="auto"/>
        </w:rPr>
      </w:pPr>
      <w:r>
        <w:rPr>
          <w:rFonts w:hint="eastAsia" w:hAnsi="宋体" w:cs="宋体"/>
          <w:b/>
          <w:color w:val="auto"/>
          <w:sz w:val="24"/>
          <w:highlight w:val="none"/>
          <w:shd w:val="clear" w:color="auto" w:fill="auto"/>
        </w:rPr>
        <w:t>附件</w:t>
      </w:r>
    </w:p>
    <w:p>
      <w:pPr>
        <w:pStyle w:val="121"/>
        <w:spacing w:line="360" w:lineRule="auto"/>
        <w:ind w:firstLine="480"/>
        <w:rPr>
          <w:rFonts w:hint="eastAsia" w:ascii="宋体" w:hAnsi="宋体" w:cs="宋体"/>
          <w:color w:val="auto"/>
          <w:sz w:val="24"/>
          <w:szCs w:val="24"/>
          <w:highlight w:val="none"/>
          <w:shd w:val="clear" w:color="auto" w:fill="auto"/>
        </w:rPr>
      </w:pPr>
      <w:r>
        <w:rPr>
          <w:rFonts w:hint="eastAsia" w:ascii="宋体" w:hAnsi="宋体" w:cs="宋体"/>
          <w:color w:val="auto"/>
          <w:sz w:val="24"/>
          <w:szCs w:val="24"/>
          <w:highlight w:val="none"/>
          <w:shd w:val="clear" w:color="auto" w:fill="auto"/>
        </w:rPr>
        <w:t>1、项目采购文件</w:t>
      </w:r>
    </w:p>
    <w:p>
      <w:pPr>
        <w:pStyle w:val="121"/>
        <w:spacing w:line="360" w:lineRule="auto"/>
        <w:ind w:firstLine="480"/>
        <w:rPr>
          <w:rFonts w:hint="eastAsia" w:ascii="宋体" w:hAnsi="宋体" w:cs="宋体"/>
          <w:color w:val="auto"/>
          <w:sz w:val="24"/>
          <w:szCs w:val="24"/>
          <w:highlight w:val="none"/>
          <w:shd w:val="clear" w:color="auto" w:fill="auto"/>
        </w:rPr>
      </w:pPr>
      <w:r>
        <w:rPr>
          <w:rFonts w:hint="eastAsia" w:ascii="宋体" w:hAnsi="宋体" w:cs="宋体"/>
          <w:color w:val="auto"/>
          <w:sz w:val="24"/>
          <w:szCs w:val="24"/>
          <w:highlight w:val="none"/>
          <w:shd w:val="clear" w:color="auto" w:fill="auto"/>
        </w:rPr>
        <w:t>2、项目修改澄清文件</w:t>
      </w:r>
      <w:r>
        <w:rPr>
          <w:rFonts w:hint="eastAsia" w:ascii="宋体" w:hAnsi="宋体" w:cs="宋体"/>
          <w:color w:val="auto"/>
          <w:sz w:val="24"/>
          <w:szCs w:val="24"/>
          <w:highlight w:val="none"/>
          <w:shd w:val="clear" w:color="auto" w:fill="auto"/>
          <w:lang w:eastAsia="zh-CN"/>
        </w:rPr>
        <w:t>（如有）</w:t>
      </w:r>
    </w:p>
    <w:p>
      <w:pPr>
        <w:pStyle w:val="121"/>
        <w:spacing w:line="360" w:lineRule="auto"/>
        <w:ind w:firstLine="480"/>
        <w:rPr>
          <w:rFonts w:hint="eastAsia" w:ascii="宋体" w:hAnsi="宋体" w:cs="宋体"/>
          <w:color w:val="auto"/>
          <w:sz w:val="24"/>
          <w:szCs w:val="24"/>
          <w:highlight w:val="none"/>
          <w:shd w:val="clear" w:color="auto" w:fill="auto"/>
        </w:rPr>
      </w:pPr>
      <w:r>
        <w:rPr>
          <w:rFonts w:hint="eastAsia" w:ascii="宋体" w:hAnsi="宋体" w:cs="宋体"/>
          <w:color w:val="auto"/>
          <w:sz w:val="24"/>
          <w:szCs w:val="24"/>
          <w:highlight w:val="none"/>
          <w:shd w:val="clear" w:color="auto" w:fill="auto"/>
        </w:rPr>
        <w:t>3、项目报价文件</w:t>
      </w:r>
    </w:p>
    <w:p>
      <w:pPr>
        <w:pStyle w:val="121"/>
        <w:spacing w:line="360" w:lineRule="auto"/>
        <w:ind w:firstLine="480"/>
        <w:rPr>
          <w:rFonts w:hint="eastAsia" w:ascii="宋体" w:hAnsi="宋体" w:cs="宋体"/>
          <w:color w:val="auto"/>
          <w:sz w:val="24"/>
          <w:szCs w:val="24"/>
          <w:highlight w:val="none"/>
          <w:shd w:val="clear" w:color="auto" w:fill="auto"/>
        </w:rPr>
      </w:pPr>
      <w:r>
        <w:rPr>
          <w:rFonts w:hint="eastAsia" w:ascii="宋体" w:hAnsi="宋体" w:cs="宋体"/>
          <w:color w:val="auto"/>
          <w:sz w:val="24"/>
          <w:szCs w:val="24"/>
          <w:highlight w:val="none"/>
          <w:shd w:val="clear" w:color="auto" w:fill="auto"/>
        </w:rPr>
        <w:t>4、成交通知书</w:t>
      </w:r>
    </w:p>
    <w:p>
      <w:pPr>
        <w:pStyle w:val="121"/>
        <w:spacing w:line="360" w:lineRule="auto"/>
        <w:ind w:firstLine="480"/>
        <w:rPr>
          <w:rFonts w:hint="eastAsia" w:hAnsi="宋体" w:cs="宋体"/>
          <w:color w:val="auto"/>
          <w:sz w:val="24"/>
          <w:highlight w:val="none"/>
          <w:shd w:val="clear" w:color="auto" w:fill="auto"/>
        </w:rPr>
      </w:pPr>
      <w:r>
        <w:rPr>
          <w:rFonts w:hint="eastAsia" w:ascii="宋体" w:hAnsi="宋体" w:cs="宋体"/>
          <w:color w:val="auto"/>
          <w:sz w:val="24"/>
          <w:szCs w:val="24"/>
          <w:highlight w:val="none"/>
          <w:shd w:val="clear" w:color="auto" w:fill="auto"/>
        </w:rPr>
        <w:t>5、其他</w:t>
      </w:r>
    </w:p>
    <w:p>
      <w:pPr>
        <w:spacing w:line="360" w:lineRule="auto"/>
        <w:ind w:firstLine="480" w:firstLineChars="200"/>
        <w:rPr>
          <w:rFonts w:hint="eastAsia" w:hAnsi="宋体" w:cs="宋体"/>
          <w:color w:val="auto"/>
          <w:sz w:val="24"/>
          <w:highlight w:val="none"/>
          <w:shd w:val="clear" w:color="auto" w:fill="auto"/>
        </w:rPr>
      </w:pPr>
      <w:r>
        <w:rPr>
          <w:rFonts w:hint="eastAsia" w:hAnsi="宋体" w:cs="宋体"/>
          <w:color w:val="auto"/>
          <w:sz w:val="24"/>
          <w:highlight w:val="none"/>
          <w:shd w:val="clear" w:color="auto" w:fill="auto"/>
        </w:rPr>
        <w:t xml:space="preserve">甲方：   （盖章）   </w:t>
      </w:r>
      <w:r>
        <w:rPr>
          <w:rFonts w:hint="eastAsia" w:hAnsi="宋体" w:cs="宋体"/>
          <w:color w:val="auto"/>
          <w:sz w:val="24"/>
          <w:highlight w:val="none"/>
          <w:shd w:val="clear" w:color="auto" w:fill="auto"/>
        </w:rPr>
        <w:tab/>
      </w:r>
      <w:r>
        <w:rPr>
          <w:rFonts w:hint="eastAsia" w:hAnsi="宋体" w:cs="宋体"/>
          <w:color w:val="auto"/>
          <w:sz w:val="24"/>
          <w:highlight w:val="none"/>
          <w:shd w:val="clear" w:color="auto" w:fill="auto"/>
        </w:rPr>
        <w:tab/>
      </w:r>
      <w:r>
        <w:rPr>
          <w:rFonts w:hint="eastAsia" w:hAnsi="宋体" w:cs="宋体"/>
          <w:color w:val="auto"/>
          <w:sz w:val="24"/>
          <w:highlight w:val="none"/>
          <w:shd w:val="clear" w:color="auto" w:fill="auto"/>
        </w:rPr>
        <w:tab/>
      </w:r>
      <w:r>
        <w:rPr>
          <w:rFonts w:hint="eastAsia" w:hAnsi="宋体" w:cs="宋体"/>
          <w:color w:val="auto"/>
          <w:sz w:val="24"/>
          <w:highlight w:val="none"/>
          <w:shd w:val="clear" w:color="auto" w:fill="auto"/>
        </w:rPr>
        <w:t xml:space="preserve">       乙方：   （盖章）</w:t>
      </w:r>
    </w:p>
    <w:p>
      <w:pPr>
        <w:spacing w:line="360" w:lineRule="auto"/>
        <w:ind w:firstLine="480" w:firstLineChars="200"/>
        <w:rPr>
          <w:rFonts w:hint="eastAsia" w:hAnsi="宋体" w:cs="宋体"/>
          <w:color w:val="auto"/>
          <w:sz w:val="24"/>
          <w:highlight w:val="none"/>
          <w:shd w:val="clear" w:color="auto" w:fill="auto"/>
        </w:rPr>
      </w:pPr>
      <w:r>
        <w:rPr>
          <w:rFonts w:hint="eastAsia" w:hAnsi="宋体" w:cs="宋体"/>
          <w:color w:val="auto"/>
          <w:sz w:val="24"/>
          <w:highlight w:val="none"/>
          <w:shd w:val="clear" w:color="auto" w:fill="auto"/>
        </w:rPr>
        <w:t>法定代表人（授权代表）：            法定代表人（授权代表）：</w:t>
      </w:r>
    </w:p>
    <w:p>
      <w:pPr>
        <w:spacing w:line="360" w:lineRule="auto"/>
        <w:ind w:firstLine="480" w:firstLineChars="200"/>
        <w:rPr>
          <w:rFonts w:hint="eastAsia" w:hAnsi="宋体" w:cs="宋体"/>
          <w:color w:val="auto"/>
          <w:sz w:val="24"/>
          <w:highlight w:val="none"/>
          <w:shd w:val="clear" w:color="auto" w:fill="auto"/>
        </w:rPr>
      </w:pPr>
      <w:r>
        <w:rPr>
          <w:rFonts w:hint="eastAsia" w:hAnsi="宋体" w:cs="宋体"/>
          <w:color w:val="auto"/>
          <w:sz w:val="24"/>
          <w:highlight w:val="none"/>
          <w:shd w:val="clear" w:color="auto" w:fill="auto"/>
        </w:rPr>
        <w:t>地    址：                         地    址：</w:t>
      </w:r>
    </w:p>
    <w:p>
      <w:pPr>
        <w:spacing w:line="360" w:lineRule="auto"/>
        <w:ind w:firstLine="480" w:firstLineChars="200"/>
        <w:rPr>
          <w:rFonts w:hint="eastAsia" w:hAnsi="宋体" w:cs="宋体"/>
          <w:color w:val="auto"/>
          <w:sz w:val="24"/>
          <w:highlight w:val="none"/>
          <w:shd w:val="clear" w:color="auto" w:fill="auto"/>
        </w:rPr>
      </w:pPr>
      <w:r>
        <w:rPr>
          <w:rFonts w:hint="eastAsia" w:hAnsi="宋体" w:cs="宋体"/>
          <w:color w:val="auto"/>
          <w:sz w:val="24"/>
          <w:highlight w:val="none"/>
          <w:shd w:val="clear" w:color="auto" w:fill="auto"/>
        </w:rPr>
        <w:t>开户银行：                         开户银行：</w:t>
      </w:r>
    </w:p>
    <w:p>
      <w:pPr>
        <w:spacing w:line="360" w:lineRule="auto"/>
        <w:ind w:firstLine="480" w:firstLineChars="200"/>
        <w:rPr>
          <w:rFonts w:hint="eastAsia" w:hAnsi="宋体" w:cs="宋体"/>
          <w:color w:val="auto"/>
          <w:sz w:val="24"/>
          <w:highlight w:val="none"/>
          <w:shd w:val="clear" w:color="auto" w:fill="auto"/>
        </w:rPr>
      </w:pPr>
      <w:r>
        <w:rPr>
          <w:rFonts w:hint="eastAsia" w:hAnsi="宋体" w:cs="宋体"/>
          <w:color w:val="auto"/>
          <w:sz w:val="24"/>
          <w:highlight w:val="none"/>
          <w:shd w:val="clear" w:color="auto" w:fill="auto"/>
        </w:rPr>
        <w:t>账号：                             账号：</w:t>
      </w:r>
    </w:p>
    <w:p>
      <w:pPr>
        <w:pStyle w:val="121"/>
        <w:spacing w:line="360" w:lineRule="auto"/>
        <w:ind w:firstLine="480"/>
        <w:rPr>
          <w:rFonts w:hint="eastAsia" w:ascii="宋体" w:hAnsi="宋体" w:cs="宋体"/>
          <w:color w:val="auto"/>
          <w:sz w:val="24"/>
          <w:szCs w:val="24"/>
          <w:highlight w:val="none"/>
          <w:shd w:val="clear" w:color="auto" w:fill="auto"/>
        </w:rPr>
      </w:pPr>
      <w:r>
        <w:rPr>
          <w:rFonts w:hint="eastAsia" w:ascii="宋体" w:hAnsi="宋体" w:cs="宋体"/>
          <w:color w:val="auto"/>
          <w:sz w:val="24"/>
          <w:szCs w:val="24"/>
          <w:highlight w:val="none"/>
          <w:shd w:val="clear" w:color="auto" w:fill="auto"/>
        </w:rPr>
        <w:t>电    话：                         电    话：</w:t>
      </w:r>
    </w:p>
    <w:p>
      <w:pPr>
        <w:pStyle w:val="121"/>
        <w:spacing w:line="360" w:lineRule="auto"/>
        <w:ind w:firstLine="480"/>
        <w:rPr>
          <w:rFonts w:hint="eastAsia" w:ascii="宋体" w:hAnsi="宋体" w:cs="宋体"/>
          <w:color w:val="auto"/>
          <w:sz w:val="24"/>
          <w:szCs w:val="24"/>
          <w:highlight w:val="none"/>
          <w:shd w:val="clear" w:color="auto" w:fill="auto"/>
        </w:rPr>
      </w:pPr>
      <w:r>
        <w:rPr>
          <w:rFonts w:hint="eastAsia" w:ascii="宋体" w:hAnsi="宋体" w:cs="宋体"/>
          <w:color w:val="auto"/>
          <w:sz w:val="24"/>
          <w:szCs w:val="24"/>
          <w:highlight w:val="none"/>
          <w:shd w:val="clear" w:color="auto" w:fill="auto"/>
        </w:rPr>
        <w:t>传    真：                         传    真：</w:t>
      </w:r>
    </w:p>
    <w:p>
      <w:pPr>
        <w:spacing w:line="360" w:lineRule="auto"/>
        <w:ind w:firstLine="420" w:firstLineChars="175"/>
        <w:jc w:val="left"/>
        <w:outlineLvl w:val="0"/>
        <w:rPr>
          <w:rFonts w:hint="eastAsia" w:hAnsi="宋体" w:cs="宋体"/>
          <w:color w:val="auto"/>
          <w:sz w:val="24"/>
          <w:highlight w:val="none"/>
          <w:shd w:val="clear" w:color="auto" w:fill="auto"/>
        </w:rPr>
      </w:pPr>
      <w:bookmarkStart w:id="456" w:name="_Toc6086"/>
      <w:r>
        <w:rPr>
          <w:rFonts w:hint="eastAsia" w:hAnsi="宋体" w:cs="宋体"/>
          <w:color w:val="auto"/>
          <w:sz w:val="24"/>
          <w:highlight w:val="none"/>
          <w:shd w:val="clear" w:color="auto" w:fill="auto"/>
        </w:rPr>
        <w:t xml:space="preserve">签约日期：XX年XX月XX日 </w:t>
      </w:r>
      <w:r>
        <w:rPr>
          <w:rFonts w:hint="eastAsia" w:hAnsi="宋体" w:cs="宋体"/>
          <w:color w:val="auto"/>
          <w:sz w:val="24"/>
          <w:highlight w:val="none"/>
          <w:shd w:val="clear" w:color="auto" w:fill="auto"/>
        </w:rPr>
        <w:tab/>
      </w:r>
      <w:r>
        <w:rPr>
          <w:rFonts w:hint="eastAsia" w:hAnsi="宋体" w:cs="宋体"/>
          <w:color w:val="auto"/>
          <w:sz w:val="24"/>
          <w:highlight w:val="none"/>
          <w:shd w:val="clear" w:color="auto" w:fill="auto"/>
        </w:rPr>
        <w:tab/>
      </w:r>
      <w:r>
        <w:rPr>
          <w:rFonts w:hint="eastAsia" w:hAnsi="宋体" w:cs="宋体"/>
          <w:color w:val="auto"/>
          <w:sz w:val="24"/>
          <w:highlight w:val="none"/>
          <w:shd w:val="clear" w:color="auto" w:fill="auto"/>
        </w:rPr>
        <w:tab/>
      </w:r>
      <w:r>
        <w:rPr>
          <w:rFonts w:hint="eastAsia" w:hAnsi="宋体" w:cs="宋体"/>
          <w:color w:val="auto"/>
          <w:sz w:val="24"/>
          <w:highlight w:val="none"/>
          <w:shd w:val="clear" w:color="auto" w:fill="auto"/>
        </w:rPr>
        <w:t>签约日期：XX年XX月XX日</w:t>
      </w:r>
      <w:bookmarkEnd w:id="456"/>
    </w:p>
    <w:p>
      <w:pPr>
        <w:pStyle w:val="26"/>
        <w:snapToGrid w:val="0"/>
        <w:spacing w:line="360" w:lineRule="auto"/>
        <w:ind w:firstLine="480" w:firstLineChars="200"/>
        <w:rPr>
          <w:rFonts w:hAnsi="宋体"/>
          <w:color w:val="auto"/>
          <w:sz w:val="24"/>
          <w:szCs w:val="24"/>
        </w:rPr>
      </w:pPr>
    </w:p>
    <w:p>
      <w:pPr>
        <w:spacing w:line="360" w:lineRule="auto"/>
        <w:ind w:firstLine="482" w:firstLineChars="200"/>
        <w:rPr>
          <w:rFonts w:hAnsi="宋体"/>
          <w:b/>
          <w:bCs/>
          <w:color w:val="auto"/>
          <w:sz w:val="24"/>
          <w:szCs w:val="24"/>
        </w:rPr>
      </w:pPr>
    </w:p>
    <w:p>
      <w:pPr>
        <w:spacing w:line="360" w:lineRule="auto"/>
        <w:ind w:firstLine="482" w:firstLineChars="200"/>
        <w:rPr>
          <w:rFonts w:hAnsi="宋体"/>
          <w:color w:val="auto"/>
          <w:sz w:val="24"/>
          <w:szCs w:val="24"/>
        </w:rPr>
      </w:pPr>
      <w:r>
        <w:rPr>
          <w:rFonts w:hint="eastAsia" w:hAnsi="宋体"/>
          <w:b/>
          <w:bCs/>
          <w:color w:val="auto"/>
          <w:sz w:val="24"/>
          <w:szCs w:val="24"/>
        </w:rPr>
        <w:t>注：其他合同专用条款在合同签定时另行约定。</w:t>
      </w:r>
      <w:bookmarkStart w:id="457" w:name="_Toc462929219"/>
      <w:bookmarkStart w:id="458" w:name="_Toc430773965"/>
      <w:r>
        <w:rPr>
          <w:rFonts w:hAnsi="宋体"/>
          <w:color w:val="auto"/>
          <w:sz w:val="24"/>
          <w:szCs w:val="24"/>
        </w:rPr>
        <w:br w:type="page"/>
      </w:r>
    </w:p>
    <w:p>
      <w:pPr>
        <w:pStyle w:val="3"/>
        <w:spacing w:before="0" w:after="0" w:line="360" w:lineRule="auto"/>
        <w:rPr>
          <w:color w:val="auto"/>
        </w:rPr>
      </w:pPr>
      <w:bookmarkStart w:id="459" w:name="_Toc7613"/>
      <w:r>
        <w:rPr>
          <w:rFonts w:hint="eastAsia"/>
          <w:color w:val="auto"/>
        </w:rPr>
        <w:t>第十四部分  采购项目履约验收标准和要求</w:t>
      </w:r>
      <w:bookmarkEnd w:id="457"/>
      <w:bookmarkEnd w:id="459"/>
    </w:p>
    <w:p>
      <w:pPr>
        <w:spacing w:line="360" w:lineRule="auto"/>
        <w:rPr>
          <w:color w:val="auto"/>
        </w:rPr>
      </w:pPr>
    </w:p>
    <w:p>
      <w:pPr>
        <w:spacing w:line="360" w:lineRule="auto"/>
        <w:ind w:firstLine="480" w:firstLineChars="200"/>
        <w:rPr>
          <w:rFonts w:hAnsi="宋体"/>
          <w:color w:val="auto"/>
          <w:sz w:val="24"/>
        </w:rPr>
      </w:pPr>
      <w:bookmarkStart w:id="460" w:name="_Toc217446071"/>
      <w:r>
        <w:rPr>
          <w:rFonts w:hint="eastAsia" w:hAnsi="宋体"/>
          <w:color w:val="auto"/>
          <w:sz w:val="24"/>
        </w:rPr>
        <w:t>成交供应商与采购人应严格按照四川省财政厅《四川省政府采购项目需求论证和履约验收管理办法》（川财采〔2015〕32号）的要求进行验收。</w:t>
      </w:r>
      <w:bookmarkEnd w:id="460"/>
    </w:p>
    <w:p>
      <w:pPr>
        <w:spacing w:line="360" w:lineRule="auto"/>
        <w:ind w:firstLine="480" w:firstLineChars="200"/>
        <w:rPr>
          <w:rFonts w:hint="eastAsia" w:hAnsi="宋体"/>
          <w:color w:val="auto"/>
          <w:sz w:val="24"/>
        </w:rPr>
      </w:pPr>
      <w:r>
        <w:rPr>
          <w:rFonts w:hint="eastAsia" w:hAnsi="宋体"/>
          <w:color w:val="auto"/>
          <w:sz w:val="24"/>
        </w:rPr>
        <w:t>验收结果合格的，成交供应商凭“验收结果”办理履约保证金的退付手续；验收结果不合格的，履约保证金将不予退还，也将不予支付采购资金，还可能会报本项目同级财政部门按照政府采购法律法规及《四川省政府采购当事人诚信管理办法》（川财采〔2015〕33号）等有关规定给予行政处罚或者以失信行为记入诚信档案。</w:t>
      </w:r>
      <w:bookmarkEnd w:id="458"/>
    </w:p>
    <w:p>
      <w:pPr>
        <w:spacing w:line="360" w:lineRule="auto"/>
        <w:ind w:firstLine="480" w:firstLineChars="200"/>
        <w:rPr>
          <w:rFonts w:hint="eastAsia" w:hAnsi="宋体"/>
          <w:color w:val="auto"/>
          <w:sz w:val="24"/>
        </w:rPr>
      </w:pPr>
      <w:r>
        <w:rPr>
          <w:rFonts w:hint="eastAsia" w:hAnsi="宋体"/>
          <w:color w:val="auto"/>
          <w:sz w:val="24"/>
        </w:rPr>
        <w:br w:type="page"/>
      </w:r>
    </w:p>
    <w:p>
      <w:pPr>
        <w:spacing w:line="360" w:lineRule="auto"/>
        <w:ind w:firstLine="683" w:firstLineChars="200"/>
        <w:jc w:val="center"/>
        <w:outlineLvl w:val="0"/>
        <w:rPr>
          <w:rFonts w:hint="eastAsia" w:hAnsi="宋体"/>
          <w:b/>
          <w:bCs/>
          <w:color w:val="auto"/>
          <w:sz w:val="24"/>
        </w:rPr>
      </w:pPr>
      <w:bookmarkStart w:id="461" w:name="_Toc18736"/>
      <w:bookmarkStart w:id="462" w:name="_Toc8430"/>
      <w:r>
        <w:rPr>
          <w:rFonts w:hint="eastAsia"/>
          <w:b/>
          <w:bCs/>
          <w:color w:val="auto"/>
          <w:szCs w:val="32"/>
          <w:highlight w:val="none"/>
        </w:rPr>
        <w:t>第十五部分  保证金退还申请表(参考格式)</w:t>
      </w:r>
      <w:bookmarkEnd w:id="461"/>
      <w:bookmarkEnd w:id="462"/>
    </w:p>
    <w:p>
      <w:pPr>
        <w:spacing w:line="360" w:lineRule="auto"/>
        <w:ind w:firstLine="480" w:firstLineChars="200"/>
        <w:rPr>
          <w:rFonts w:hint="eastAsia" w:hAnsi="宋体"/>
          <w:color w:val="auto"/>
          <w:sz w:val="24"/>
        </w:rPr>
      </w:pPr>
    </w:p>
    <w:tbl>
      <w:tblPr>
        <w:tblStyle w:val="55"/>
        <w:tblW w:w="95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2"/>
        <w:gridCol w:w="7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trPr>
        <w:tc>
          <w:tcPr>
            <w:tcW w:w="2242" w:type="dxa"/>
            <w:vAlign w:val="center"/>
          </w:tcPr>
          <w:p>
            <w:pPr>
              <w:spacing w:line="360" w:lineRule="auto"/>
              <w:jc w:val="center"/>
              <w:rPr>
                <w:rFonts w:hint="eastAsia" w:hAnsi="宋体"/>
                <w:color w:val="auto"/>
                <w:kern w:val="2"/>
                <w:sz w:val="24"/>
                <w:szCs w:val="24"/>
                <w:highlight w:val="none"/>
              </w:rPr>
            </w:pPr>
            <w:r>
              <w:rPr>
                <w:rFonts w:hint="eastAsia" w:hAnsi="宋体"/>
                <w:color w:val="auto"/>
                <w:kern w:val="2"/>
                <w:sz w:val="24"/>
                <w:szCs w:val="24"/>
                <w:highlight w:val="none"/>
              </w:rPr>
              <w:t>申请单位名称</w:t>
            </w:r>
          </w:p>
        </w:tc>
        <w:tc>
          <w:tcPr>
            <w:tcW w:w="7328" w:type="dxa"/>
            <w:vAlign w:val="center"/>
          </w:tcPr>
          <w:p>
            <w:pPr>
              <w:spacing w:line="360" w:lineRule="auto"/>
              <w:jc w:val="center"/>
              <w:rPr>
                <w:rFonts w:hint="eastAsia" w:hAnsi="宋体"/>
                <w:color w:val="auto"/>
                <w:kern w:val="2"/>
                <w:sz w:val="24"/>
                <w:szCs w:val="24"/>
                <w:highlight w:val="none"/>
              </w:rPr>
            </w:pPr>
            <w:r>
              <w:rPr>
                <w:rFonts w:hint="eastAsia" w:hAnsi="宋体"/>
                <w:color w:val="auto"/>
                <w:kern w:val="2"/>
                <w:sz w:val="24"/>
                <w:szCs w:val="24"/>
                <w:highlight w:val="none"/>
              </w:rPr>
              <w:t xml:space="preserve">                                             （加盖公章）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2242" w:type="dxa"/>
            <w:vAlign w:val="center"/>
          </w:tcPr>
          <w:p>
            <w:pPr>
              <w:spacing w:line="360" w:lineRule="auto"/>
              <w:jc w:val="center"/>
              <w:rPr>
                <w:rFonts w:hint="eastAsia" w:hAnsi="宋体"/>
                <w:color w:val="auto"/>
                <w:kern w:val="2"/>
                <w:sz w:val="24"/>
                <w:szCs w:val="24"/>
                <w:highlight w:val="none"/>
              </w:rPr>
            </w:pPr>
            <w:r>
              <w:rPr>
                <w:rFonts w:hint="eastAsia" w:hAnsi="宋体"/>
                <w:color w:val="auto"/>
                <w:kern w:val="2"/>
                <w:sz w:val="24"/>
                <w:szCs w:val="24"/>
                <w:highlight w:val="none"/>
              </w:rPr>
              <w:t>项目名称</w:t>
            </w:r>
          </w:p>
        </w:tc>
        <w:tc>
          <w:tcPr>
            <w:tcW w:w="7328" w:type="dxa"/>
            <w:vAlign w:val="center"/>
          </w:tcPr>
          <w:p>
            <w:pPr>
              <w:spacing w:line="360" w:lineRule="auto"/>
              <w:jc w:val="center"/>
              <w:rPr>
                <w:rFonts w:hint="eastAsia" w:hAnsi="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trPr>
        <w:tc>
          <w:tcPr>
            <w:tcW w:w="2242" w:type="dxa"/>
            <w:vAlign w:val="center"/>
          </w:tcPr>
          <w:p>
            <w:pPr>
              <w:spacing w:line="360" w:lineRule="auto"/>
              <w:jc w:val="center"/>
              <w:rPr>
                <w:rFonts w:hint="eastAsia" w:hAnsi="宋体"/>
                <w:color w:val="auto"/>
                <w:kern w:val="2"/>
                <w:sz w:val="24"/>
                <w:szCs w:val="24"/>
                <w:highlight w:val="none"/>
              </w:rPr>
            </w:pPr>
            <w:r>
              <w:rPr>
                <w:rFonts w:hint="eastAsia" w:hAnsi="宋体"/>
                <w:color w:val="auto"/>
                <w:kern w:val="2"/>
                <w:sz w:val="24"/>
                <w:szCs w:val="24"/>
                <w:highlight w:val="none"/>
              </w:rPr>
              <w:t>项目编号</w:t>
            </w:r>
          </w:p>
        </w:tc>
        <w:tc>
          <w:tcPr>
            <w:tcW w:w="7328" w:type="dxa"/>
            <w:vAlign w:val="center"/>
          </w:tcPr>
          <w:p>
            <w:pPr>
              <w:spacing w:line="360" w:lineRule="auto"/>
              <w:jc w:val="center"/>
              <w:rPr>
                <w:rFonts w:hint="eastAsia" w:hAnsi="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trPr>
        <w:tc>
          <w:tcPr>
            <w:tcW w:w="2242" w:type="dxa"/>
            <w:vAlign w:val="center"/>
          </w:tcPr>
          <w:p>
            <w:pPr>
              <w:spacing w:line="360" w:lineRule="auto"/>
              <w:jc w:val="center"/>
              <w:rPr>
                <w:rFonts w:hint="eastAsia" w:hAnsi="宋体"/>
                <w:color w:val="auto"/>
                <w:kern w:val="2"/>
                <w:sz w:val="24"/>
                <w:szCs w:val="24"/>
                <w:highlight w:val="none"/>
              </w:rPr>
            </w:pPr>
            <w:r>
              <w:rPr>
                <w:rFonts w:hint="eastAsia" w:hAnsi="宋体"/>
                <w:color w:val="auto"/>
                <w:kern w:val="2"/>
                <w:sz w:val="24"/>
                <w:szCs w:val="24"/>
                <w:highlight w:val="none"/>
              </w:rPr>
              <w:t>开标日期</w:t>
            </w:r>
          </w:p>
        </w:tc>
        <w:tc>
          <w:tcPr>
            <w:tcW w:w="7328" w:type="dxa"/>
            <w:vAlign w:val="center"/>
          </w:tcPr>
          <w:p>
            <w:pPr>
              <w:spacing w:line="360" w:lineRule="auto"/>
              <w:jc w:val="center"/>
              <w:rPr>
                <w:rFonts w:hint="eastAsia" w:hAnsi="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2242" w:type="dxa"/>
            <w:vAlign w:val="center"/>
          </w:tcPr>
          <w:p>
            <w:pPr>
              <w:spacing w:line="360" w:lineRule="auto"/>
              <w:jc w:val="center"/>
              <w:rPr>
                <w:rFonts w:hint="eastAsia" w:hAnsi="宋体"/>
                <w:color w:val="auto"/>
                <w:kern w:val="2"/>
                <w:sz w:val="24"/>
                <w:szCs w:val="24"/>
                <w:highlight w:val="none"/>
              </w:rPr>
            </w:pPr>
            <w:r>
              <w:rPr>
                <w:rFonts w:hint="eastAsia" w:hAnsi="宋体"/>
                <w:color w:val="auto"/>
                <w:kern w:val="2"/>
                <w:sz w:val="24"/>
                <w:szCs w:val="24"/>
                <w:highlight w:val="none"/>
              </w:rPr>
              <w:t>保证金交纳金额</w:t>
            </w:r>
          </w:p>
        </w:tc>
        <w:tc>
          <w:tcPr>
            <w:tcW w:w="7328" w:type="dxa"/>
            <w:vAlign w:val="center"/>
          </w:tcPr>
          <w:p>
            <w:pPr>
              <w:spacing w:line="360" w:lineRule="auto"/>
              <w:jc w:val="center"/>
              <w:rPr>
                <w:rFonts w:hint="eastAsia" w:hAnsi="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2242" w:type="dxa"/>
            <w:vMerge w:val="restart"/>
            <w:vAlign w:val="center"/>
          </w:tcPr>
          <w:p>
            <w:pPr>
              <w:spacing w:line="360" w:lineRule="auto"/>
              <w:jc w:val="center"/>
              <w:rPr>
                <w:rFonts w:hint="eastAsia" w:hAnsi="宋体"/>
                <w:color w:val="auto"/>
                <w:kern w:val="2"/>
                <w:sz w:val="24"/>
                <w:szCs w:val="24"/>
                <w:highlight w:val="none"/>
              </w:rPr>
            </w:pPr>
            <w:r>
              <w:rPr>
                <w:rFonts w:hint="eastAsia" w:hAnsi="宋体"/>
                <w:color w:val="auto"/>
                <w:kern w:val="2"/>
                <w:sz w:val="24"/>
                <w:szCs w:val="24"/>
                <w:highlight w:val="none"/>
              </w:rPr>
              <w:t>应退保证金金额</w:t>
            </w:r>
          </w:p>
        </w:tc>
        <w:tc>
          <w:tcPr>
            <w:tcW w:w="7328" w:type="dxa"/>
            <w:vAlign w:val="center"/>
          </w:tcPr>
          <w:p>
            <w:pPr>
              <w:spacing w:line="360" w:lineRule="auto"/>
              <w:rPr>
                <w:rFonts w:hint="eastAsia" w:hAnsi="宋体"/>
                <w:color w:val="auto"/>
                <w:kern w:val="2"/>
                <w:sz w:val="24"/>
                <w:szCs w:val="24"/>
                <w:highlight w:val="none"/>
              </w:rPr>
            </w:pPr>
            <w:r>
              <w:rPr>
                <w:rFonts w:hint="eastAsia" w:hAnsi="宋体"/>
                <w:color w:val="auto"/>
                <w:kern w:val="2"/>
                <w:sz w:val="24"/>
                <w:szCs w:val="24"/>
                <w:highlight w:val="none"/>
              </w:rPr>
              <w:t xml:space="preserve">大写：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2242" w:type="dxa"/>
            <w:vMerge w:val="continue"/>
            <w:vAlign w:val="center"/>
          </w:tcPr>
          <w:p>
            <w:pPr>
              <w:spacing w:line="360" w:lineRule="auto"/>
              <w:jc w:val="center"/>
              <w:rPr>
                <w:rFonts w:hint="eastAsia" w:hAnsi="宋体"/>
                <w:color w:val="auto"/>
                <w:kern w:val="2"/>
                <w:sz w:val="24"/>
                <w:szCs w:val="24"/>
                <w:highlight w:val="none"/>
              </w:rPr>
            </w:pPr>
          </w:p>
        </w:tc>
        <w:tc>
          <w:tcPr>
            <w:tcW w:w="7328" w:type="dxa"/>
            <w:vAlign w:val="center"/>
          </w:tcPr>
          <w:p>
            <w:pPr>
              <w:spacing w:line="360" w:lineRule="auto"/>
              <w:rPr>
                <w:rFonts w:hint="eastAsia" w:hAnsi="宋体"/>
                <w:color w:val="auto"/>
                <w:kern w:val="2"/>
                <w:sz w:val="24"/>
                <w:szCs w:val="24"/>
                <w:highlight w:val="none"/>
              </w:rPr>
            </w:pPr>
            <w:r>
              <w:rPr>
                <w:rFonts w:hint="eastAsia" w:hAnsi="宋体"/>
                <w:color w:val="auto"/>
                <w:kern w:val="2"/>
                <w:sz w:val="24"/>
                <w:szCs w:val="24"/>
                <w:highlight w:val="none"/>
              </w:rPr>
              <w:t xml:space="preserve">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3" w:hRule="atLeast"/>
        </w:trPr>
        <w:tc>
          <w:tcPr>
            <w:tcW w:w="2242" w:type="dxa"/>
            <w:vAlign w:val="center"/>
          </w:tcPr>
          <w:p>
            <w:pPr>
              <w:spacing w:line="360" w:lineRule="auto"/>
              <w:jc w:val="center"/>
              <w:rPr>
                <w:rFonts w:hint="eastAsia" w:hAnsi="宋体"/>
                <w:color w:val="auto"/>
                <w:kern w:val="2"/>
                <w:sz w:val="24"/>
                <w:szCs w:val="24"/>
                <w:highlight w:val="none"/>
              </w:rPr>
            </w:pPr>
            <w:r>
              <w:rPr>
                <w:rFonts w:hint="eastAsia" w:hAnsi="宋体"/>
                <w:color w:val="auto"/>
                <w:kern w:val="2"/>
                <w:sz w:val="24"/>
                <w:szCs w:val="24"/>
                <w:highlight w:val="none"/>
              </w:rPr>
              <w:t>退款原因</w:t>
            </w:r>
          </w:p>
        </w:tc>
        <w:tc>
          <w:tcPr>
            <w:tcW w:w="7328" w:type="dxa"/>
            <w:vAlign w:val="top"/>
          </w:tcPr>
          <w:p>
            <w:pPr>
              <w:tabs>
                <w:tab w:val="left" w:pos="360"/>
              </w:tabs>
              <w:spacing w:line="360" w:lineRule="auto"/>
              <w:rPr>
                <w:rFonts w:hint="eastAsia" w:hAnsi="宋体"/>
                <w:color w:val="auto"/>
                <w:kern w:val="2"/>
                <w:sz w:val="24"/>
                <w:szCs w:val="24"/>
                <w:highlight w:val="none"/>
              </w:rPr>
            </w:pPr>
            <w:r>
              <w:rPr>
                <w:rFonts w:hint="eastAsia" w:hAnsi="宋体"/>
                <w:color w:val="auto"/>
                <w:kern w:val="2"/>
                <w:sz w:val="24"/>
                <w:szCs w:val="24"/>
                <w:highlight w:val="none"/>
              </w:rPr>
              <w:t>1.未成交（未成交）及未成交（未成交）包号：</w:t>
            </w:r>
          </w:p>
          <w:p>
            <w:pPr>
              <w:tabs>
                <w:tab w:val="left" w:pos="360"/>
              </w:tabs>
              <w:spacing w:line="360" w:lineRule="auto"/>
              <w:ind w:right="-452" w:rightChars="-133"/>
              <w:rPr>
                <w:rFonts w:hint="eastAsia" w:hAnsi="宋体"/>
                <w:color w:val="auto"/>
                <w:kern w:val="2"/>
                <w:sz w:val="24"/>
                <w:szCs w:val="24"/>
                <w:highlight w:val="none"/>
              </w:rPr>
            </w:pPr>
            <w:r>
              <w:rPr>
                <w:rFonts w:hint="eastAsia" w:hAnsi="宋体"/>
                <w:color w:val="auto"/>
                <w:kern w:val="2"/>
                <w:sz w:val="24"/>
                <w:szCs w:val="24"/>
                <w:highlight w:val="none"/>
              </w:rPr>
              <w:t>2.成交（成交）及成交（成交）包号：</w:t>
            </w:r>
          </w:p>
          <w:p>
            <w:pPr>
              <w:tabs>
                <w:tab w:val="left" w:pos="360"/>
              </w:tabs>
              <w:spacing w:line="360" w:lineRule="auto"/>
              <w:rPr>
                <w:rFonts w:hint="eastAsia" w:hAnsi="宋体"/>
                <w:color w:val="auto"/>
                <w:kern w:val="2"/>
                <w:sz w:val="24"/>
                <w:szCs w:val="24"/>
                <w:highlight w:val="none"/>
              </w:rPr>
            </w:pPr>
            <w:r>
              <w:rPr>
                <w:rFonts w:hint="eastAsia" w:hAnsi="宋体"/>
                <w:color w:val="auto"/>
                <w:kern w:val="2"/>
                <w:sz w:val="24"/>
                <w:szCs w:val="24"/>
                <w:highlight w:val="none"/>
              </w:rPr>
              <w:t>3.其他情况：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trPr>
        <w:tc>
          <w:tcPr>
            <w:tcW w:w="2242" w:type="dxa"/>
            <w:vAlign w:val="center"/>
          </w:tcPr>
          <w:p>
            <w:pPr>
              <w:spacing w:line="360" w:lineRule="auto"/>
              <w:jc w:val="center"/>
              <w:rPr>
                <w:rFonts w:hint="eastAsia" w:hAnsi="宋体"/>
                <w:color w:val="auto"/>
                <w:kern w:val="2"/>
                <w:sz w:val="24"/>
                <w:szCs w:val="24"/>
                <w:highlight w:val="none"/>
              </w:rPr>
            </w:pPr>
            <w:r>
              <w:rPr>
                <w:rFonts w:hint="eastAsia" w:hAnsi="宋体"/>
                <w:color w:val="auto"/>
                <w:kern w:val="2"/>
                <w:sz w:val="24"/>
                <w:szCs w:val="24"/>
                <w:highlight w:val="none"/>
              </w:rPr>
              <w:t>收款单位名称</w:t>
            </w:r>
          </w:p>
        </w:tc>
        <w:tc>
          <w:tcPr>
            <w:tcW w:w="7328" w:type="dxa"/>
            <w:vAlign w:val="top"/>
          </w:tcPr>
          <w:p>
            <w:pPr>
              <w:spacing w:line="360" w:lineRule="auto"/>
              <w:rPr>
                <w:rFonts w:hint="eastAsia" w:hAnsi="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2242" w:type="dxa"/>
            <w:vAlign w:val="center"/>
          </w:tcPr>
          <w:p>
            <w:pPr>
              <w:spacing w:line="360" w:lineRule="auto"/>
              <w:jc w:val="center"/>
              <w:rPr>
                <w:rFonts w:hint="eastAsia" w:hAnsi="宋体"/>
                <w:color w:val="auto"/>
                <w:kern w:val="2"/>
                <w:sz w:val="24"/>
                <w:szCs w:val="24"/>
                <w:highlight w:val="none"/>
              </w:rPr>
            </w:pPr>
            <w:r>
              <w:rPr>
                <w:rFonts w:hint="eastAsia" w:hAnsi="宋体"/>
                <w:color w:val="auto"/>
                <w:kern w:val="2"/>
                <w:sz w:val="24"/>
                <w:szCs w:val="24"/>
                <w:highlight w:val="none"/>
              </w:rPr>
              <w:t>收款单位开户银行</w:t>
            </w:r>
          </w:p>
        </w:tc>
        <w:tc>
          <w:tcPr>
            <w:tcW w:w="7328" w:type="dxa"/>
            <w:vAlign w:val="top"/>
          </w:tcPr>
          <w:p>
            <w:pPr>
              <w:spacing w:line="360" w:lineRule="auto"/>
              <w:rPr>
                <w:rFonts w:hint="eastAsia" w:hAnsi="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trPr>
        <w:tc>
          <w:tcPr>
            <w:tcW w:w="2242" w:type="dxa"/>
            <w:vAlign w:val="center"/>
          </w:tcPr>
          <w:p>
            <w:pPr>
              <w:spacing w:line="360" w:lineRule="auto"/>
              <w:jc w:val="center"/>
              <w:rPr>
                <w:rFonts w:hint="eastAsia" w:hAnsi="宋体"/>
                <w:color w:val="auto"/>
                <w:kern w:val="2"/>
                <w:sz w:val="24"/>
                <w:szCs w:val="24"/>
                <w:highlight w:val="none"/>
              </w:rPr>
            </w:pPr>
            <w:r>
              <w:rPr>
                <w:rFonts w:hint="eastAsia" w:hAnsi="宋体"/>
                <w:color w:val="auto"/>
                <w:kern w:val="2"/>
                <w:sz w:val="24"/>
                <w:szCs w:val="24"/>
                <w:highlight w:val="none"/>
              </w:rPr>
              <w:t>收款单位账号</w:t>
            </w:r>
          </w:p>
        </w:tc>
        <w:tc>
          <w:tcPr>
            <w:tcW w:w="7328" w:type="dxa"/>
            <w:vAlign w:val="top"/>
          </w:tcPr>
          <w:p>
            <w:pPr>
              <w:spacing w:line="360" w:lineRule="auto"/>
              <w:rPr>
                <w:rFonts w:hint="eastAsia" w:hAnsi="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trPr>
        <w:tc>
          <w:tcPr>
            <w:tcW w:w="2242" w:type="dxa"/>
            <w:vAlign w:val="center"/>
          </w:tcPr>
          <w:p>
            <w:pPr>
              <w:spacing w:line="360" w:lineRule="auto"/>
              <w:jc w:val="center"/>
              <w:rPr>
                <w:rFonts w:hint="eastAsia" w:hAnsi="宋体"/>
                <w:color w:val="auto"/>
                <w:kern w:val="2"/>
                <w:sz w:val="24"/>
                <w:szCs w:val="24"/>
                <w:highlight w:val="none"/>
              </w:rPr>
            </w:pPr>
            <w:r>
              <w:rPr>
                <w:rFonts w:hint="eastAsia" w:hAnsi="宋体"/>
                <w:color w:val="auto"/>
                <w:kern w:val="2"/>
                <w:sz w:val="24"/>
                <w:szCs w:val="24"/>
                <w:highlight w:val="none"/>
              </w:rPr>
              <w:t>收款单位联系方式</w:t>
            </w:r>
          </w:p>
        </w:tc>
        <w:tc>
          <w:tcPr>
            <w:tcW w:w="7328" w:type="dxa"/>
            <w:vAlign w:val="top"/>
          </w:tcPr>
          <w:p>
            <w:pPr>
              <w:spacing w:line="360" w:lineRule="auto"/>
              <w:rPr>
                <w:rFonts w:hint="eastAsia" w:hAnsi="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2242" w:type="dxa"/>
            <w:vMerge w:val="restart"/>
            <w:vAlign w:val="center"/>
          </w:tcPr>
          <w:p>
            <w:pPr>
              <w:spacing w:line="360" w:lineRule="auto"/>
              <w:jc w:val="center"/>
              <w:rPr>
                <w:rFonts w:hint="eastAsia" w:hAnsi="宋体"/>
                <w:color w:val="auto"/>
                <w:kern w:val="2"/>
                <w:sz w:val="24"/>
                <w:szCs w:val="24"/>
                <w:highlight w:val="none"/>
              </w:rPr>
            </w:pPr>
            <w:r>
              <w:rPr>
                <w:rFonts w:hint="eastAsia" w:hAnsi="宋体"/>
                <w:color w:val="auto"/>
                <w:kern w:val="2"/>
                <w:sz w:val="24"/>
                <w:szCs w:val="24"/>
                <w:highlight w:val="none"/>
              </w:rPr>
              <w:t>采购代理机构审核</w:t>
            </w:r>
          </w:p>
        </w:tc>
        <w:tc>
          <w:tcPr>
            <w:tcW w:w="7328" w:type="dxa"/>
            <w:vAlign w:val="center"/>
          </w:tcPr>
          <w:p>
            <w:pPr>
              <w:spacing w:line="360" w:lineRule="auto"/>
              <w:rPr>
                <w:rFonts w:hint="eastAsia" w:hAnsi="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2242" w:type="dxa"/>
            <w:vMerge w:val="continue"/>
            <w:vAlign w:val="top"/>
          </w:tcPr>
          <w:p>
            <w:pPr>
              <w:spacing w:line="360" w:lineRule="auto"/>
              <w:rPr>
                <w:rFonts w:hint="eastAsia" w:hAnsi="宋体"/>
                <w:color w:val="auto"/>
                <w:kern w:val="2"/>
                <w:sz w:val="24"/>
                <w:szCs w:val="24"/>
                <w:highlight w:val="none"/>
              </w:rPr>
            </w:pPr>
          </w:p>
        </w:tc>
        <w:tc>
          <w:tcPr>
            <w:tcW w:w="7328" w:type="dxa"/>
            <w:vAlign w:val="center"/>
          </w:tcPr>
          <w:p>
            <w:pPr>
              <w:spacing w:line="360" w:lineRule="auto"/>
              <w:rPr>
                <w:rFonts w:hint="eastAsia" w:hAnsi="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2242" w:type="dxa"/>
            <w:vMerge w:val="continue"/>
            <w:vAlign w:val="top"/>
          </w:tcPr>
          <w:p>
            <w:pPr>
              <w:spacing w:line="360" w:lineRule="auto"/>
              <w:rPr>
                <w:rFonts w:hint="eastAsia" w:hAnsi="宋体"/>
                <w:color w:val="auto"/>
                <w:kern w:val="2"/>
                <w:sz w:val="24"/>
                <w:szCs w:val="24"/>
                <w:highlight w:val="none"/>
              </w:rPr>
            </w:pPr>
          </w:p>
        </w:tc>
        <w:tc>
          <w:tcPr>
            <w:tcW w:w="7328" w:type="dxa"/>
            <w:vAlign w:val="center"/>
          </w:tcPr>
          <w:p>
            <w:pPr>
              <w:spacing w:line="360" w:lineRule="auto"/>
              <w:rPr>
                <w:rFonts w:hint="eastAsia" w:hAnsi="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2242" w:type="dxa"/>
            <w:vMerge w:val="continue"/>
            <w:vAlign w:val="top"/>
          </w:tcPr>
          <w:p>
            <w:pPr>
              <w:spacing w:line="360" w:lineRule="auto"/>
              <w:rPr>
                <w:rFonts w:hint="eastAsia" w:hAnsi="宋体"/>
                <w:color w:val="auto"/>
                <w:kern w:val="2"/>
                <w:sz w:val="24"/>
                <w:szCs w:val="24"/>
                <w:highlight w:val="none"/>
              </w:rPr>
            </w:pPr>
          </w:p>
        </w:tc>
        <w:tc>
          <w:tcPr>
            <w:tcW w:w="7328" w:type="dxa"/>
            <w:vAlign w:val="center"/>
          </w:tcPr>
          <w:p>
            <w:pPr>
              <w:spacing w:line="360" w:lineRule="auto"/>
              <w:rPr>
                <w:rFonts w:hint="eastAsia" w:hAnsi="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8" w:hRule="atLeast"/>
        </w:trPr>
        <w:tc>
          <w:tcPr>
            <w:tcW w:w="9570" w:type="dxa"/>
            <w:gridSpan w:val="2"/>
            <w:vAlign w:val="top"/>
          </w:tcPr>
          <w:p>
            <w:pPr>
              <w:spacing w:line="360" w:lineRule="auto"/>
              <w:rPr>
                <w:rFonts w:hint="eastAsia" w:hAnsi="宋体"/>
                <w:color w:val="auto"/>
                <w:kern w:val="2"/>
                <w:sz w:val="24"/>
                <w:szCs w:val="24"/>
                <w:highlight w:val="none"/>
              </w:rPr>
            </w:pPr>
            <w:r>
              <w:rPr>
                <w:rFonts w:hint="eastAsia" w:hAnsi="宋体"/>
                <w:color w:val="auto"/>
                <w:kern w:val="2"/>
                <w:sz w:val="24"/>
                <w:szCs w:val="24"/>
                <w:highlight w:val="none"/>
              </w:rPr>
              <w:t>注：</w:t>
            </w:r>
          </w:p>
          <w:p>
            <w:pPr>
              <w:spacing w:line="360" w:lineRule="auto"/>
              <w:jc w:val="left"/>
              <w:rPr>
                <w:rFonts w:hint="eastAsia" w:hAnsi="宋体"/>
                <w:color w:val="auto"/>
                <w:kern w:val="2"/>
                <w:sz w:val="24"/>
                <w:szCs w:val="24"/>
                <w:highlight w:val="none"/>
              </w:rPr>
            </w:pPr>
            <w:r>
              <w:rPr>
                <w:rFonts w:hint="eastAsia" w:hAnsi="宋体"/>
                <w:color w:val="auto"/>
                <w:kern w:val="2"/>
                <w:sz w:val="24"/>
                <w:szCs w:val="24"/>
                <w:highlight w:val="none"/>
              </w:rPr>
              <w:t xml:space="preserve">1.申请退款单位须提供原保证金交款、转账、汇款凭证（原件或复印件）。                                        </w:t>
            </w:r>
          </w:p>
          <w:p>
            <w:pPr>
              <w:spacing w:line="360" w:lineRule="auto"/>
              <w:jc w:val="left"/>
              <w:rPr>
                <w:rFonts w:hint="eastAsia" w:hAnsi="宋体"/>
                <w:color w:val="auto"/>
                <w:kern w:val="2"/>
                <w:sz w:val="24"/>
                <w:szCs w:val="24"/>
                <w:highlight w:val="none"/>
              </w:rPr>
            </w:pPr>
            <w:r>
              <w:rPr>
                <w:rFonts w:hint="eastAsia" w:hAnsi="宋体"/>
                <w:color w:val="auto"/>
                <w:kern w:val="2"/>
                <w:sz w:val="24"/>
                <w:szCs w:val="24"/>
                <w:highlight w:val="none"/>
              </w:rPr>
              <w:t>2.本表仅用于成交供应商（供应商）退还保证金时使用。</w:t>
            </w:r>
          </w:p>
          <w:p>
            <w:pPr>
              <w:spacing w:line="360" w:lineRule="auto"/>
              <w:jc w:val="left"/>
              <w:rPr>
                <w:rFonts w:hint="eastAsia" w:hAnsi="宋体"/>
                <w:bCs/>
                <w:color w:val="auto"/>
                <w:sz w:val="24"/>
                <w:szCs w:val="24"/>
                <w:highlight w:val="none"/>
              </w:rPr>
            </w:pPr>
            <w:r>
              <w:rPr>
                <w:rFonts w:hint="eastAsia" w:hAnsi="宋体"/>
                <w:bCs/>
                <w:color w:val="auto"/>
                <w:sz w:val="24"/>
                <w:szCs w:val="24"/>
                <w:highlight w:val="none"/>
              </w:rPr>
              <w:t>3.请成交供应商在递交响应文件的同时向代理机构工作人员单独递交本表，以便尽快退还投标公司的保证金。（退还的原因可暂不填写）</w:t>
            </w:r>
          </w:p>
        </w:tc>
      </w:tr>
    </w:tbl>
    <w:p>
      <w:pPr>
        <w:spacing w:line="360" w:lineRule="auto"/>
        <w:ind w:firstLine="480" w:firstLineChars="200"/>
        <w:rPr>
          <w:rFonts w:hint="eastAsia" w:hAnsi="宋体"/>
          <w:color w:val="auto"/>
          <w:sz w:val="24"/>
        </w:rPr>
      </w:pPr>
    </w:p>
    <w:p>
      <w:pPr>
        <w:spacing w:line="360" w:lineRule="auto"/>
        <w:ind w:firstLine="480" w:firstLineChars="200"/>
        <w:rPr>
          <w:rFonts w:hint="eastAsia" w:hAnsi="宋体"/>
          <w:color w:val="auto"/>
          <w:sz w:val="24"/>
        </w:rPr>
      </w:pPr>
    </w:p>
    <w:sectPr>
      <w:pgSz w:w="11906" w:h="16838"/>
      <w:pgMar w:top="1440" w:right="1797" w:bottom="1440" w:left="1797" w:header="851" w:footer="992" w:gutter="0"/>
      <w:paperSrc/>
      <w:pgNumType w:fmt="decimal"/>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仿宋_GB2312">
    <w:altName w:val="仿宋"/>
    <w:panose1 w:val="00000000000000000000"/>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华文中宋">
    <w:altName w:val="宋体"/>
    <w:panose1 w:val="02010600040101010101"/>
    <w:charset w:val="86"/>
    <w:family w:val="auto"/>
    <w:pitch w:val="default"/>
    <w:sig w:usb0="00000000" w:usb1="00000000" w:usb2="00000000" w:usb3="00000000" w:csb0="0004009F" w:csb1="DFD70000"/>
  </w:font>
  <w:font w:name="新宋体">
    <w:panose1 w:val="02010609030101010101"/>
    <w:charset w:val="86"/>
    <w:family w:val="modern"/>
    <w:pitch w:val="default"/>
    <w:sig w:usb0="00000003" w:usb1="288F0000" w:usb2="00000006" w:usb3="00000000" w:csb0="00040001" w:csb1="00000000"/>
  </w:font>
  <w:font w:name="Times New (W1)">
    <w:altName w:val="Times New Roman"/>
    <w:panose1 w:val="00000000000000000000"/>
    <w:charset w:val="00"/>
    <w:family w:val="roman"/>
    <w:pitch w:val="default"/>
    <w:sig w:usb0="00000000" w:usb1="00000000" w:usb2="00000008" w:usb3="00000000" w:csb0="000001FF" w:csb1="00000000"/>
  </w:font>
  <w:font w:name="Arial Narrow">
    <w:altName w:val="Arial"/>
    <w:panose1 w:val="020B0606020202030204"/>
    <w:charset w:val="00"/>
    <w:family w:val="swiss"/>
    <w:pitch w:val="default"/>
    <w:sig w:usb0="00000000" w:usb1="00000000" w:usb2="00000000" w:usb3="00000000" w:csb0="2000009F" w:csb1="DFD70000"/>
  </w:font>
  <w:font w:name="楷体à.ā">
    <w:altName w:val="黑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rPr>
        <w:rFonts w:hint="eastAsia"/>
        <w:lang w:val="en-US" w:eastAsia="zh-CN"/>
      </w:rPr>
    </w:pPr>
    <w:r>
      <w:rPr>
        <w:rFonts w:hint="eastAsia"/>
        <w:lang w:val="en-US" w:eastAsia="zh-CN"/>
      </w:rPr>
      <w:t>电 话：0832-5816789、0832-5816866</w:t>
    </w:r>
  </w:p>
  <w:p>
    <w:pPr>
      <w:pStyle w:val="31"/>
    </w:pPr>
    <w:r>
      <w:rPr>
        <w:sz w:val="18"/>
      </w:rPr>
      <mc:AlternateContent>
        <mc:Choice Requires="wps">
          <w:drawing>
            <wp:anchor distT="0" distB="0" distL="114300" distR="114300" simplePos="0" relativeHeight="251664384" behindDoc="0" locked="0" layoutInCell="1" allowOverlap="1">
              <wp:simplePos x="0" y="0"/>
              <wp:positionH relativeFrom="margin">
                <wp:posOffset>2607310</wp:posOffset>
              </wp:positionH>
              <wp:positionV relativeFrom="paragraph">
                <wp:posOffset>33020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05.3pt;margin-top:2.6pt;height:144pt;width:144pt;mso-position-horizontal-relative:margin;mso-wrap-style:none;z-index:251664384;mso-width-relative:page;mso-height-relative:page;" filled="f" stroked="f" coordsize="21600,21600" o:gfxdata="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c2lQr9YAAAAJAQAADwAAAAAAAAAB&#10;ACAAAAAiAAAAZHJzL2Rvd25yZXYueG1sUEsBAhQAFAAAAAgAh07iQErbzf8SAgAAEwQAAA4AAAAA&#10;AAAAAQAgAAAAJQEAAGRycy9lMm9Eb2MueG1sUEsFBgAAAAAGAAYAWQEAAKkFAAAAAA==&#10;">
              <v:fill on="f" focussize="0,0"/>
              <v:stroke on="f" weight="0.5pt"/>
              <v:imagedata o:title=""/>
              <o:lock v:ext="edit" aspectratio="f"/>
              <v:textbox inset="0mm,0mm,0mm,0mm" style="mso-fit-shape-to-text:t;">
                <w:txbxContent>
                  <w:p>
                    <w:pPr>
                      <w:pStyle w:val="3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r>
      <w:rPr>
        <w:rFonts w:hint="eastAsia"/>
        <w:lang w:val="en-US" w:eastAsia="zh-CN"/>
      </w:rPr>
      <w:t>地 址：威远县二环路西南段265号</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rPr>
        <w:rFonts w:hint="eastAsia"/>
        <w:lang w:val="en-US" w:eastAsia="zh-CN"/>
      </w:rPr>
    </w:pPr>
    <w:r>
      <w:rPr>
        <w:rFonts w:hint="eastAsia"/>
        <w:lang w:val="en-US" w:eastAsia="zh-CN"/>
      </w:rPr>
      <w:t>电 话：0832-5816789、0832-5816866</w:t>
    </w:r>
  </w:p>
  <w:p>
    <w:pPr>
      <w:pStyle w:val="31"/>
    </w:pPr>
    <w:r>
      <w:rPr>
        <w:sz w:val="18"/>
      </w:rPr>
      <mc:AlternateContent>
        <mc:Choice Requires="wps">
          <w:drawing>
            <wp:anchor distT="0" distB="0" distL="114300" distR="114300" simplePos="0" relativeHeight="251665408" behindDoc="0" locked="0" layoutInCell="1" allowOverlap="1">
              <wp:simplePos x="0" y="0"/>
              <wp:positionH relativeFrom="margin">
                <wp:posOffset>2578735</wp:posOffset>
              </wp:positionH>
              <wp:positionV relativeFrom="paragraph">
                <wp:posOffset>13970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03.05pt;margin-top:1.1pt;height:144pt;width:144pt;mso-position-horizontal-relative:margin;mso-wrap-style:none;z-index:251665408;mso-width-relative:page;mso-height-relative:page;" filled="f" stroked="f" coordsize="21600,21600" o:gfxdata="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iQp091QAAAAkBAAAPAAAAAAAA&#10;AAEAIAAAACIAAABkcnMvZG93bnJldi54bWxQSwECFAAUAAAACACHTuJAm9IMLxUCAAATBAAADgAA&#10;AAAAAAABACAAAAAkAQAAZHJzL2Uyb0RvYy54bWxQSwUGAAAAAAYABgBZAQAAqwUAAAAA&#10;">
              <v:fill on="f" focussize="0,0"/>
              <v:stroke on="f" weight="0.5pt"/>
              <v:imagedata o:title=""/>
              <o:lock v:ext="edit" aspectratio="f"/>
              <v:textbox inset="0mm,0mm,0mm,0mm" style="mso-fit-shape-to-text:t;">
                <w:txbxContent>
                  <w:p>
                    <w:pPr>
                      <w:pStyle w:val="3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lang w:val="en-US" w:eastAsia="zh-CN"/>
      </w:rPr>
      <w:t>地 址：威远县二环路西南段265号</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rPr>
        <w:rFonts w:hint="eastAsia"/>
        <w:lang w:val="en-US" w:eastAsia="zh-CN"/>
      </w:rP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3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21</w:t>
                    </w:r>
                    <w:r>
                      <w:rPr>
                        <w:rFonts w:hint="eastAsia"/>
                        <w:lang w:eastAsia="zh-CN"/>
                      </w:rPr>
                      <w:fldChar w:fldCharType="end"/>
                    </w:r>
                  </w:p>
                </w:txbxContent>
              </v:textbox>
            </v:shape>
          </w:pict>
        </mc:Fallback>
      </mc:AlternateContent>
    </w:r>
    <w:r>
      <w:rPr>
        <w:rFonts w:hint="eastAsia"/>
        <w:lang w:val="en-US" w:eastAsia="zh-CN"/>
      </w:rPr>
      <w:t>电 话：0832-5816789、0832-5816866</w:t>
    </w:r>
  </w:p>
  <w:p>
    <w:pPr>
      <w:pStyle w:val="31"/>
    </w:pPr>
    <w:r>
      <w:rPr>
        <w:rFonts w:hint="eastAsia"/>
        <w:lang w:val="en-US" w:eastAsia="zh-CN"/>
      </w:rPr>
      <w:t>地 址：威远县二环路西南段265号</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single" w:color="auto" w:sz="6" w:space="0"/>
      </w:pBdr>
      <w:jc w:val="both"/>
    </w:pPr>
    <w:r>
      <w:rPr>
        <w:rFonts w:hint="eastAsia"/>
      </w:rPr>
      <w:drawing>
        <wp:inline distT="0" distB="0" distL="0" distR="0">
          <wp:extent cx="5915025" cy="247650"/>
          <wp:effectExtent l="19050" t="0" r="9525" b="0"/>
          <wp:docPr id="63" name="图片 6" descr="五洲4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6" descr="五洲4224"/>
                  <pic:cNvPicPr>
                    <a:picLocks noChangeAspect="1" noChangeArrowheads="1"/>
                  </pic:cNvPicPr>
                </pic:nvPicPr>
                <pic:blipFill>
                  <a:blip r:embed="rId1"/>
                  <a:srcRect/>
                  <a:stretch>
                    <a:fillRect/>
                  </a:stretch>
                </pic:blipFill>
                <pic:spPr>
                  <a:xfrm>
                    <a:off x="0" y="0"/>
                    <a:ext cx="5915025" cy="2476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r>
      <w:rPr>
        <w:rFonts w:hint="eastAsia"/>
      </w:rPr>
      <w:t>成都市地方税务局信息系统2008年度运行维护项目单一来源政府采购—采购文件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kinsoku/>
      <w:wordWrap/>
      <w:overflowPunct/>
      <w:topLinePunct w:val="0"/>
      <w:autoSpaceDE/>
      <w:autoSpaceDN/>
      <w:bidi w:val="0"/>
      <w:adjustRightInd/>
      <w:snapToGrid/>
      <w:spacing w:line="240" w:lineRule="atLeast"/>
      <w:ind w:right="0" w:rightChars="0" w:firstLine="680" w:firstLineChars="200"/>
      <w:jc w:val="both"/>
      <w:textAlignment w:val="auto"/>
      <w:outlineLvl w:val="9"/>
      <w:rPr>
        <w:rFonts w:hint="eastAsia" w:ascii="微软雅黑" w:hAnsi="微软雅黑" w:eastAsia="微软雅黑" w:cs="微软雅黑"/>
        <w:b/>
        <w:bCs/>
        <w:sz w:val="16"/>
        <w:szCs w:val="20"/>
        <w:lang w:eastAsia="zh-CN"/>
      </w:rPr>
    </w:pPr>
    <w:r>
      <w:drawing>
        <wp:anchor distT="0" distB="0" distL="114935" distR="114935" simplePos="0" relativeHeight="251660288" behindDoc="1" locked="0" layoutInCell="1" allowOverlap="1">
          <wp:simplePos x="0" y="0"/>
          <wp:positionH relativeFrom="column">
            <wp:posOffset>86995</wp:posOffset>
          </wp:positionH>
          <wp:positionV relativeFrom="page">
            <wp:posOffset>575945</wp:posOffset>
          </wp:positionV>
          <wp:extent cx="283210" cy="274320"/>
          <wp:effectExtent l="0" t="0" r="2540" b="1143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a:stretch>
                    <a:fillRect/>
                  </a:stretch>
                </pic:blipFill>
                <pic:spPr>
                  <a:xfrm>
                    <a:off x="0" y="0"/>
                    <a:ext cx="283210" cy="274320"/>
                  </a:xfrm>
                  <a:prstGeom prst="rect">
                    <a:avLst/>
                  </a:prstGeom>
                  <a:noFill/>
                  <a:ln w="9525">
                    <a:noFill/>
                  </a:ln>
                </pic:spPr>
              </pic:pic>
            </a:graphicData>
          </a:graphic>
        </wp:anchor>
      </w:drawing>
    </w:r>
    <w:r>
      <w:rPr>
        <w:rFonts w:hint="eastAsia" w:ascii="微软雅黑" w:hAnsi="微软雅黑" w:eastAsia="微软雅黑" w:cs="微软雅黑"/>
        <w:b/>
        <w:bCs/>
        <w:sz w:val="16"/>
        <w:szCs w:val="20"/>
        <w:lang w:eastAsia="zh-CN"/>
      </w:rPr>
      <w:t>四</w:t>
    </w:r>
    <w:r>
      <w:rPr>
        <w:rFonts w:hint="eastAsia" w:ascii="微软雅黑" w:hAnsi="微软雅黑" w:eastAsia="微软雅黑" w:cs="微软雅黑"/>
        <w:b/>
        <w:bCs/>
        <w:sz w:val="16"/>
        <w:szCs w:val="20"/>
        <w:lang w:val="en-US" w:eastAsia="zh-CN"/>
      </w:rPr>
      <w:t xml:space="preserve"> </w:t>
    </w:r>
    <w:r>
      <w:rPr>
        <w:rFonts w:hint="eastAsia" w:ascii="微软雅黑" w:hAnsi="微软雅黑" w:eastAsia="微软雅黑" w:cs="微软雅黑"/>
        <w:b/>
        <w:bCs/>
        <w:sz w:val="16"/>
        <w:szCs w:val="20"/>
        <w:lang w:eastAsia="zh-CN"/>
      </w:rPr>
      <w:t>川</w:t>
    </w:r>
    <w:r>
      <w:rPr>
        <w:rFonts w:hint="eastAsia" w:ascii="微软雅黑" w:hAnsi="微软雅黑" w:eastAsia="微软雅黑" w:cs="微软雅黑"/>
        <w:b/>
        <w:bCs/>
        <w:sz w:val="16"/>
        <w:szCs w:val="20"/>
        <w:lang w:val="en-US" w:eastAsia="zh-CN"/>
      </w:rPr>
      <w:t xml:space="preserve"> </w:t>
    </w:r>
    <w:r>
      <w:rPr>
        <w:rFonts w:hint="eastAsia" w:ascii="微软雅黑" w:hAnsi="微软雅黑" w:eastAsia="微软雅黑" w:cs="微软雅黑"/>
        <w:b/>
        <w:bCs/>
        <w:sz w:val="16"/>
        <w:szCs w:val="20"/>
        <w:lang w:eastAsia="zh-CN"/>
      </w:rPr>
      <w:t>利</w:t>
    </w:r>
    <w:r>
      <w:rPr>
        <w:rFonts w:hint="eastAsia" w:ascii="微软雅黑" w:hAnsi="微软雅黑" w:eastAsia="微软雅黑" w:cs="微软雅黑"/>
        <w:b/>
        <w:bCs/>
        <w:sz w:val="16"/>
        <w:szCs w:val="20"/>
        <w:lang w:val="en-US" w:eastAsia="zh-CN"/>
      </w:rPr>
      <w:t xml:space="preserve"> </w:t>
    </w:r>
    <w:r>
      <w:rPr>
        <w:rFonts w:hint="eastAsia" w:ascii="微软雅黑" w:hAnsi="微软雅黑" w:eastAsia="微软雅黑" w:cs="微软雅黑"/>
        <w:b/>
        <w:bCs/>
        <w:sz w:val="16"/>
        <w:szCs w:val="20"/>
        <w:lang w:eastAsia="zh-CN"/>
      </w:rPr>
      <w:t>阳</w:t>
    </w:r>
    <w:r>
      <w:rPr>
        <w:rFonts w:hint="eastAsia" w:ascii="微软雅黑" w:hAnsi="微软雅黑" w:eastAsia="微软雅黑" w:cs="微软雅黑"/>
        <w:b/>
        <w:bCs/>
        <w:sz w:val="16"/>
        <w:szCs w:val="20"/>
        <w:lang w:val="en-US" w:eastAsia="zh-CN"/>
      </w:rPr>
      <w:t xml:space="preserve"> </w:t>
    </w:r>
    <w:r>
      <w:rPr>
        <w:rFonts w:hint="eastAsia" w:ascii="微软雅黑" w:hAnsi="微软雅黑" w:eastAsia="微软雅黑" w:cs="微软雅黑"/>
        <w:b/>
        <w:bCs/>
        <w:sz w:val="16"/>
        <w:szCs w:val="20"/>
        <w:lang w:eastAsia="zh-CN"/>
      </w:rPr>
      <w:t>招</w:t>
    </w:r>
    <w:r>
      <w:rPr>
        <w:rFonts w:hint="eastAsia" w:ascii="微软雅黑" w:hAnsi="微软雅黑" w:eastAsia="微软雅黑" w:cs="微软雅黑"/>
        <w:b/>
        <w:bCs/>
        <w:sz w:val="16"/>
        <w:szCs w:val="20"/>
        <w:lang w:val="en-US" w:eastAsia="zh-CN"/>
      </w:rPr>
      <w:t xml:space="preserve"> </w:t>
    </w:r>
    <w:r>
      <w:rPr>
        <w:rFonts w:hint="eastAsia" w:ascii="微软雅黑" w:hAnsi="微软雅黑" w:eastAsia="微软雅黑" w:cs="微软雅黑"/>
        <w:b/>
        <w:bCs/>
        <w:sz w:val="16"/>
        <w:szCs w:val="20"/>
        <w:lang w:eastAsia="zh-CN"/>
      </w:rPr>
      <w:t>投</w:t>
    </w:r>
    <w:r>
      <w:rPr>
        <w:rFonts w:hint="eastAsia" w:ascii="微软雅黑" w:hAnsi="微软雅黑" w:eastAsia="微软雅黑" w:cs="微软雅黑"/>
        <w:b/>
        <w:bCs/>
        <w:sz w:val="16"/>
        <w:szCs w:val="20"/>
        <w:lang w:val="en-US" w:eastAsia="zh-CN"/>
      </w:rPr>
      <w:t xml:space="preserve"> </w:t>
    </w:r>
    <w:r>
      <w:rPr>
        <w:rFonts w:hint="eastAsia" w:ascii="微软雅黑" w:hAnsi="微软雅黑" w:eastAsia="微软雅黑" w:cs="微软雅黑"/>
        <w:b/>
        <w:bCs/>
        <w:sz w:val="16"/>
        <w:szCs w:val="20"/>
        <w:lang w:eastAsia="zh-CN"/>
      </w:rPr>
      <w:t>标</w:t>
    </w:r>
    <w:r>
      <w:rPr>
        <w:rFonts w:hint="eastAsia" w:ascii="微软雅黑" w:hAnsi="微软雅黑" w:eastAsia="微软雅黑" w:cs="微软雅黑"/>
        <w:b/>
        <w:bCs/>
        <w:sz w:val="16"/>
        <w:szCs w:val="20"/>
        <w:lang w:val="en-US" w:eastAsia="zh-CN"/>
      </w:rPr>
      <w:t xml:space="preserve"> </w:t>
    </w:r>
    <w:r>
      <w:rPr>
        <w:rFonts w:hint="eastAsia" w:ascii="微软雅黑" w:hAnsi="微软雅黑" w:eastAsia="微软雅黑" w:cs="微软雅黑"/>
        <w:b/>
        <w:bCs/>
        <w:sz w:val="16"/>
        <w:szCs w:val="20"/>
        <w:lang w:eastAsia="zh-CN"/>
      </w:rPr>
      <w:t>代</w:t>
    </w:r>
    <w:r>
      <w:rPr>
        <w:rFonts w:hint="eastAsia" w:ascii="微软雅黑" w:hAnsi="微软雅黑" w:eastAsia="微软雅黑" w:cs="微软雅黑"/>
        <w:b/>
        <w:bCs/>
        <w:sz w:val="16"/>
        <w:szCs w:val="20"/>
        <w:lang w:val="en-US" w:eastAsia="zh-CN"/>
      </w:rPr>
      <w:t xml:space="preserve"> </w:t>
    </w:r>
    <w:r>
      <w:rPr>
        <w:rFonts w:hint="eastAsia" w:ascii="微软雅黑" w:hAnsi="微软雅黑" w:eastAsia="微软雅黑" w:cs="微软雅黑"/>
        <w:b/>
        <w:bCs/>
        <w:sz w:val="16"/>
        <w:szCs w:val="20"/>
        <w:lang w:eastAsia="zh-CN"/>
      </w:rPr>
      <w:t>理</w:t>
    </w:r>
    <w:r>
      <w:rPr>
        <w:rFonts w:hint="eastAsia" w:ascii="微软雅黑" w:hAnsi="微软雅黑" w:eastAsia="微软雅黑" w:cs="微软雅黑"/>
        <w:b/>
        <w:bCs/>
        <w:sz w:val="16"/>
        <w:szCs w:val="20"/>
        <w:lang w:val="en-US" w:eastAsia="zh-CN"/>
      </w:rPr>
      <w:t xml:space="preserve"> </w:t>
    </w:r>
    <w:r>
      <w:rPr>
        <w:rFonts w:hint="eastAsia" w:ascii="微软雅黑" w:hAnsi="微软雅黑" w:eastAsia="微软雅黑" w:cs="微软雅黑"/>
        <w:b/>
        <w:bCs/>
        <w:sz w:val="16"/>
        <w:szCs w:val="20"/>
        <w:lang w:eastAsia="zh-CN"/>
      </w:rPr>
      <w:t>有</w:t>
    </w:r>
    <w:r>
      <w:rPr>
        <w:rFonts w:hint="eastAsia" w:ascii="微软雅黑" w:hAnsi="微软雅黑" w:eastAsia="微软雅黑" w:cs="微软雅黑"/>
        <w:b/>
        <w:bCs/>
        <w:sz w:val="16"/>
        <w:szCs w:val="20"/>
        <w:lang w:val="en-US" w:eastAsia="zh-CN"/>
      </w:rPr>
      <w:t xml:space="preserve"> </w:t>
    </w:r>
    <w:r>
      <w:rPr>
        <w:rFonts w:hint="eastAsia" w:ascii="微软雅黑" w:hAnsi="微软雅黑" w:eastAsia="微软雅黑" w:cs="微软雅黑"/>
        <w:b/>
        <w:bCs/>
        <w:sz w:val="16"/>
        <w:szCs w:val="20"/>
        <w:lang w:eastAsia="zh-CN"/>
      </w:rPr>
      <w:t>限</w:t>
    </w:r>
    <w:r>
      <w:rPr>
        <w:rFonts w:hint="eastAsia" w:ascii="微软雅黑" w:hAnsi="微软雅黑" w:eastAsia="微软雅黑" w:cs="微软雅黑"/>
        <w:b/>
        <w:bCs/>
        <w:sz w:val="16"/>
        <w:szCs w:val="20"/>
        <w:lang w:val="en-US" w:eastAsia="zh-CN"/>
      </w:rPr>
      <w:t xml:space="preserve"> </w:t>
    </w:r>
    <w:r>
      <w:rPr>
        <w:rFonts w:hint="eastAsia" w:ascii="微软雅黑" w:hAnsi="微软雅黑" w:eastAsia="微软雅黑" w:cs="微软雅黑"/>
        <w:b/>
        <w:bCs/>
        <w:sz w:val="16"/>
        <w:szCs w:val="20"/>
        <w:lang w:eastAsia="zh-CN"/>
      </w:rPr>
      <w:t>公</w:t>
    </w:r>
    <w:r>
      <w:rPr>
        <w:rFonts w:hint="eastAsia" w:ascii="微软雅黑" w:hAnsi="微软雅黑" w:eastAsia="微软雅黑" w:cs="微软雅黑"/>
        <w:b/>
        <w:bCs/>
        <w:sz w:val="16"/>
        <w:szCs w:val="20"/>
        <w:lang w:val="en-US" w:eastAsia="zh-CN"/>
      </w:rPr>
      <w:t xml:space="preserve"> </w:t>
    </w:r>
    <w:r>
      <w:rPr>
        <w:rFonts w:hint="eastAsia" w:ascii="微软雅黑" w:hAnsi="微软雅黑" w:eastAsia="微软雅黑" w:cs="微软雅黑"/>
        <w:b/>
        <w:bCs/>
        <w:sz w:val="16"/>
        <w:szCs w:val="20"/>
        <w:lang w:eastAsia="zh-CN"/>
      </w:rPr>
      <w:t>司</w:t>
    </w:r>
  </w:p>
  <w:p>
    <w:pPr>
      <w:keepNext w:val="0"/>
      <w:keepLines w:val="0"/>
      <w:pageBreakBefore w:val="0"/>
      <w:widowControl w:val="0"/>
      <w:kinsoku/>
      <w:wordWrap/>
      <w:overflowPunct/>
      <w:topLinePunct w:val="0"/>
      <w:autoSpaceDE/>
      <w:autoSpaceDN/>
      <w:bidi w:val="0"/>
      <w:adjustRightInd/>
      <w:snapToGrid/>
      <w:spacing w:line="240" w:lineRule="atLeast"/>
      <w:ind w:right="0" w:rightChars="0" w:firstLine="650" w:firstLineChars="500"/>
      <w:jc w:val="both"/>
      <w:textAlignment w:val="auto"/>
      <w:outlineLvl w:val="9"/>
    </w:pPr>
    <w:r>
      <w:rPr>
        <w:rFonts w:hint="eastAsia" w:ascii="微软雅黑" w:hAnsi="微软雅黑" w:eastAsia="微软雅黑" w:cs="微软雅黑"/>
        <w:b w:val="0"/>
        <w:bCs w:val="0"/>
        <w:sz w:val="13"/>
        <w:szCs w:val="16"/>
        <w:lang w:val="en-US" w:eastAsia="zh-CN"/>
      </w:rPr>
      <w:t xml:space="preserve">SICHUAN LIYANG TENDERING AGENCY CO.LTD   </w:t>
    </w:r>
    <w:r>
      <w:rPr>
        <w:rFonts w:hint="eastAsia" w:ascii="微软雅黑" w:hAnsi="微软雅黑" w:eastAsia="微软雅黑" w:cs="微软雅黑"/>
        <w:b w:val="0"/>
        <w:bCs w:val="0"/>
        <w:sz w:val="11"/>
        <w:szCs w:val="15"/>
        <w:lang w:val="en-US" w:eastAsia="zh-CN"/>
      </w:rPr>
      <w:t xml:space="preserve">                                                              </w:t>
    </w:r>
    <w:r>
      <w:rPr>
        <w:rFonts w:hint="eastAsia" w:ascii="微软雅黑" w:hAnsi="微软雅黑" w:eastAsia="微软雅黑" w:cs="微软雅黑"/>
        <w:b/>
        <w:bCs/>
        <w:sz w:val="16"/>
        <w:szCs w:val="20"/>
        <w:lang w:val="en-US" w:eastAsia="zh-CN"/>
      </w:rPr>
      <w:t>公平   公开   公正   高效</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kinsoku/>
      <w:wordWrap/>
      <w:overflowPunct/>
      <w:topLinePunct w:val="0"/>
      <w:autoSpaceDE/>
      <w:autoSpaceDN/>
      <w:bidi w:val="0"/>
      <w:adjustRightInd/>
      <w:snapToGrid/>
      <w:spacing w:line="240" w:lineRule="atLeast"/>
      <w:ind w:right="0" w:rightChars="0" w:firstLine="680" w:firstLineChars="200"/>
      <w:jc w:val="both"/>
      <w:textAlignment w:val="auto"/>
      <w:outlineLvl w:val="9"/>
      <w:rPr>
        <w:rFonts w:hint="eastAsia" w:ascii="微软雅黑" w:hAnsi="微软雅黑" w:eastAsia="微软雅黑" w:cs="微软雅黑"/>
        <w:b/>
        <w:bCs/>
        <w:sz w:val="16"/>
        <w:szCs w:val="20"/>
        <w:lang w:eastAsia="zh-CN"/>
      </w:rPr>
    </w:pPr>
    <w:r>
      <w:drawing>
        <wp:anchor distT="0" distB="0" distL="114935" distR="114935" simplePos="0" relativeHeight="251663360" behindDoc="1" locked="0" layoutInCell="1" allowOverlap="1">
          <wp:simplePos x="0" y="0"/>
          <wp:positionH relativeFrom="column">
            <wp:posOffset>97155</wp:posOffset>
          </wp:positionH>
          <wp:positionV relativeFrom="page">
            <wp:posOffset>586105</wp:posOffset>
          </wp:positionV>
          <wp:extent cx="273050" cy="264160"/>
          <wp:effectExtent l="0" t="0" r="12700" b="254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
                  <a:stretch>
                    <a:fillRect/>
                  </a:stretch>
                </pic:blipFill>
                <pic:spPr>
                  <a:xfrm>
                    <a:off x="0" y="0"/>
                    <a:ext cx="273050" cy="264160"/>
                  </a:xfrm>
                  <a:prstGeom prst="rect">
                    <a:avLst/>
                  </a:prstGeom>
                  <a:noFill/>
                  <a:ln w="9525">
                    <a:noFill/>
                  </a:ln>
                </pic:spPr>
              </pic:pic>
            </a:graphicData>
          </a:graphic>
        </wp:anchor>
      </w:drawing>
    </w:r>
    <w:r>
      <w:rPr>
        <w:rFonts w:hint="eastAsia" w:ascii="微软雅黑" w:hAnsi="微软雅黑" w:eastAsia="微软雅黑" w:cs="微软雅黑"/>
        <w:b/>
        <w:bCs/>
        <w:sz w:val="16"/>
        <w:szCs w:val="20"/>
        <w:lang w:eastAsia="zh-CN"/>
      </w:rPr>
      <w:t>四</w:t>
    </w:r>
    <w:r>
      <w:rPr>
        <w:rFonts w:hint="eastAsia" w:ascii="微软雅黑" w:hAnsi="微软雅黑" w:eastAsia="微软雅黑" w:cs="微软雅黑"/>
        <w:b/>
        <w:bCs/>
        <w:sz w:val="16"/>
        <w:szCs w:val="20"/>
        <w:lang w:val="en-US" w:eastAsia="zh-CN"/>
      </w:rPr>
      <w:t xml:space="preserve"> </w:t>
    </w:r>
    <w:r>
      <w:rPr>
        <w:rFonts w:hint="eastAsia" w:ascii="微软雅黑" w:hAnsi="微软雅黑" w:eastAsia="微软雅黑" w:cs="微软雅黑"/>
        <w:b/>
        <w:bCs/>
        <w:sz w:val="16"/>
        <w:szCs w:val="20"/>
        <w:lang w:eastAsia="zh-CN"/>
      </w:rPr>
      <w:t>川</w:t>
    </w:r>
    <w:r>
      <w:rPr>
        <w:rFonts w:hint="eastAsia" w:ascii="微软雅黑" w:hAnsi="微软雅黑" w:eastAsia="微软雅黑" w:cs="微软雅黑"/>
        <w:b/>
        <w:bCs/>
        <w:sz w:val="16"/>
        <w:szCs w:val="20"/>
        <w:lang w:val="en-US" w:eastAsia="zh-CN"/>
      </w:rPr>
      <w:t xml:space="preserve"> </w:t>
    </w:r>
    <w:r>
      <w:rPr>
        <w:rFonts w:hint="eastAsia" w:ascii="微软雅黑" w:hAnsi="微软雅黑" w:eastAsia="微软雅黑" w:cs="微软雅黑"/>
        <w:b/>
        <w:bCs/>
        <w:sz w:val="16"/>
        <w:szCs w:val="20"/>
        <w:lang w:eastAsia="zh-CN"/>
      </w:rPr>
      <w:t>利</w:t>
    </w:r>
    <w:r>
      <w:rPr>
        <w:rFonts w:hint="eastAsia" w:ascii="微软雅黑" w:hAnsi="微软雅黑" w:eastAsia="微软雅黑" w:cs="微软雅黑"/>
        <w:b/>
        <w:bCs/>
        <w:sz w:val="16"/>
        <w:szCs w:val="20"/>
        <w:lang w:val="en-US" w:eastAsia="zh-CN"/>
      </w:rPr>
      <w:t xml:space="preserve"> </w:t>
    </w:r>
    <w:r>
      <w:rPr>
        <w:rFonts w:hint="eastAsia" w:ascii="微软雅黑" w:hAnsi="微软雅黑" w:eastAsia="微软雅黑" w:cs="微软雅黑"/>
        <w:b/>
        <w:bCs/>
        <w:sz w:val="16"/>
        <w:szCs w:val="20"/>
        <w:lang w:eastAsia="zh-CN"/>
      </w:rPr>
      <w:t>阳</w:t>
    </w:r>
    <w:r>
      <w:rPr>
        <w:rFonts w:hint="eastAsia" w:ascii="微软雅黑" w:hAnsi="微软雅黑" w:eastAsia="微软雅黑" w:cs="微软雅黑"/>
        <w:b/>
        <w:bCs/>
        <w:sz w:val="16"/>
        <w:szCs w:val="20"/>
        <w:lang w:val="en-US" w:eastAsia="zh-CN"/>
      </w:rPr>
      <w:t xml:space="preserve"> </w:t>
    </w:r>
    <w:r>
      <w:rPr>
        <w:rFonts w:hint="eastAsia" w:ascii="微软雅黑" w:hAnsi="微软雅黑" w:eastAsia="微软雅黑" w:cs="微软雅黑"/>
        <w:b/>
        <w:bCs/>
        <w:sz w:val="16"/>
        <w:szCs w:val="20"/>
        <w:lang w:eastAsia="zh-CN"/>
      </w:rPr>
      <w:t>招</w:t>
    </w:r>
    <w:r>
      <w:rPr>
        <w:rFonts w:hint="eastAsia" w:ascii="微软雅黑" w:hAnsi="微软雅黑" w:eastAsia="微软雅黑" w:cs="微软雅黑"/>
        <w:b/>
        <w:bCs/>
        <w:sz w:val="16"/>
        <w:szCs w:val="20"/>
        <w:lang w:val="en-US" w:eastAsia="zh-CN"/>
      </w:rPr>
      <w:t xml:space="preserve"> </w:t>
    </w:r>
    <w:r>
      <w:rPr>
        <w:rFonts w:hint="eastAsia" w:ascii="微软雅黑" w:hAnsi="微软雅黑" w:eastAsia="微软雅黑" w:cs="微软雅黑"/>
        <w:b/>
        <w:bCs/>
        <w:sz w:val="16"/>
        <w:szCs w:val="20"/>
        <w:lang w:eastAsia="zh-CN"/>
      </w:rPr>
      <w:t>投</w:t>
    </w:r>
    <w:r>
      <w:rPr>
        <w:rFonts w:hint="eastAsia" w:ascii="微软雅黑" w:hAnsi="微软雅黑" w:eastAsia="微软雅黑" w:cs="微软雅黑"/>
        <w:b/>
        <w:bCs/>
        <w:sz w:val="16"/>
        <w:szCs w:val="20"/>
        <w:lang w:val="en-US" w:eastAsia="zh-CN"/>
      </w:rPr>
      <w:t xml:space="preserve"> </w:t>
    </w:r>
    <w:r>
      <w:rPr>
        <w:rFonts w:hint="eastAsia" w:ascii="微软雅黑" w:hAnsi="微软雅黑" w:eastAsia="微软雅黑" w:cs="微软雅黑"/>
        <w:b/>
        <w:bCs/>
        <w:sz w:val="16"/>
        <w:szCs w:val="20"/>
        <w:lang w:eastAsia="zh-CN"/>
      </w:rPr>
      <w:t>标</w:t>
    </w:r>
    <w:r>
      <w:rPr>
        <w:rFonts w:hint="eastAsia" w:ascii="微软雅黑" w:hAnsi="微软雅黑" w:eastAsia="微软雅黑" w:cs="微软雅黑"/>
        <w:b/>
        <w:bCs/>
        <w:sz w:val="16"/>
        <w:szCs w:val="20"/>
        <w:lang w:val="en-US" w:eastAsia="zh-CN"/>
      </w:rPr>
      <w:t xml:space="preserve"> </w:t>
    </w:r>
    <w:r>
      <w:rPr>
        <w:rFonts w:hint="eastAsia" w:ascii="微软雅黑" w:hAnsi="微软雅黑" w:eastAsia="微软雅黑" w:cs="微软雅黑"/>
        <w:b/>
        <w:bCs/>
        <w:sz w:val="16"/>
        <w:szCs w:val="20"/>
        <w:lang w:eastAsia="zh-CN"/>
      </w:rPr>
      <w:t>代</w:t>
    </w:r>
    <w:r>
      <w:rPr>
        <w:rFonts w:hint="eastAsia" w:ascii="微软雅黑" w:hAnsi="微软雅黑" w:eastAsia="微软雅黑" w:cs="微软雅黑"/>
        <w:b/>
        <w:bCs/>
        <w:sz w:val="16"/>
        <w:szCs w:val="20"/>
        <w:lang w:val="en-US" w:eastAsia="zh-CN"/>
      </w:rPr>
      <w:t xml:space="preserve"> </w:t>
    </w:r>
    <w:r>
      <w:rPr>
        <w:rFonts w:hint="eastAsia" w:ascii="微软雅黑" w:hAnsi="微软雅黑" w:eastAsia="微软雅黑" w:cs="微软雅黑"/>
        <w:b/>
        <w:bCs/>
        <w:sz w:val="16"/>
        <w:szCs w:val="20"/>
        <w:lang w:eastAsia="zh-CN"/>
      </w:rPr>
      <w:t>理</w:t>
    </w:r>
    <w:r>
      <w:rPr>
        <w:rFonts w:hint="eastAsia" w:ascii="微软雅黑" w:hAnsi="微软雅黑" w:eastAsia="微软雅黑" w:cs="微软雅黑"/>
        <w:b/>
        <w:bCs/>
        <w:sz w:val="16"/>
        <w:szCs w:val="20"/>
        <w:lang w:val="en-US" w:eastAsia="zh-CN"/>
      </w:rPr>
      <w:t xml:space="preserve"> </w:t>
    </w:r>
    <w:r>
      <w:rPr>
        <w:rFonts w:hint="eastAsia" w:ascii="微软雅黑" w:hAnsi="微软雅黑" w:eastAsia="微软雅黑" w:cs="微软雅黑"/>
        <w:b/>
        <w:bCs/>
        <w:sz w:val="16"/>
        <w:szCs w:val="20"/>
        <w:lang w:eastAsia="zh-CN"/>
      </w:rPr>
      <w:t>有</w:t>
    </w:r>
    <w:r>
      <w:rPr>
        <w:rFonts w:hint="eastAsia" w:ascii="微软雅黑" w:hAnsi="微软雅黑" w:eastAsia="微软雅黑" w:cs="微软雅黑"/>
        <w:b/>
        <w:bCs/>
        <w:sz w:val="16"/>
        <w:szCs w:val="20"/>
        <w:lang w:val="en-US" w:eastAsia="zh-CN"/>
      </w:rPr>
      <w:t xml:space="preserve"> </w:t>
    </w:r>
    <w:r>
      <w:rPr>
        <w:rFonts w:hint="eastAsia" w:ascii="微软雅黑" w:hAnsi="微软雅黑" w:eastAsia="微软雅黑" w:cs="微软雅黑"/>
        <w:b/>
        <w:bCs/>
        <w:sz w:val="16"/>
        <w:szCs w:val="20"/>
        <w:lang w:eastAsia="zh-CN"/>
      </w:rPr>
      <w:t>限</w:t>
    </w:r>
    <w:r>
      <w:rPr>
        <w:rFonts w:hint="eastAsia" w:ascii="微软雅黑" w:hAnsi="微软雅黑" w:eastAsia="微软雅黑" w:cs="微软雅黑"/>
        <w:b/>
        <w:bCs/>
        <w:sz w:val="16"/>
        <w:szCs w:val="20"/>
        <w:lang w:val="en-US" w:eastAsia="zh-CN"/>
      </w:rPr>
      <w:t xml:space="preserve"> </w:t>
    </w:r>
    <w:r>
      <w:rPr>
        <w:rFonts w:hint="eastAsia" w:ascii="微软雅黑" w:hAnsi="微软雅黑" w:eastAsia="微软雅黑" w:cs="微软雅黑"/>
        <w:b/>
        <w:bCs/>
        <w:sz w:val="16"/>
        <w:szCs w:val="20"/>
        <w:lang w:eastAsia="zh-CN"/>
      </w:rPr>
      <w:t>公</w:t>
    </w:r>
    <w:r>
      <w:rPr>
        <w:rFonts w:hint="eastAsia" w:ascii="微软雅黑" w:hAnsi="微软雅黑" w:eastAsia="微软雅黑" w:cs="微软雅黑"/>
        <w:b/>
        <w:bCs/>
        <w:sz w:val="16"/>
        <w:szCs w:val="20"/>
        <w:lang w:val="en-US" w:eastAsia="zh-CN"/>
      </w:rPr>
      <w:t xml:space="preserve"> </w:t>
    </w:r>
    <w:r>
      <w:rPr>
        <w:rFonts w:hint="eastAsia" w:ascii="微软雅黑" w:hAnsi="微软雅黑" w:eastAsia="微软雅黑" w:cs="微软雅黑"/>
        <w:b/>
        <w:bCs/>
        <w:sz w:val="16"/>
        <w:szCs w:val="20"/>
        <w:lang w:eastAsia="zh-CN"/>
      </w:rPr>
      <w:t>司</w:t>
    </w:r>
  </w:p>
  <w:p>
    <w:pPr>
      <w:keepNext w:val="0"/>
      <w:keepLines w:val="0"/>
      <w:pageBreakBefore w:val="0"/>
      <w:widowControl w:val="0"/>
      <w:kinsoku/>
      <w:wordWrap/>
      <w:overflowPunct/>
      <w:topLinePunct w:val="0"/>
      <w:autoSpaceDE/>
      <w:autoSpaceDN/>
      <w:bidi w:val="0"/>
      <w:adjustRightInd/>
      <w:snapToGrid/>
      <w:spacing w:line="240" w:lineRule="atLeast"/>
      <w:ind w:right="0" w:rightChars="0" w:firstLine="650" w:firstLineChars="500"/>
      <w:jc w:val="both"/>
      <w:textAlignment w:val="auto"/>
      <w:outlineLvl w:val="9"/>
    </w:pPr>
    <w:r>
      <w:rPr>
        <w:rFonts w:hint="eastAsia" w:ascii="微软雅黑" w:hAnsi="微软雅黑" w:eastAsia="微软雅黑" w:cs="微软雅黑"/>
        <w:b w:val="0"/>
        <w:bCs w:val="0"/>
        <w:sz w:val="13"/>
        <w:szCs w:val="16"/>
        <w:lang w:val="en-US" w:eastAsia="zh-CN"/>
      </w:rPr>
      <w:t xml:space="preserve">SICHUAN LIYANG TENDERING AGENCY CO.LTD     </w:t>
    </w:r>
    <w:r>
      <w:rPr>
        <w:rFonts w:hint="eastAsia" w:ascii="微软雅黑" w:hAnsi="微软雅黑" w:eastAsia="微软雅黑" w:cs="微软雅黑"/>
        <w:b w:val="0"/>
        <w:bCs w:val="0"/>
        <w:sz w:val="11"/>
        <w:szCs w:val="15"/>
        <w:lang w:val="en-US" w:eastAsia="zh-CN"/>
      </w:rPr>
      <w:t xml:space="preserve">                                      </w:t>
    </w:r>
    <w:r>
      <w:rPr>
        <w:rFonts w:hint="eastAsia" w:ascii="微软雅黑" w:hAnsi="微软雅黑" w:eastAsia="微软雅黑" w:cs="微软雅黑"/>
        <w:b/>
        <w:bCs/>
        <w:sz w:val="16"/>
        <w:szCs w:val="20"/>
        <w:lang w:val="en-US" w:eastAsia="zh-CN"/>
      </w:rPr>
      <w:t>公平   公开   公正   高效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31E353"/>
    <w:multiLevelType w:val="singleLevel"/>
    <w:tmpl w:val="B031E353"/>
    <w:lvl w:ilvl="0" w:tentative="0">
      <w:start w:val="2"/>
      <w:numFmt w:val="chineseCounting"/>
      <w:suff w:val="nothing"/>
      <w:lvlText w:val="%1、"/>
      <w:lvlJc w:val="left"/>
      <w:rPr>
        <w:rFonts w:hint="eastAsia"/>
      </w:rPr>
    </w:lvl>
  </w:abstractNum>
  <w:abstractNum w:abstractNumId="1">
    <w:nsid w:val="0000000B"/>
    <w:multiLevelType w:val="singleLevel"/>
    <w:tmpl w:val="0000000B"/>
    <w:lvl w:ilvl="0" w:tentative="0">
      <w:start w:val="4"/>
      <w:numFmt w:val="chineseCounting"/>
      <w:suff w:val="nothing"/>
      <w:lvlText w:val="%1、"/>
      <w:lvlJc w:val="left"/>
    </w:lvl>
  </w:abstractNum>
  <w:abstractNum w:abstractNumId="2">
    <w:nsid w:val="00000019"/>
    <w:multiLevelType w:val="singleLevel"/>
    <w:tmpl w:val="00000019"/>
    <w:lvl w:ilvl="0" w:tentative="0">
      <w:start w:val="1"/>
      <w:numFmt w:val="chineseCounting"/>
      <w:suff w:val="nothing"/>
      <w:lvlText w:val="%1、"/>
      <w:lvlJc w:val="left"/>
    </w:lvl>
  </w:abstractNum>
  <w:abstractNum w:abstractNumId="3">
    <w:nsid w:val="1D9C2199"/>
    <w:multiLevelType w:val="multilevel"/>
    <w:tmpl w:val="1D9C2199"/>
    <w:lvl w:ilvl="0" w:tentative="0">
      <w:start w:val="1"/>
      <w:numFmt w:val="chineseCountingThousand"/>
      <w:suff w:val="nothing"/>
      <w:lvlText w:val="(%1)"/>
      <w:lvlJc w:val="left"/>
      <w:pPr>
        <w:ind w:left="420" w:hanging="420"/>
      </w:pPr>
      <w:rPr>
        <w:rFonts w:hint="eastAsia"/>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2C2C4B8D"/>
    <w:multiLevelType w:val="singleLevel"/>
    <w:tmpl w:val="2C2C4B8D"/>
    <w:lvl w:ilvl="0" w:tentative="0">
      <w:start w:val="1"/>
      <w:numFmt w:val="japaneseCounting"/>
      <w:lvlText w:val="第%1条"/>
      <w:lvlJc w:val="left"/>
      <w:pPr>
        <w:tabs>
          <w:tab w:val="left" w:pos="1521"/>
        </w:tabs>
        <w:ind w:left="1521" w:hanging="1095"/>
      </w:pPr>
      <w:rPr>
        <w:rFonts w:hint="eastAsia"/>
        <w:b/>
      </w:rPr>
    </w:lvl>
  </w:abstractNum>
  <w:abstractNum w:abstractNumId="5">
    <w:nsid w:val="58C8E5E6"/>
    <w:multiLevelType w:val="singleLevel"/>
    <w:tmpl w:val="58C8E5E6"/>
    <w:lvl w:ilvl="0" w:tentative="0">
      <w:start w:val="1"/>
      <w:numFmt w:val="chineseCounting"/>
      <w:suff w:val="nothing"/>
      <w:lvlText w:val="%1、"/>
      <w:lvlJc w:val="left"/>
    </w:lvl>
  </w:abstractNum>
  <w:abstractNum w:abstractNumId="6">
    <w:nsid w:val="5A03B93D"/>
    <w:multiLevelType w:val="singleLevel"/>
    <w:tmpl w:val="5A03B93D"/>
    <w:lvl w:ilvl="0" w:tentative="0">
      <w:start w:val="3"/>
      <w:numFmt w:val="chineseCounting"/>
      <w:suff w:val="nothing"/>
      <w:lvlText w:val="（%1）"/>
      <w:lvlJc w:val="left"/>
    </w:lvl>
  </w:abstractNum>
  <w:abstractNum w:abstractNumId="7">
    <w:nsid w:val="5A094BED"/>
    <w:multiLevelType w:val="singleLevel"/>
    <w:tmpl w:val="5A094BED"/>
    <w:lvl w:ilvl="0" w:tentative="0">
      <w:start w:val="1"/>
      <w:numFmt w:val="chineseCounting"/>
      <w:suff w:val="nothing"/>
      <w:lvlText w:val="%1、"/>
      <w:lvlJc w:val="left"/>
    </w:lvl>
  </w:abstractNum>
  <w:num w:numId="1">
    <w:abstractNumId w:val="7"/>
  </w:num>
  <w:num w:numId="2">
    <w:abstractNumId w:val="6"/>
  </w:num>
  <w:num w:numId="3">
    <w:abstractNumId w:val="0"/>
  </w:num>
  <w:num w:numId="4">
    <w:abstractNumId w:val="5"/>
  </w:num>
  <w:num w:numId="5">
    <w:abstractNumId w:val="2"/>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34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4310"/>
    <w:rsid w:val="00014B30"/>
    <w:rsid w:val="0001618F"/>
    <w:rsid w:val="000320F0"/>
    <w:rsid w:val="00033964"/>
    <w:rsid w:val="00034101"/>
    <w:rsid w:val="000370D1"/>
    <w:rsid w:val="000453FA"/>
    <w:rsid w:val="00050A8F"/>
    <w:rsid w:val="000658F3"/>
    <w:rsid w:val="0007461F"/>
    <w:rsid w:val="00083459"/>
    <w:rsid w:val="000A4C2A"/>
    <w:rsid w:val="000B6AA1"/>
    <w:rsid w:val="000B72C0"/>
    <w:rsid w:val="000D1A17"/>
    <w:rsid w:val="000E099B"/>
    <w:rsid w:val="000E12E3"/>
    <w:rsid w:val="000E7A0B"/>
    <w:rsid w:val="000F55FB"/>
    <w:rsid w:val="00105699"/>
    <w:rsid w:val="00111C43"/>
    <w:rsid w:val="001179ED"/>
    <w:rsid w:val="00120F58"/>
    <w:rsid w:val="001216FA"/>
    <w:rsid w:val="00125CDA"/>
    <w:rsid w:val="00141540"/>
    <w:rsid w:val="00145EF4"/>
    <w:rsid w:val="0015108F"/>
    <w:rsid w:val="001563F0"/>
    <w:rsid w:val="00157103"/>
    <w:rsid w:val="00160AA0"/>
    <w:rsid w:val="00164269"/>
    <w:rsid w:val="00172A27"/>
    <w:rsid w:val="00190400"/>
    <w:rsid w:val="001909A8"/>
    <w:rsid w:val="0019605D"/>
    <w:rsid w:val="001A420C"/>
    <w:rsid w:val="001B21FC"/>
    <w:rsid w:val="001C230C"/>
    <w:rsid w:val="001C597C"/>
    <w:rsid w:val="001C682B"/>
    <w:rsid w:val="001D1B8D"/>
    <w:rsid w:val="001E205B"/>
    <w:rsid w:val="001E380A"/>
    <w:rsid w:val="001E4C81"/>
    <w:rsid w:val="001F0C2C"/>
    <w:rsid w:val="00210D2D"/>
    <w:rsid w:val="00220879"/>
    <w:rsid w:val="00222020"/>
    <w:rsid w:val="00231F12"/>
    <w:rsid w:val="00233657"/>
    <w:rsid w:val="00242B7A"/>
    <w:rsid w:val="00243E9B"/>
    <w:rsid w:val="00245520"/>
    <w:rsid w:val="0025018D"/>
    <w:rsid w:val="00251CFB"/>
    <w:rsid w:val="00275FCF"/>
    <w:rsid w:val="00281DD7"/>
    <w:rsid w:val="002852A1"/>
    <w:rsid w:val="00290B14"/>
    <w:rsid w:val="002A669A"/>
    <w:rsid w:val="002B1077"/>
    <w:rsid w:val="002B47F3"/>
    <w:rsid w:val="002B6714"/>
    <w:rsid w:val="002C79C1"/>
    <w:rsid w:val="002E0E10"/>
    <w:rsid w:val="002F0FF3"/>
    <w:rsid w:val="002F4944"/>
    <w:rsid w:val="0030273C"/>
    <w:rsid w:val="00304DA4"/>
    <w:rsid w:val="00311FA2"/>
    <w:rsid w:val="0031656A"/>
    <w:rsid w:val="00317B7A"/>
    <w:rsid w:val="00323840"/>
    <w:rsid w:val="0034144C"/>
    <w:rsid w:val="00366F77"/>
    <w:rsid w:val="00384861"/>
    <w:rsid w:val="00390721"/>
    <w:rsid w:val="003A1D86"/>
    <w:rsid w:val="003A698F"/>
    <w:rsid w:val="003B1AB1"/>
    <w:rsid w:val="003B7EFA"/>
    <w:rsid w:val="003C7B09"/>
    <w:rsid w:val="003E271A"/>
    <w:rsid w:val="003E37CB"/>
    <w:rsid w:val="003E4EE5"/>
    <w:rsid w:val="003E6286"/>
    <w:rsid w:val="004009C9"/>
    <w:rsid w:val="00416068"/>
    <w:rsid w:val="00417C42"/>
    <w:rsid w:val="00426FF7"/>
    <w:rsid w:val="0044352F"/>
    <w:rsid w:val="004556FC"/>
    <w:rsid w:val="00463DE0"/>
    <w:rsid w:val="004679E7"/>
    <w:rsid w:val="00474B1F"/>
    <w:rsid w:val="00474C8D"/>
    <w:rsid w:val="00484109"/>
    <w:rsid w:val="004937D2"/>
    <w:rsid w:val="00493FBB"/>
    <w:rsid w:val="00495D53"/>
    <w:rsid w:val="004A55B2"/>
    <w:rsid w:val="004A7771"/>
    <w:rsid w:val="004B35D2"/>
    <w:rsid w:val="004B4774"/>
    <w:rsid w:val="004B5A69"/>
    <w:rsid w:val="004C0050"/>
    <w:rsid w:val="004C3D47"/>
    <w:rsid w:val="004D5D16"/>
    <w:rsid w:val="004E4152"/>
    <w:rsid w:val="004E568A"/>
    <w:rsid w:val="004F4299"/>
    <w:rsid w:val="00504319"/>
    <w:rsid w:val="00504A03"/>
    <w:rsid w:val="00505B3E"/>
    <w:rsid w:val="00507FEC"/>
    <w:rsid w:val="005117FA"/>
    <w:rsid w:val="0053039E"/>
    <w:rsid w:val="0055784C"/>
    <w:rsid w:val="005677A6"/>
    <w:rsid w:val="00571EC3"/>
    <w:rsid w:val="005754E4"/>
    <w:rsid w:val="005967D4"/>
    <w:rsid w:val="005B4E64"/>
    <w:rsid w:val="005B597E"/>
    <w:rsid w:val="005C2BA7"/>
    <w:rsid w:val="005C7392"/>
    <w:rsid w:val="005D7256"/>
    <w:rsid w:val="005E5684"/>
    <w:rsid w:val="00632A0C"/>
    <w:rsid w:val="006568F5"/>
    <w:rsid w:val="00665AE4"/>
    <w:rsid w:val="00677851"/>
    <w:rsid w:val="00694C74"/>
    <w:rsid w:val="006A027F"/>
    <w:rsid w:val="006B1519"/>
    <w:rsid w:val="006B1D2E"/>
    <w:rsid w:val="006B5130"/>
    <w:rsid w:val="006B7E7D"/>
    <w:rsid w:val="006C43B6"/>
    <w:rsid w:val="006D15E3"/>
    <w:rsid w:val="006F1D43"/>
    <w:rsid w:val="006F5C12"/>
    <w:rsid w:val="006F62BF"/>
    <w:rsid w:val="0070038F"/>
    <w:rsid w:val="007033E2"/>
    <w:rsid w:val="00706ACE"/>
    <w:rsid w:val="00712B26"/>
    <w:rsid w:val="007171DE"/>
    <w:rsid w:val="00723830"/>
    <w:rsid w:val="0072797A"/>
    <w:rsid w:val="00727DF1"/>
    <w:rsid w:val="0073320A"/>
    <w:rsid w:val="0075218E"/>
    <w:rsid w:val="00756113"/>
    <w:rsid w:val="00760F8C"/>
    <w:rsid w:val="007701AF"/>
    <w:rsid w:val="007756F9"/>
    <w:rsid w:val="007844C3"/>
    <w:rsid w:val="007A3E6C"/>
    <w:rsid w:val="007A4005"/>
    <w:rsid w:val="007A6F03"/>
    <w:rsid w:val="007B7994"/>
    <w:rsid w:val="007C1461"/>
    <w:rsid w:val="007C2701"/>
    <w:rsid w:val="007C2F69"/>
    <w:rsid w:val="007C38E9"/>
    <w:rsid w:val="007C6769"/>
    <w:rsid w:val="007D1E44"/>
    <w:rsid w:val="007D1F1B"/>
    <w:rsid w:val="007D5BB6"/>
    <w:rsid w:val="007E45A7"/>
    <w:rsid w:val="007E6FA0"/>
    <w:rsid w:val="007E7991"/>
    <w:rsid w:val="007E7D90"/>
    <w:rsid w:val="007F4992"/>
    <w:rsid w:val="008042BD"/>
    <w:rsid w:val="00805B5A"/>
    <w:rsid w:val="00812CCB"/>
    <w:rsid w:val="008130D9"/>
    <w:rsid w:val="0083111F"/>
    <w:rsid w:val="00832BD3"/>
    <w:rsid w:val="00867161"/>
    <w:rsid w:val="00891537"/>
    <w:rsid w:val="0089231C"/>
    <w:rsid w:val="00897FA5"/>
    <w:rsid w:val="008A0B3B"/>
    <w:rsid w:val="008A6D1C"/>
    <w:rsid w:val="008B17E1"/>
    <w:rsid w:val="008C0BCA"/>
    <w:rsid w:val="008D6C0C"/>
    <w:rsid w:val="008D7E2E"/>
    <w:rsid w:val="008F0EDD"/>
    <w:rsid w:val="0090746E"/>
    <w:rsid w:val="00913391"/>
    <w:rsid w:val="00922309"/>
    <w:rsid w:val="00932914"/>
    <w:rsid w:val="00933CEE"/>
    <w:rsid w:val="00937D8F"/>
    <w:rsid w:val="00940F64"/>
    <w:rsid w:val="00947D92"/>
    <w:rsid w:val="0095376C"/>
    <w:rsid w:val="0095633B"/>
    <w:rsid w:val="0096041D"/>
    <w:rsid w:val="009631B2"/>
    <w:rsid w:val="00977655"/>
    <w:rsid w:val="00984449"/>
    <w:rsid w:val="00990493"/>
    <w:rsid w:val="0099404A"/>
    <w:rsid w:val="009B199A"/>
    <w:rsid w:val="009B5DF5"/>
    <w:rsid w:val="009D114E"/>
    <w:rsid w:val="009D5E8C"/>
    <w:rsid w:val="009F4F1E"/>
    <w:rsid w:val="009F7CFB"/>
    <w:rsid w:val="00A13760"/>
    <w:rsid w:val="00A17E11"/>
    <w:rsid w:val="00A2520B"/>
    <w:rsid w:val="00A42A7E"/>
    <w:rsid w:val="00A43AAE"/>
    <w:rsid w:val="00A43DD8"/>
    <w:rsid w:val="00A532A9"/>
    <w:rsid w:val="00A644B3"/>
    <w:rsid w:val="00A77F2C"/>
    <w:rsid w:val="00A85183"/>
    <w:rsid w:val="00A8562F"/>
    <w:rsid w:val="00AA37F9"/>
    <w:rsid w:val="00AB5A04"/>
    <w:rsid w:val="00AB7000"/>
    <w:rsid w:val="00AC0F83"/>
    <w:rsid w:val="00AC47A4"/>
    <w:rsid w:val="00AC5ACC"/>
    <w:rsid w:val="00AF0001"/>
    <w:rsid w:val="00B074D5"/>
    <w:rsid w:val="00B22F08"/>
    <w:rsid w:val="00B34D39"/>
    <w:rsid w:val="00B578A5"/>
    <w:rsid w:val="00B6120E"/>
    <w:rsid w:val="00B62E24"/>
    <w:rsid w:val="00B65643"/>
    <w:rsid w:val="00B70557"/>
    <w:rsid w:val="00B717BE"/>
    <w:rsid w:val="00B81690"/>
    <w:rsid w:val="00B8487B"/>
    <w:rsid w:val="00B90AC3"/>
    <w:rsid w:val="00B970AE"/>
    <w:rsid w:val="00BA5BAE"/>
    <w:rsid w:val="00BB16DF"/>
    <w:rsid w:val="00BB3481"/>
    <w:rsid w:val="00BB6CFB"/>
    <w:rsid w:val="00BC3F11"/>
    <w:rsid w:val="00BC7ECA"/>
    <w:rsid w:val="00BD4357"/>
    <w:rsid w:val="00BE7B18"/>
    <w:rsid w:val="00C03862"/>
    <w:rsid w:val="00C14283"/>
    <w:rsid w:val="00C21E0B"/>
    <w:rsid w:val="00C33559"/>
    <w:rsid w:val="00C40267"/>
    <w:rsid w:val="00C43458"/>
    <w:rsid w:val="00C462C2"/>
    <w:rsid w:val="00C51B06"/>
    <w:rsid w:val="00C52B92"/>
    <w:rsid w:val="00C52D8F"/>
    <w:rsid w:val="00C61C46"/>
    <w:rsid w:val="00C7082B"/>
    <w:rsid w:val="00C81FD2"/>
    <w:rsid w:val="00CB520F"/>
    <w:rsid w:val="00CC2918"/>
    <w:rsid w:val="00CC3FA6"/>
    <w:rsid w:val="00CC5491"/>
    <w:rsid w:val="00CD34D3"/>
    <w:rsid w:val="00CD5BB8"/>
    <w:rsid w:val="00CE0F20"/>
    <w:rsid w:val="00CE3BA7"/>
    <w:rsid w:val="00CE71B4"/>
    <w:rsid w:val="00CF5B50"/>
    <w:rsid w:val="00CF7B3E"/>
    <w:rsid w:val="00D000D7"/>
    <w:rsid w:val="00D15DD8"/>
    <w:rsid w:val="00D206BE"/>
    <w:rsid w:val="00D34167"/>
    <w:rsid w:val="00D437ED"/>
    <w:rsid w:val="00D47B60"/>
    <w:rsid w:val="00D60533"/>
    <w:rsid w:val="00D844D5"/>
    <w:rsid w:val="00D9246C"/>
    <w:rsid w:val="00D93AF6"/>
    <w:rsid w:val="00D97238"/>
    <w:rsid w:val="00DB3174"/>
    <w:rsid w:val="00DB6FE0"/>
    <w:rsid w:val="00DC675E"/>
    <w:rsid w:val="00DD69FF"/>
    <w:rsid w:val="00DD783F"/>
    <w:rsid w:val="00DF1DAE"/>
    <w:rsid w:val="00DF774B"/>
    <w:rsid w:val="00E019EB"/>
    <w:rsid w:val="00E07783"/>
    <w:rsid w:val="00E11287"/>
    <w:rsid w:val="00E14B1F"/>
    <w:rsid w:val="00E202D3"/>
    <w:rsid w:val="00E20E5C"/>
    <w:rsid w:val="00E21D87"/>
    <w:rsid w:val="00E228B0"/>
    <w:rsid w:val="00E2326E"/>
    <w:rsid w:val="00E262EA"/>
    <w:rsid w:val="00E30655"/>
    <w:rsid w:val="00E330D9"/>
    <w:rsid w:val="00E33207"/>
    <w:rsid w:val="00E41B82"/>
    <w:rsid w:val="00E47F88"/>
    <w:rsid w:val="00E55850"/>
    <w:rsid w:val="00E65D73"/>
    <w:rsid w:val="00E71A78"/>
    <w:rsid w:val="00E85A17"/>
    <w:rsid w:val="00E85B86"/>
    <w:rsid w:val="00EA092B"/>
    <w:rsid w:val="00EA33E8"/>
    <w:rsid w:val="00EA4006"/>
    <w:rsid w:val="00EB06B5"/>
    <w:rsid w:val="00EC0BC0"/>
    <w:rsid w:val="00ED016F"/>
    <w:rsid w:val="00ED7760"/>
    <w:rsid w:val="00EE2298"/>
    <w:rsid w:val="00EE42B4"/>
    <w:rsid w:val="00EF4B6C"/>
    <w:rsid w:val="00F0185E"/>
    <w:rsid w:val="00F023B9"/>
    <w:rsid w:val="00F0420F"/>
    <w:rsid w:val="00F059BC"/>
    <w:rsid w:val="00F27765"/>
    <w:rsid w:val="00F3379D"/>
    <w:rsid w:val="00F43C1A"/>
    <w:rsid w:val="00F526B5"/>
    <w:rsid w:val="00F54DFD"/>
    <w:rsid w:val="00F55220"/>
    <w:rsid w:val="00F67B0C"/>
    <w:rsid w:val="00F72696"/>
    <w:rsid w:val="00F750B6"/>
    <w:rsid w:val="00F817E1"/>
    <w:rsid w:val="00FA756F"/>
    <w:rsid w:val="00FB4D1C"/>
    <w:rsid w:val="00FB5457"/>
    <w:rsid w:val="00FC1FDE"/>
    <w:rsid w:val="00FC2F8D"/>
    <w:rsid w:val="00FC3D9E"/>
    <w:rsid w:val="00FC41D1"/>
    <w:rsid w:val="00FD46B8"/>
    <w:rsid w:val="010E7E9B"/>
    <w:rsid w:val="0117061E"/>
    <w:rsid w:val="012A75D8"/>
    <w:rsid w:val="015A3F40"/>
    <w:rsid w:val="01814B50"/>
    <w:rsid w:val="01D21E75"/>
    <w:rsid w:val="01F660F0"/>
    <w:rsid w:val="02052189"/>
    <w:rsid w:val="023B5F43"/>
    <w:rsid w:val="025A5964"/>
    <w:rsid w:val="02936C1D"/>
    <w:rsid w:val="02A653B2"/>
    <w:rsid w:val="03516D05"/>
    <w:rsid w:val="03797934"/>
    <w:rsid w:val="042A66C4"/>
    <w:rsid w:val="04445B7D"/>
    <w:rsid w:val="0466104D"/>
    <w:rsid w:val="04881294"/>
    <w:rsid w:val="0491498E"/>
    <w:rsid w:val="052806A1"/>
    <w:rsid w:val="052C6D28"/>
    <w:rsid w:val="05782A89"/>
    <w:rsid w:val="05F42DBD"/>
    <w:rsid w:val="062370B7"/>
    <w:rsid w:val="07045BF5"/>
    <w:rsid w:val="077A38B3"/>
    <w:rsid w:val="07851E81"/>
    <w:rsid w:val="0799089A"/>
    <w:rsid w:val="079D7982"/>
    <w:rsid w:val="07A437CA"/>
    <w:rsid w:val="07BD6E4E"/>
    <w:rsid w:val="07DB78A0"/>
    <w:rsid w:val="07DC3DBA"/>
    <w:rsid w:val="080E35B6"/>
    <w:rsid w:val="08434250"/>
    <w:rsid w:val="08DD647A"/>
    <w:rsid w:val="0921578E"/>
    <w:rsid w:val="097E0933"/>
    <w:rsid w:val="09B1197F"/>
    <w:rsid w:val="09CE3A9B"/>
    <w:rsid w:val="09FD0D53"/>
    <w:rsid w:val="0ABA0445"/>
    <w:rsid w:val="0AC80497"/>
    <w:rsid w:val="0AED1F23"/>
    <w:rsid w:val="0B1F5648"/>
    <w:rsid w:val="0B6432BB"/>
    <w:rsid w:val="0B6C2D58"/>
    <w:rsid w:val="0BB733E3"/>
    <w:rsid w:val="0C0C172B"/>
    <w:rsid w:val="0C58614F"/>
    <w:rsid w:val="0C596496"/>
    <w:rsid w:val="0C763F08"/>
    <w:rsid w:val="0CBE7908"/>
    <w:rsid w:val="0D354195"/>
    <w:rsid w:val="0D3978E7"/>
    <w:rsid w:val="0D791FD6"/>
    <w:rsid w:val="0D7C685F"/>
    <w:rsid w:val="0DB40BEA"/>
    <w:rsid w:val="0E503B4A"/>
    <w:rsid w:val="0E57092F"/>
    <w:rsid w:val="0E7D296A"/>
    <w:rsid w:val="0E855079"/>
    <w:rsid w:val="0EB32239"/>
    <w:rsid w:val="0EE42E1C"/>
    <w:rsid w:val="0F4135EE"/>
    <w:rsid w:val="0FA35373"/>
    <w:rsid w:val="0FB06E5A"/>
    <w:rsid w:val="0FBE35B7"/>
    <w:rsid w:val="10142EB6"/>
    <w:rsid w:val="101D3EED"/>
    <w:rsid w:val="10244D9A"/>
    <w:rsid w:val="10551CA8"/>
    <w:rsid w:val="10750DD4"/>
    <w:rsid w:val="107C35E1"/>
    <w:rsid w:val="108502E4"/>
    <w:rsid w:val="10CA6504"/>
    <w:rsid w:val="110304FE"/>
    <w:rsid w:val="114C1B9B"/>
    <w:rsid w:val="114E5174"/>
    <w:rsid w:val="11A6759B"/>
    <w:rsid w:val="11E5657D"/>
    <w:rsid w:val="120D22AD"/>
    <w:rsid w:val="121949E5"/>
    <w:rsid w:val="122830AD"/>
    <w:rsid w:val="12834262"/>
    <w:rsid w:val="128E4002"/>
    <w:rsid w:val="12F61554"/>
    <w:rsid w:val="12FC7E90"/>
    <w:rsid w:val="130B0777"/>
    <w:rsid w:val="13166834"/>
    <w:rsid w:val="134A4FE1"/>
    <w:rsid w:val="134B6C75"/>
    <w:rsid w:val="134D6BDD"/>
    <w:rsid w:val="13D37AF9"/>
    <w:rsid w:val="145B74E3"/>
    <w:rsid w:val="14C77384"/>
    <w:rsid w:val="158A3A86"/>
    <w:rsid w:val="15A14E74"/>
    <w:rsid w:val="163557D3"/>
    <w:rsid w:val="16436490"/>
    <w:rsid w:val="169135A2"/>
    <w:rsid w:val="16925291"/>
    <w:rsid w:val="16D04ABF"/>
    <w:rsid w:val="17724925"/>
    <w:rsid w:val="177638A9"/>
    <w:rsid w:val="17905436"/>
    <w:rsid w:val="181C089E"/>
    <w:rsid w:val="18526D63"/>
    <w:rsid w:val="18735643"/>
    <w:rsid w:val="189B0CBF"/>
    <w:rsid w:val="18AD6839"/>
    <w:rsid w:val="18DB5DEF"/>
    <w:rsid w:val="191D6953"/>
    <w:rsid w:val="19351CD3"/>
    <w:rsid w:val="19EE743B"/>
    <w:rsid w:val="1A8676DA"/>
    <w:rsid w:val="1A9D4DC4"/>
    <w:rsid w:val="1B981AAE"/>
    <w:rsid w:val="1BCB093C"/>
    <w:rsid w:val="1C024BE3"/>
    <w:rsid w:val="1C1C622E"/>
    <w:rsid w:val="1C785D29"/>
    <w:rsid w:val="1CBA5CB0"/>
    <w:rsid w:val="1CD66E55"/>
    <w:rsid w:val="1D981997"/>
    <w:rsid w:val="1DF52CC8"/>
    <w:rsid w:val="1F1E4577"/>
    <w:rsid w:val="1F2F2163"/>
    <w:rsid w:val="1F6B777F"/>
    <w:rsid w:val="1F784B71"/>
    <w:rsid w:val="1FCA3590"/>
    <w:rsid w:val="1FCE0AF8"/>
    <w:rsid w:val="1FF530E0"/>
    <w:rsid w:val="205D48F0"/>
    <w:rsid w:val="20844299"/>
    <w:rsid w:val="20CD001A"/>
    <w:rsid w:val="20EE1616"/>
    <w:rsid w:val="211A1107"/>
    <w:rsid w:val="21AE37DC"/>
    <w:rsid w:val="21DD349D"/>
    <w:rsid w:val="222372AB"/>
    <w:rsid w:val="225D4B80"/>
    <w:rsid w:val="22B35DE8"/>
    <w:rsid w:val="23736D88"/>
    <w:rsid w:val="2474405A"/>
    <w:rsid w:val="24992C1C"/>
    <w:rsid w:val="249D7CE7"/>
    <w:rsid w:val="249F183E"/>
    <w:rsid w:val="24BB4E7A"/>
    <w:rsid w:val="254577C3"/>
    <w:rsid w:val="259B7A37"/>
    <w:rsid w:val="259C1409"/>
    <w:rsid w:val="25F046C7"/>
    <w:rsid w:val="266A4552"/>
    <w:rsid w:val="27204DA0"/>
    <w:rsid w:val="276401DC"/>
    <w:rsid w:val="276D3ACA"/>
    <w:rsid w:val="278028FC"/>
    <w:rsid w:val="27A32F0A"/>
    <w:rsid w:val="27CE53AB"/>
    <w:rsid w:val="27D05220"/>
    <w:rsid w:val="28534FD7"/>
    <w:rsid w:val="289133FD"/>
    <w:rsid w:val="290F1D6D"/>
    <w:rsid w:val="298465CB"/>
    <w:rsid w:val="2A37589E"/>
    <w:rsid w:val="2A573DA9"/>
    <w:rsid w:val="2A5C73F9"/>
    <w:rsid w:val="2AB602DF"/>
    <w:rsid w:val="2ABA361B"/>
    <w:rsid w:val="2B2E3E50"/>
    <w:rsid w:val="2B5A60E7"/>
    <w:rsid w:val="2B8A2BFD"/>
    <w:rsid w:val="2B9B20F8"/>
    <w:rsid w:val="2BA672C6"/>
    <w:rsid w:val="2BA97CB7"/>
    <w:rsid w:val="2BBD15FD"/>
    <w:rsid w:val="2BCE002A"/>
    <w:rsid w:val="2C123D3A"/>
    <w:rsid w:val="2C3544C1"/>
    <w:rsid w:val="2C3E1462"/>
    <w:rsid w:val="2C8F766A"/>
    <w:rsid w:val="2CA40379"/>
    <w:rsid w:val="2CA95D2E"/>
    <w:rsid w:val="2CAC3C39"/>
    <w:rsid w:val="2D44627F"/>
    <w:rsid w:val="2D50331E"/>
    <w:rsid w:val="2D60052F"/>
    <w:rsid w:val="2DFB3B54"/>
    <w:rsid w:val="2DFC4AD3"/>
    <w:rsid w:val="2E0F6657"/>
    <w:rsid w:val="2E383008"/>
    <w:rsid w:val="2E401F2F"/>
    <w:rsid w:val="2E4D5DBE"/>
    <w:rsid w:val="2E5073DB"/>
    <w:rsid w:val="2F157CF5"/>
    <w:rsid w:val="2F7A7A22"/>
    <w:rsid w:val="2F970E94"/>
    <w:rsid w:val="301C2510"/>
    <w:rsid w:val="30265F03"/>
    <w:rsid w:val="302E1EE5"/>
    <w:rsid w:val="30EB46A3"/>
    <w:rsid w:val="30EB4A93"/>
    <w:rsid w:val="312E541C"/>
    <w:rsid w:val="31425137"/>
    <w:rsid w:val="318C765E"/>
    <w:rsid w:val="31A72E98"/>
    <w:rsid w:val="322101C1"/>
    <w:rsid w:val="323208A9"/>
    <w:rsid w:val="32D961AF"/>
    <w:rsid w:val="333716BB"/>
    <w:rsid w:val="33715619"/>
    <w:rsid w:val="3387307B"/>
    <w:rsid w:val="3389340E"/>
    <w:rsid w:val="3389741A"/>
    <w:rsid w:val="33C827D6"/>
    <w:rsid w:val="33C836A4"/>
    <w:rsid w:val="33DB4C45"/>
    <w:rsid w:val="340709A1"/>
    <w:rsid w:val="34B64142"/>
    <w:rsid w:val="34EB657E"/>
    <w:rsid w:val="351A3EC0"/>
    <w:rsid w:val="35284486"/>
    <w:rsid w:val="353F2F46"/>
    <w:rsid w:val="35A40BA3"/>
    <w:rsid w:val="35BA3983"/>
    <w:rsid w:val="36062AE4"/>
    <w:rsid w:val="360E39EB"/>
    <w:rsid w:val="361D62E4"/>
    <w:rsid w:val="3660526F"/>
    <w:rsid w:val="367F0C61"/>
    <w:rsid w:val="36933E0A"/>
    <w:rsid w:val="36BE30D7"/>
    <w:rsid w:val="36D1576C"/>
    <w:rsid w:val="379A69A2"/>
    <w:rsid w:val="37BF3626"/>
    <w:rsid w:val="37CC63AB"/>
    <w:rsid w:val="38986537"/>
    <w:rsid w:val="38AC7189"/>
    <w:rsid w:val="38BC4A6A"/>
    <w:rsid w:val="38EB30B7"/>
    <w:rsid w:val="39414236"/>
    <w:rsid w:val="396735A5"/>
    <w:rsid w:val="39741DA0"/>
    <w:rsid w:val="3994553D"/>
    <w:rsid w:val="39A46541"/>
    <w:rsid w:val="39B728E9"/>
    <w:rsid w:val="39BA4CDC"/>
    <w:rsid w:val="39C16D66"/>
    <w:rsid w:val="3A5E4739"/>
    <w:rsid w:val="3B2607D0"/>
    <w:rsid w:val="3B2D7740"/>
    <w:rsid w:val="3B8A2243"/>
    <w:rsid w:val="3C1C1350"/>
    <w:rsid w:val="3C1C362D"/>
    <w:rsid w:val="3C1C64A4"/>
    <w:rsid w:val="3C2173BA"/>
    <w:rsid w:val="3C4357AE"/>
    <w:rsid w:val="3C524382"/>
    <w:rsid w:val="3C912377"/>
    <w:rsid w:val="3CC73286"/>
    <w:rsid w:val="3CE51168"/>
    <w:rsid w:val="3D3D77A3"/>
    <w:rsid w:val="3DB934E8"/>
    <w:rsid w:val="3DBC3E2D"/>
    <w:rsid w:val="3DD60B9F"/>
    <w:rsid w:val="3E210E56"/>
    <w:rsid w:val="3E373878"/>
    <w:rsid w:val="3ED44BDB"/>
    <w:rsid w:val="3F2C44A9"/>
    <w:rsid w:val="3F85183B"/>
    <w:rsid w:val="3F962B96"/>
    <w:rsid w:val="3FC632DC"/>
    <w:rsid w:val="3FE272BF"/>
    <w:rsid w:val="401F12FC"/>
    <w:rsid w:val="40294581"/>
    <w:rsid w:val="408043A0"/>
    <w:rsid w:val="41106D95"/>
    <w:rsid w:val="416A302A"/>
    <w:rsid w:val="41840456"/>
    <w:rsid w:val="41A17C46"/>
    <w:rsid w:val="41D61AB7"/>
    <w:rsid w:val="41D77147"/>
    <w:rsid w:val="41F06F8B"/>
    <w:rsid w:val="4209229A"/>
    <w:rsid w:val="42742586"/>
    <w:rsid w:val="42FF5EFB"/>
    <w:rsid w:val="431D7B73"/>
    <w:rsid w:val="4345794A"/>
    <w:rsid w:val="4391736A"/>
    <w:rsid w:val="43BC6A94"/>
    <w:rsid w:val="440A08B0"/>
    <w:rsid w:val="446B69A0"/>
    <w:rsid w:val="448E06C7"/>
    <w:rsid w:val="44B02739"/>
    <w:rsid w:val="450E0497"/>
    <w:rsid w:val="45C7717D"/>
    <w:rsid w:val="461F1974"/>
    <w:rsid w:val="465772D1"/>
    <w:rsid w:val="466F52FE"/>
    <w:rsid w:val="46A009E8"/>
    <w:rsid w:val="471F61DA"/>
    <w:rsid w:val="476A598A"/>
    <w:rsid w:val="486B7A8D"/>
    <w:rsid w:val="49152930"/>
    <w:rsid w:val="499A4960"/>
    <w:rsid w:val="4A3A558E"/>
    <w:rsid w:val="4A823916"/>
    <w:rsid w:val="4AA64274"/>
    <w:rsid w:val="4AEC130B"/>
    <w:rsid w:val="4B607070"/>
    <w:rsid w:val="4B976D79"/>
    <w:rsid w:val="4BC135FF"/>
    <w:rsid w:val="4BDD574D"/>
    <w:rsid w:val="4C6E0536"/>
    <w:rsid w:val="4CB2557B"/>
    <w:rsid w:val="4CC327AB"/>
    <w:rsid w:val="4CDD4C0B"/>
    <w:rsid w:val="4EA31FC6"/>
    <w:rsid w:val="4ECF329D"/>
    <w:rsid w:val="4FB04D80"/>
    <w:rsid w:val="4FFF7BCB"/>
    <w:rsid w:val="504B6FB7"/>
    <w:rsid w:val="506B45F4"/>
    <w:rsid w:val="50B055C6"/>
    <w:rsid w:val="511E2F89"/>
    <w:rsid w:val="51CC45B5"/>
    <w:rsid w:val="522A6CC0"/>
    <w:rsid w:val="526D1077"/>
    <w:rsid w:val="5289367F"/>
    <w:rsid w:val="53055A4B"/>
    <w:rsid w:val="53932B39"/>
    <w:rsid w:val="539D0C21"/>
    <w:rsid w:val="53BF1351"/>
    <w:rsid w:val="543725AA"/>
    <w:rsid w:val="54CB7514"/>
    <w:rsid w:val="54E57775"/>
    <w:rsid w:val="55610566"/>
    <w:rsid w:val="558E5AA7"/>
    <w:rsid w:val="560D2ABA"/>
    <w:rsid w:val="561A70A4"/>
    <w:rsid w:val="562D3D20"/>
    <w:rsid w:val="566F3D91"/>
    <w:rsid w:val="56BE79A4"/>
    <w:rsid w:val="577560D8"/>
    <w:rsid w:val="578C3DAB"/>
    <w:rsid w:val="57C70347"/>
    <w:rsid w:val="57E84145"/>
    <w:rsid w:val="58455594"/>
    <w:rsid w:val="584816F1"/>
    <w:rsid w:val="586F175A"/>
    <w:rsid w:val="587034EC"/>
    <w:rsid w:val="587C1106"/>
    <w:rsid w:val="58B85540"/>
    <w:rsid w:val="58FB20D6"/>
    <w:rsid w:val="5933145A"/>
    <w:rsid w:val="59702FB5"/>
    <w:rsid w:val="59856E5A"/>
    <w:rsid w:val="5986249D"/>
    <w:rsid w:val="598C4DF0"/>
    <w:rsid w:val="59966148"/>
    <w:rsid w:val="59BC1026"/>
    <w:rsid w:val="5B3F372E"/>
    <w:rsid w:val="5B500050"/>
    <w:rsid w:val="5B5A32D5"/>
    <w:rsid w:val="5B840110"/>
    <w:rsid w:val="5B915ED1"/>
    <w:rsid w:val="5BAD015F"/>
    <w:rsid w:val="5C015EAE"/>
    <w:rsid w:val="5C2E22F9"/>
    <w:rsid w:val="5C6E2628"/>
    <w:rsid w:val="5C75010F"/>
    <w:rsid w:val="5CD06C24"/>
    <w:rsid w:val="5D416D18"/>
    <w:rsid w:val="5D700422"/>
    <w:rsid w:val="5D70112E"/>
    <w:rsid w:val="5D7E6D46"/>
    <w:rsid w:val="5D9F30F4"/>
    <w:rsid w:val="5DE917E4"/>
    <w:rsid w:val="5E0A5475"/>
    <w:rsid w:val="5E433BFF"/>
    <w:rsid w:val="5E4500D9"/>
    <w:rsid w:val="5EE16635"/>
    <w:rsid w:val="5F537A3F"/>
    <w:rsid w:val="5F6D03ED"/>
    <w:rsid w:val="5FAE618D"/>
    <w:rsid w:val="5FB33249"/>
    <w:rsid w:val="5FF75C7D"/>
    <w:rsid w:val="5FFC2370"/>
    <w:rsid w:val="607A39A9"/>
    <w:rsid w:val="60944AE5"/>
    <w:rsid w:val="60A75D19"/>
    <w:rsid w:val="61CE4E11"/>
    <w:rsid w:val="61FF1B9D"/>
    <w:rsid w:val="622D61C4"/>
    <w:rsid w:val="62581AD6"/>
    <w:rsid w:val="625911EA"/>
    <w:rsid w:val="62601556"/>
    <w:rsid w:val="62E801ED"/>
    <w:rsid w:val="62F47993"/>
    <w:rsid w:val="637768A7"/>
    <w:rsid w:val="63837157"/>
    <w:rsid w:val="63E64EE3"/>
    <w:rsid w:val="63E70A36"/>
    <w:rsid w:val="63EC502F"/>
    <w:rsid w:val="64457D13"/>
    <w:rsid w:val="646336F6"/>
    <w:rsid w:val="64C62BD4"/>
    <w:rsid w:val="652066A7"/>
    <w:rsid w:val="654E62EF"/>
    <w:rsid w:val="656620D2"/>
    <w:rsid w:val="65666AED"/>
    <w:rsid w:val="65B54142"/>
    <w:rsid w:val="66336A0F"/>
    <w:rsid w:val="665F61D6"/>
    <w:rsid w:val="66D91C48"/>
    <w:rsid w:val="66E42BCB"/>
    <w:rsid w:val="67123EFA"/>
    <w:rsid w:val="671261FF"/>
    <w:rsid w:val="671E19D6"/>
    <w:rsid w:val="674F42D2"/>
    <w:rsid w:val="67823588"/>
    <w:rsid w:val="67C634B6"/>
    <w:rsid w:val="68387EBC"/>
    <w:rsid w:val="684C4125"/>
    <w:rsid w:val="688F7C80"/>
    <w:rsid w:val="68901693"/>
    <w:rsid w:val="68BA2380"/>
    <w:rsid w:val="692D1D61"/>
    <w:rsid w:val="693948EF"/>
    <w:rsid w:val="695871DE"/>
    <w:rsid w:val="69670888"/>
    <w:rsid w:val="69F524BE"/>
    <w:rsid w:val="69FE5017"/>
    <w:rsid w:val="6A206100"/>
    <w:rsid w:val="6A347F0F"/>
    <w:rsid w:val="6A6A4804"/>
    <w:rsid w:val="6A9C4BE4"/>
    <w:rsid w:val="6A9C7C05"/>
    <w:rsid w:val="6AC3596F"/>
    <w:rsid w:val="6B331A9B"/>
    <w:rsid w:val="6B4127F0"/>
    <w:rsid w:val="6B441395"/>
    <w:rsid w:val="6B8D4E0D"/>
    <w:rsid w:val="6C232301"/>
    <w:rsid w:val="6C690BFF"/>
    <w:rsid w:val="6CB378E1"/>
    <w:rsid w:val="6CDD4055"/>
    <w:rsid w:val="6D440E00"/>
    <w:rsid w:val="6DA36132"/>
    <w:rsid w:val="6DCB404B"/>
    <w:rsid w:val="6E350F5C"/>
    <w:rsid w:val="6F281DC6"/>
    <w:rsid w:val="702670E0"/>
    <w:rsid w:val="704E17F4"/>
    <w:rsid w:val="7069446D"/>
    <w:rsid w:val="706F14A1"/>
    <w:rsid w:val="709C7554"/>
    <w:rsid w:val="70F37205"/>
    <w:rsid w:val="718C7104"/>
    <w:rsid w:val="71A7589C"/>
    <w:rsid w:val="71BC79D7"/>
    <w:rsid w:val="71CD4425"/>
    <w:rsid w:val="720073B7"/>
    <w:rsid w:val="7202741C"/>
    <w:rsid w:val="721C7AC0"/>
    <w:rsid w:val="726B5C4B"/>
    <w:rsid w:val="726E2C1A"/>
    <w:rsid w:val="729333CD"/>
    <w:rsid w:val="72A4140C"/>
    <w:rsid w:val="72CD07EF"/>
    <w:rsid w:val="73473D3C"/>
    <w:rsid w:val="73B26E8E"/>
    <w:rsid w:val="73C45320"/>
    <w:rsid w:val="746C0695"/>
    <w:rsid w:val="748A51B4"/>
    <w:rsid w:val="74A8283F"/>
    <w:rsid w:val="74E642D1"/>
    <w:rsid w:val="756D010D"/>
    <w:rsid w:val="759B107C"/>
    <w:rsid w:val="763F4351"/>
    <w:rsid w:val="769348E7"/>
    <w:rsid w:val="76A11100"/>
    <w:rsid w:val="76DD1D62"/>
    <w:rsid w:val="772A0A50"/>
    <w:rsid w:val="77344D94"/>
    <w:rsid w:val="777D6A22"/>
    <w:rsid w:val="7798564F"/>
    <w:rsid w:val="77A00CFB"/>
    <w:rsid w:val="77C4430A"/>
    <w:rsid w:val="7882756C"/>
    <w:rsid w:val="78B84356"/>
    <w:rsid w:val="790C488E"/>
    <w:rsid w:val="79555FE8"/>
    <w:rsid w:val="79797175"/>
    <w:rsid w:val="79B87059"/>
    <w:rsid w:val="7A3C323B"/>
    <w:rsid w:val="7A436BBA"/>
    <w:rsid w:val="7A99706E"/>
    <w:rsid w:val="7B083F5A"/>
    <w:rsid w:val="7B085C03"/>
    <w:rsid w:val="7B1B206A"/>
    <w:rsid w:val="7B922BE1"/>
    <w:rsid w:val="7C581FA4"/>
    <w:rsid w:val="7C756DD9"/>
    <w:rsid w:val="7D7155E1"/>
    <w:rsid w:val="7DB56EA3"/>
    <w:rsid w:val="7DC569C8"/>
    <w:rsid w:val="7DE628E2"/>
    <w:rsid w:val="7E7C115B"/>
    <w:rsid w:val="7EA24D93"/>
    <w:rsid w:val="7EA9308D"/>
    <w:rsid w:val="7ED917CA"/>
    <w:rsid w:val="7EDF7308"/>
    <w:rsid w:val="7EEC21F7"/>
    <w:rsid w:val="7F1144B3"/>
    <w:rsid w:val="7F56327E"/>
    <w:rsid w:val="7F8A0425"/>
    <w:rsid w:val="7FCC533C"/>
    <w:rsid w:val="7FE64BC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iPriority="99" w:name="HTML Keyboard"/>
    <w:lsdException w:qFormat="1" w:unhideWhenUsed="0" w:uiPriority="99" w:semiHidden="0" w:name="HTML Preformatted"/>
    <w:lsdException w:uiPriority="99" w:name="HTML Sample"/>
    <w:lsdException w:uiPriority="99" w:name="HTML Typewriter"/>
    <w:lsdException w:qFormat="1"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3">
    <w:name w:val="heading 1"/>
    <w:basedOn w:val="1"/>
    <w:next w:val="1"/>
    <w:link w:val="65"/>
    <w:qFormat/>
    <w:uiPriority w:val="9"/>
    <w:pPr>
      <w:keepNext/>
      <w:keepLines/>
      <w:snapToGrid w:val="0"/>
      <w:spacing w:before="220" w:after="90" w:line="576" w:lineRule="auto"/>
      <w:jc w:val="center"/>
      <w:outlineLvl w:val="0"/>
    </w:pPr>
    <w:rPr>
      <w:rFonts w:hAnsi="宋体"/>
      <w:b/>
      <w:kern w:val="44"/>
      <w:sz w:val="32"/>
    </w:rPr>
  </w:style>
  <w:style w:type="paragraph" w:styleId="4">
    <w:name w:val="heading 2"/>
    <w:basedOn w:val="1"/>
    <w:next w:val="1"/>
    <w:link w:val="84"/>
    <w:qFormat/>
    <w:uiPriority w:val="9"/>
    <w:pPr>
      <w:keepNext/>
      <w:keepLines/>
      <w:adjustRightInd w:val="0"/>
      <w:snapToGrid w:val="0"/>
      <w:spacing w:before="100" w:after="100" w:line="360" w:lineRule="auto"/>
      <w:jc w:val="center"/>
      <w:outlineLvl w:val="1"/>
    </w:pPr>
    <w:rPr>
      <w:rFonts w:ascii="Arial" w:hAnsi="Arial" w:eastAsia="黑体"/>
      <w:b/>
      <w:kern w:val="2"/>
      <w:sz w:val="30"/>
    </w:rPr>
  </w:style>
  <w:style w:type="paragraph" w:styleId="5">
    <w:name w:val="heading 3"/>
    <w:basedOn w:val="1"/>
    <w:next w:val="1"/>
    <w:link w:val="85"/>
    <w:qFormat/>
    <w:uiPriority w:val="9"/>
    <w:pPr>
      <w:keepNext/>
      <w:keepLines/>
      <w:spacing w:before="20" w:after="20" w:line="360" w:lineRule="auto"/>
      <w:ind w:firstLine="720" w:firstLineChars="200"/>
      <w:outlineLvl w:val="2"/>
    </w:pPr>
    <w:rPr>
      <w:rFonts w:hAnsi="宋体"/>
      <w:b/>
      <w:sz w:val="24"/>
    </w:rPr>
  </w:style>
  <w:style w:type="paragraph" w:styleId="6">
    <w:name w:val="heading 4"/>
    <w:basedOn w:val="1"/>
    <w:next w:val="1"/>
    <w:link w:val="79"/>
    <w:qFormat/>
    <w:uiPriority w:val="0"/>
    <w:pPr>
      <w:keepNext/>
      <w:keepLines/>
      <w:spacing w:before="280" w:after="290" w:line="372" w:lineRule="auto"/>
      <w:outlineLvl w:val="3"/>
    </w:pPr>
    <w:rPr>
      <w:rFonts w:ascii="Arial" w:hAnsi="Arial" w:eastAsia="黑体"/>
      <w:b/>
      <w:bCs/>
      <w:sz w:val="28"/>
      <w:szCs w:val="28"/>
    </w:rPr>
  </w:style>
  <w:style w:type="paragraph" w:styleId="7">
    <w:name w:val="heading 5"/>
    <w:basedOn w:val="1"/>
    <w:next w:val="8"/>
    <w:qFormat/>
    <w:uiPriority w:val="0"/>
    <w:pPr>
      <w:keepNext/>
      <w:keepLines/>
      <w:spacing w:before="280" w:after="290" w:line="372" w:lineRule="auto"/>
      <w:outlineLvl w:val="4"/>
    </w:pPr>
    <w:rPr>
      <w:b/>
      <w:sz w:val="28"/>
      <w:szCs w:val="24"/>
    </w:rPr>
  </w:style>
  <w:style w:type="paragraph" w:styleId="9">
    <w:name w:val="heading 6"/>
    <w:basedOn w:val="1"/>
    <w:next w:val="8"/>
    <w:qFormat/>
    <w:uiPriority w:val="0"/>
    <w:pPr>
      <w:keepNext/>
      <w:keepLines/>
      <w:spacing w:before="240" w:after="64" w:line="317" w:lineRule="auto"/>
      <w:outlineLvl w:val="5"/>
    </w:pPr>
    <w:rPr>
      <w:rFonts w:ascii="Arial" w:hAnsi="Arial" w:eastAsia="黑体"/>
      <w:b/>
      <w:sz w:val="24"/>
      <w:szCs w:val="24"/>
    </w:rPr>
  </w:style>
  <w:style w:type="paragraph" w:styleId="10">
    <w:name w:val="heading 7"/>
    <w:basedOn w:val="1"/>
    <w:next w:val="8"/>
    <w:qFormat/>
    <w:uiPriority w:val="0"/>
    <w:pPr>
      <w:keepNext/>
      <w:keepLines/>
      <w:spacing w:before="240" w:after="64" w:line="317" w:lineRule="auto"/>
      <w:outlineLvl w:val="6"/>
    </w:pPr>
    <w:rPr>
      <w:b/>
      <w:sz w:val="24"/>
      <w:szCs w:val="24"/>
    </w:rPr>
  </w:style>
  <w:style w:type="paragraph" w:styleId="11">
    <w:name w:val="heading 8"/>
    <w:basedOn w:val="1"/>
    <w:next w:val="8"/>
    <w:qFormat/>
    <w:uiPriority w:val="0"/>
    <w:pPr>
      <w:keepNext/>
      <w:keepLines/>
      <w:spacing w:before="240" w:after="64" w:line="317" w:lineRule="auto"/>
      <w:outlineLvl w:val="7"/>
    </w:pPr>
    <w:rPr>
      <w:rFonts w:ascii="Arial" w:hAnsi="Arial" w:eastAsia="黑体"/>
      <w:sz w:val="24"/>
      <w:szCs w:val="24"/>
    </w:rPr>
  </w:style>
  <w:style w:type="paragraph" w:styleId="12">
    <w:name w:val="heading 9"/>
    <w:basedOn w:val="1"/>
    <w:next w:val="8"/>
    <w:qFormat/>
    <w:uiPriority w:val="0"/>
    <w:pPr>
      <w:keepNext/>
      <w:keepLines/>
      <w:spacing w:before="240" w:after="64" w:line="317" w:lineRule="auto"/>
      <w:outlineLvl w:val="8"/>
    </w:pPr>
    <w:rPr>
      <w:rFonts w:ascii="Arial" w:hAnsi="Arial" w:eastAsia="黑体"/>
      <w:szCs w:val="24"/>
    </w:rPr>
  </w:style>
  <w:style w:type="character" w:default="1" w:styleId="44">
    <w:name w:val="Default Paragraph Font"/>
    <w:unhideWhenUsed/>
    <w:qFormat/>
    <w:uiPriority w:val="1"/>
  </w:style>
  <w:style w:type="table" w:default="1" w:styleId="55">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8">
    <w:name w:val="Normal Indent"/>
    <w:basedOn w:val="1"/>
    <w:link w:val="76"/>
    <w:qFormat/>
    <w:uiPriority w:val="0"/>
    <w:pPr>
      <w:ind w:firstLine="420"/>
    </w:pPr>
    <w:rPr>
      <w:rFonts w:ascii="Times New Roman"/>
      <w:kern w:val="2"/>
      <w:sz w:val="21"/>
    </w:rPr>
  </w:style>
  <w:style w:type="paragraph" w:styleId="13">
    <w:name w:val="annotation subject"/>
    <w:basedOn w:val="14"/>
    <w:next w:val="14"/>
    <w:qFormat/>
    <w:uiPriority w:val="0"/>
    <w:rPr>
      <w:b/>
      <w:bCs/>
    </w:rPr>
  </w:style>
  <w:style w:type="paragraph" w:styleId="14">
    <w:name w:val="annotation text"/>
    <w:basedOn w:val="1"/>
    <w:link w:val="290"/>
    <w:qFormat/>
    <w:uiPriority w:val="0"/>
    <w:pPr>
      <w:jc w:val="left"/>
    </w:pPr>
  </w:style>
  <w:style w:type="paragraph" w:styleId="15">
    <w:name w:val="toc 7"/>
    <w:basedOn w:val="1"/>
    <w:next w:val="1"/>
    <w:qFormat/>
    <w:uiPriority w:val="0"/>
    <w:pPr>
      <w:ind w:left="2040"/>
      <w:jc w:val="left"/>
    </w:pPr>
    <w:rPr>
      <w:rFonts w:asciiTheme="minorHAnsi" w:hAnsiTheme="minorHAnsi" w:cstheme="minorHAnsi"/>
      <w:sz w:val="18"/>
      <w:szCs w:val="18"/>
    </w:rPr>
  </w:style>
  <w:style w:type="paragraph" w:styleId="16">
    <w:name w:val="Body Text First Indent"/>
    <w:basedOn w:val="2"/>
    <w:qFormat/>
    <w:uiPriority w:val="0"/>
    <w:pPr>
      <w:ind w:firstLine="420" w:firstLineChars="100"/>
    </w:pPr>
  </w:style>
  <w:style w:type="paragraph" w:styleId="17">
    <w:name w:val="caption"/>
    <w:basedOn w:val="1"/>
    <w:next w:val="1"/>
    <w:qFormat/>
    <w:uiPriority w:val="0"/>
    <w:pPr>
      <w:spacing w:before="152" w:after="160" w:line="360" w:lineRule="auto"/>
    </w:pPr>
    <w:rPr>
      <w:rFonts w:ascii="Arial" w:hAnsi="Arial" w:eastAsia="黑体"/>
      <w:kern w:val="2"/>
      <w:sz w:val="20"/>
    </w:rPr>
  </w:style>
  <w:style w:type="paragraph" w:styleId="18">
    <w:name w:val="Document Map"/>
    <w:basedOn w:val="1"/>
    <w:link w:val="119"/>
    <w:qFormat/>
    <w:uiPriority w:val="99"/>
    <w:pPr>
      <w:shd w:val="clear" w:color="auto" w:fill="000080"/>
    </w:pPr>
  </w:style>
  <w:style w:type="paragraph" w:styleId="19">
    <w:name w:val="Salutation"/>
    <w:basedOn w:val="1"/>
    <w:next w:val="1"/>
    <w:link w:val="97"/>
    <w:qFormat/>
    <w:uiPriority w:val="0"/>
    <w:rPr>
      <w:rFonts w:eastAsia="黑体"/>
      <w:kern w:val="2"/>
    </w:rPr>
  </w:style>
  <w:style w:type="paragraph" w:styleId="20">
    <w:name w:val="Body Text 3"/>
    <w:basedOn w:val="1"/>
    <w:qFormat/>
    <w:uiPriority w:val="0"/>
    <w:pPr>
      <w:spacing w:line="500" w:lineRule="exact"/>
    </w:pPr>
    <w:rPr>
      <w:b/>
      <w:bCs/>
      <w:sz w:val="24"/>
      <w:szCs w:val="24"/>
    </w:rPr>
  </w:style>
  <w:style w:type="paragraph" w:styleId="21">
    <w:name w:val="Body Text Indent"/>
    <w:basedOn w:val="1"/>
    <w:link w:val="75"/>
    <w:qFormat/>
    <w:uiPriority w:val="0"/>
    <w:pPr>
      <w:ind w:firstLine="630"/>
    </w:pPr>
    <w:rPr>
      <w:sz w:val="32"/>
    </w:rPr>
  </w:style>
  <w:style w:type="paragraph" w:styleId="22">
    <w:name w:val="List 2"/>
    <w:basedOn w:val="1"/>
    <w:qFormat/>
    <w:uiPriority w:val="0"/>
    <w:pPr>
      <w:ind w:left="100" w:leftChars="200" w:hanging="200" w:hangingChars="200"/>
    </w:pPr>
    <w:rPr>
      <w:szCs w:val="24"/>
    </w:rPr>
  </w:style>
  <w:style w:type="paragraph" w:styleId="23">
    <w:name w:val="Block Text"/>
    <w:basedOn w:val="1"/>
    <w:qFormat/>
    <w:uiPriority w:val="0"/>
    <w:pPr>
      <w:spacing w:line="400" w:lineRule="exact"/>
      <w:ind w:left="-359" w:leftChars="-171" w:right="-687" w:rightChars="-327" w:firstLine="720"/>
    </w:pPr>
    <w:rPr>
      <w:rFonts w:hAnsi="宋体"/>
      <w:sz w:val="28"/>
      <w:szCs w:val="24"/>
    </w:rPr>
  </w:style>
  <w:style w:type="paragraph" w:styleId="24">
    <w:name w:val="toc 5"/>
    <w:basedOn w:val="1"/>
    <w:next w:val="1"/>
    <w:qFormat/>
    <w:uiPriority w:val="0"/>
    <w:pPr>
      <w:ind w:left="1360"/>
      <w:jc w:val="left"/>
    </w:pPr>
    <w:rPr>
      <w:rFonts w:asciiTheme="minorHAnsi" w:hAnsiTheme="minorHAnsi" w:cstheme="minorHAnsi"/>
      <w:sz w:val="18"/>
      <w:szCs w:val="18"/>
    </w:rPr>
  </w:style>
  <w:style w:type="paragraph" w:styleId="25">
    <w:name w:val="toc 3"/>
    <w:basedOn w:val="1"/>
    <w:next w:val="1"/>
    <w:qFormat/>
    <w:uiPriority w:val="0"/>
    <w:pPr>
      <w:ind w:left="680"/>
      <w:jc w:val="left"/>
    </w:pPr>
    <w:rPr>
      <w:rFonts w:asciiTheme="minorHAnsi" w:hAnsiTheme="minorHAnsi" w:cstheme="minorHAnsi"/>
      <w:i/>
      <w:iCs/>
      <w:sz w:val="20"/>
    </w:rPr>
  </w:style>
  <w:style w:type="paragraph" w:styleId="26">
    <w:name w:val="Plain Text"/>
    <w:basedOn w:val="1"/>
    <w:link w:val="100"/>
    <w:qFormat/>
    <w:uiPriority w:val="0"/>
    <w:pPr>
      <w:autoSpaceDE w:val="0"/>
      <w:autoSpaceDN w:val="0"/>
      <w:adjustRightInd w:val="0"/>
    </w:pPr>
    <w:rPr>
      <w:rFonts w:hAnsi="Courier New"/>
      <w:kern w:val="2"/>
      <w:sz w:val="21"/>
      <w:szCs w:val="21"/>
    </w:rPr>
  </w:style>
  <w:style w:type="paragraph" w:styleId="27">
    <w:name w:val="toc 8"/>
    <w:basedOn w:val="1"/>
    <w:next w:val="1"/>
    <w:qFormat/>
    <w:uiPriority w:val="0"/>
    <w:pPr>
      <w:ind w:left="2380"/>
      <w:jc w:val="left"/>
    </w:pPr>
    <w:rPr>
      <w:rFonts w:asciiTheme="minorHAnsi" w:hAnsiTheme="minorHAnsi" w:cstheme="minorHAnsi"/>
      <w:sz w:val="18"/>
      <w:szCs w:val="18"/>
    </w:rPr>
  </w:style>
  <w:style w:type="paragraph" w:styleId="28">
    <w:name w:val="Date"/>
    <w:basedOn w:val="1"/>
    <w:next w:val="1"/>
    <w:link w:val="111"/>
    <w:qFormat/>
    <w:uiPriority w:val="0"/>
    <w:rPr>
      <w:rFonts w:eastAsia="黑体"/>
      <w:sz w:val="36"/>
    </w:rPr>
  </w:style>
  <w:style w:type="paragraph" w:styleId="29">
    <w:name w:val="Body Text Indent 2"/>
    <w:basedOn w:val="1"/>
    <w:qFormat/>
    <w:uiPriority w:val="0"/>
    <w:pPr>
      <w:ind w:firstLine="630"/>
    </w:pPr>
    <w:rPr>
      <w:sz w:val="32"/>
    </w:rPr>
  </w:style>
  <w:style w:type="paragraph" w:styleId="30">
    <w:name w:val="Balloon Text"/>
    <w:basedOn w:val="1"/>
    <w:link w:val="86"/>
    <w:qFormat/>
    <w:uiPriority w:val="99"/>
    <w:rPr>
      <w:sz w:val="18"/>
      <w:szCs w:val="18"/>
    </w:rPr>
  </w:style>
  <w:style w:type="paragraph" w:styleId="31">
    <w:name w:val="footer"/>
    <w:basedOn w:val="1"/>
    <w:link w:val="118"/>
    <w:qFormat/>
    <w:uiPriority w:val="99"/>
    <w:pPr>
      <w:tabs>
        <w:tab w:val="center" w:pos="4153"/>
        <w:tab w:val="right" w:pos="8306"/>
      </w:tabs>
      <w:snapToGrid w:val="0"/>
      <w:jc w:val="left"/>
    </w:pPr>
    <w:rPr>
      <w:sz w:val="18"/>
    </w:rPr>
  </w:style>
  <w:style w:type="paragraph" w:styleId="32">
    <w:name w:val="header"/>
    <w:basedOn w:val="1"/>
    <w:link w:val="95"/>
    <w:qFormat/>
    <w:uiPriority w:val="99"/>
    <w:pPr>
      <w:pBdr>
        <w:bottom w:val="single" w:color="auto" w:sz="6" w:space="1"/>
      </w:pBdr>
      <w:tabs>
        <w:tab w:val="center" w:pos="4153"/>
        <w:tab w:val="right" w:pos="8306"/>
      </w:tabs>
      <w:snapToGrid w:val="0"/>
      <w:jc w:val="center"/>
    </w:pPr>
    <w:rPr>
      <w:kern w:val="2"/>
      <w:sz w:val="18"/>
    </w:rPr>
  </w:style>
  <w:style w:type="paragraph" w:styleId="33">
    <w:name w:val="toc 1"/>
    <w:basedOn w:val="1"/>
    <w:next w:val="1"/>
    <w:qFormat/>
    <w:uiPriority w:val="39"/>
    <w:pPr>
      <w:spacing w:before="120" w:after="120" w:line="288" w:lineRule="auto"/>
      <w:jc w:val="left"/>
    </w:pPr>
    <w:rPr>
      <w:rFonts w:asciiTheme="minorHAnsi" w:hAnsiTheme="minorHAnsi" w:cstheme="minorHAnsi"/>
      <w:b/>
      <w:bCs/>
      <w:caps/>
      <w:sz w:val="24"/>
    </w:rPr>
  </w:style>
  <w:style w:type="paragraph" w:styleId="34">
    <w:name w:val="toc 4"/>
    <w:basedOn w:val="1"/>
    <w:next w:val="1"/>
    <w:qFormat/>
    <w:uiPriority w:val="0"/>
    <w:pPr>
      <w:ind w:left="1020"/>
      <w:jc w:val="left"/>
    </w:pPr>
    <w:rPr>
      <w:rFonts w:asciiTheme="minorHAnsi" w:hAnsiTheme="minorHAnsi" w:cstheme="minorHAnsi"/>
      <w:sz w:val="18"/>
      <w:szCs w:val="18"/>
    </w:rPr>
  </w:style>
  <w:style w:type="paragraph" w:styleId="35">
    <w:name w:val="Subtitle"/>
    <w:basedOn w:val="1"/>
    <w:link w:val="104"/>
    <w:qFormat/>
    <w:uiPriority w:val="0"/>
    <w:rPr>
      <w:kern w:val="2"/>
      <w:sz w:val="28"/>
    </w:rPr>
  </w:style>
  <w:style w:type="paragraph" w:styleId="36">
    <w:name w:val="List"/>
    <w:basedOn w:val="1"/>
    <w:qFormat/>
    <w:uiPriority w:val="0"/>
    <w:pPr>
      <w:ind w:left="200" w:hanging="200" w:hangingChars="200"/>
    </w:pPr>
    <w:rPr>
      <w:szCs w:val="24"/>
    </w:rPr>
  </w:style>
  <w:style w:type="paragraph" w:styleId="37">
    <w:name w:val="toc 6"/>
    <w:basedOn w:val="1"/>
    <w:next w:val="1"/>
    <w:qFormat/>
    <w:uiPriority w:val="0"/>
    <w:pPr>
      <w:ind w:left="1700"/>
      <w:jc w:val="left"/>
    </w:pPr>
    <w:rPr>
      <w:rFonts w:asciiTheme="minorHAnsi" w:hAnsiTheme="minorHAnsi" w:cstheme="minorHAnsi"/>
      <w:sz w:val="18"/>
      <w:szCs w:val="18"/>
    </w:rPr>
  </w:style>
  <w:style w:type="paragraph" w:styleId="38">
    <w:name w:val="Body Text Indent 3"/>
    <w:basedOn w:val="1"/>
    <w:qFormat/>
    <w:uiPriority w:val="0"/>
    <w:pPr>
      <w:adjustRightInd w:val="0"/>
      <w:snapToGrid w:val="0"/>
      <w:spacing w:line="360" w:lineRule="auto"/>
      <w:ind w:firstLine="600" w:firstLineChars="200"/>
    </w:pPr>
    <w:rPr>
      <w:rFonts w:ascii="黑体" w:eastAsia="黑体"/>
      <w:sz w:val="30"/>
      <w:szCs w:val="28"/>
    </w:rPr>
  </w:style>
  <w:style w:type="paragraph" w:styleId="39">
    <w:name w:val="toc 2"/>
    <w:basedOn w:val="1"/>
    <w:next w:val="1"/>
    <w:qFormat/>
    <w:uiPriority w:val="0"/>
    <w:pPr>
      <w:ind w:left="340"/>
      <w:jc w:val="left"/>
    </w:pPr>
    <w:rPr>
      <w:rFonts w:asciiTheme="minorHAnsi" w:hAnsiTheme="minorHAnsi" w:cstheme="minorHAnsi"/>
      <w:smallCaps/>
      <w:sz w:val="20"/>
    </w:rPr>
  </w:style>
  <w:style w:type="paragraph" w:styleId="40">
    <w:name w:val="toc 9"/>
    <w:basedOn w:val="1"/>
    <w:next w:val="1"/>
    <w:qFormat/>
    <w:uiPriority w:val="0"/>
    <w:pPr>
      <w:ind w:left="2720"/>
      <w:jc w:val="left"/>
    </w:pPr>
    <w:rPr>
      <w:rFonts w:asciiTheme="minorHAnsi" w:hAnsiTheme="minorHAnsi" w:cstheme="minorHAnsi"/>
      <w:sz w:val="18"/>
      <w:szCs w:val="18"/>
    </w:rPr>
  </w:style>
  <w:style w:type="paragraph" w:styleId="41">
    <w:name w:val="Body Text 2"/>
    <w:basedOn w:val="1"/>
    <w:link w:val="94"/>
    <w:qFormat/>
    <w:uiPriority w:val="0"/>
    <w:pPr>
      <w:spacing w:after="120" w:line="480" w:lineRule="auto"/>
    </w:pPr>
    <w:rPr>
      <w:rFonts w:ascii="Times New Roman"/>
      <w:kern w:val="2"/>
      <w:sz w:val="21"/>
      <w:szCs w:val="24"/>
    </w:rPr>
  </w:style>
  <w:style w:type="paragraph" w:styleId="42">
    <w:name w:val="HTML Preformatted"/>
    <w:basedOn w:val="1"/>
    <w:link w:val="92"/>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Arial Unicode MS" w:cs="Arial Unicode MS"/>
      <w:sz w:val="20"/>
    </w:rPr>
  </w:style>
  <w:style w:type="paragraph" w:styleId="43">
    <w:name w:val="Normal (Web)"/>
    <w:basedOn w:val="1"/>
    <w:qFormat/>
    <w:uiPriority w:val="99"/>
    <w:pPr>
      <w:widowControl/>
      <w:spacing w:before="100" w:beforeAutospacing="1" w:after="100" w:afterAutospacing="1"/>
      <w:jc w:val="left"/>
    </w:pPr>
    <w:rPr>
      <w:rFonts w:hAnsi="宋体"/>
      <w:sz w:val="18"/>
      <w:szCs w:val="18"/>
    </w:rPr>
  </w:style>
  <w:style w:type="character" w:styleId="45">
    <w:name w:val="Strong"/>
    <w:qFormat/>
    <w:uiPriority w:val="22"/>
    <w:rPr>
      <w:b/>
      <w:bCs/>
    </w:rPr>
  </w:style>
  <w:style w:type="character" w:styleId="46">
    <w:name w:val="page number"/>
    <w:basedOn w:val="44"/>
    <w:qFormat/>
    <w:uiPriority w:val="0"/>
  </w:style>
  <w:style w:type="character" w:styleId="47">
    <w:name w:val="FollowedHyperlink"/>
    <w:basedOn w:val="44"/>
    <w:unhideWhenUsed/>
    <w:qFormat/>
    <w:uiPriority w:val="0"/>
    <w:rPr>
      <w:color w:val="333333"/>
      <w:u w:val="none"/>
    </w:rPr>
  </w:style>
  <w:style w:type="character" w:styleId="48">
    <w:name w:val="Emphasis"/>
    <w:qFormat/>
    <w:uiPriority w:val="0"/>
  </w:style>
  <w:style w:type="character" w:styleId="49">
    <w:name w:val="HTML Definition"/>
    <w:qFormat/>
    <w:uiPriority w:val="0"/>
  </w:style>
  <w:style w:type="character" w:styleId="50">
    <w:name w:val="HTML Variable"/>
    <w:qFormat/>
    <w:uiPriority w:val="0"/>
  </w:style>
  <w:style w:type="character" w:styleId="51">
    <w:name w:val="Hyperlink"/>
    <w:qFormat/>
    <w:uiPriority w:val="99"/>
    <w:rPr>
      <w:color w:val="333333"/>
      <w:u w:val="none"/>
    </w:rPr>
  </w:style>
  <w:style w:type="character" w:styleId="52">
    <w:name w:val="HTML Code"/>
    <w:basedOn w:val="44"/>
    <w:qFormat/>
    <w:uiPriority w:val="0"/>
    <w:rPr>
      <w:rFonts w:ascii="Courier New" w:hAnsi="Courier New"/>
      <w:sz w:val="20"/>
    </w:rPr>
  </w:style>
  <w:style w:type="character" w:styleId="53">
    <w:name w:val="annotation reference"/>
    <w:qFormat/>
    <w:uiPriority w:val="0"/>
    <w:rPr>
      <w:sz w:val="21"/>
      <w:szCs w:val="21"/>
    </w:rPr>
  </w:style>
  <w:style w:type="character" w:styleId="54">
    <w:name w:val="HTML Cite"/>
    <w:qFormat/>
    <w:uiPriority w:val="0"/>
  </w:style>
  <w:style w:type="table" w:styleId="56">
    <w:name w:val="Table Grid"/>
    <w:basedOn w:val="5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57">
    <w:name w:val="label"/>
    <w:qFormat/>
    <w:uiPriority w:val="0"/>
    <w:rPr>
      <w:color w:val="555555"/>
    </w:rPr>
  </w:style>
  <w:style w:type="character" w:customStyle="1" w:styleId="58">
    <w:name w:val="productdetailname"/>
    <w:basedOn w:val="44"/>
    <w:qFormat/>
    <w:uiPriority w:val="0"/>
  </w:style>
  <w:style w:type="character" w:customStyle="1" w:styleId="59">
    <w:name w:val="huei12b1"/>
    <w:qFormat/>
    <w:uiPriority w:val="0"/>
    <w:rPr>
      <w:b/>
      <w:bCs/>
      <w:color w:val="333333"/>
      <w:sz w:val="18"/>
      <w:szCs w:val="18"/>
    </w:rPr>
  </w:style>
  <w:style w:type="character" w:customStyle="1" w:styleId="60">
    <w:name w:val="纯文本 Char Char"/>
    <w:qFormat/>
    <w:uiPriority w:val="0"/>
    <w:rPr>
      <w:rFonts w:ascii="宋体" w:hAnsi="Courier New" w:cs="Courier New"/>
      <w:kern w:val="2"/>
      <w:sz w:val="21"/>
      <w:szCs w:val="21"/>
    </w:rPr>
  </w:style>
  <w:style w:type="character" w:customStyle="1" w:styleId="61">
    <w:name w:val="访问过的超链接1"/>
    <w:qFormat/>
    <w:uiPriority w:val="0"/>
    <w:rPr>
      <w:color w:val="333333"/>
      <w:u w:val="none"/>
    </w:rPr>
  </w:style>
  <w:style w:type="character" w:customStyle="1" w:styleId="62">
    <w:name w:val="h Char"/>
    <w:qFormat/>
    <w:uiPriority w:val="0"/>
    <w:rPr>
      <w:rFonts w:eastAsia="仿宋_GB2312"/>
      <w:kern w:val="2"/>
      <w:sz w:val="18"/>
      <w:szCs w:val="18"/>
      <w:lang w:val="en-US" w:eastAsia="zh-CN" w:bidi="ar-SA"/>
    </w:rPr>
  </w:style>
  <w:style w:type="character" w:customStyle="1" w:styleId="63">
    <w:name w:val="ca-111"/>
    <w:qFormat/>
    <w:uiPriority w:val="0"/>
    <w:rPr>
      <w:rFonts w:hint="eastAsia" w:ascii="宋体" w:hAnsi="宋体" w:eastAsia="宋体"/>
      <w:color w:val="000000"/>
      <w:sz w:val="24"/>
      <w:szCs w:val="24"/>
    </w:rPr>
  </w:style>
  <w:style w:type="character" w:customStyle="1" w:styleId="64">
    <w:name w:val="正文首行缩进两字符 Char Char"/>
    <w:qFormat/>
    <w:uiPriority w:val="0"/>
    <w:rPr>
      <w:rFonts w:eastAsia="宋体"/>
      <w:kern w:val="2"/>
      <w:sz w:val="21"/>
      <w:szCs w:val="24"/>
      <w:lang w:val="en-US" w:eastAsia="zh-CN" w:bidi="ar-SA"/>
    </w:rPr>
  </w:style>
  <w:style w:type="character" w:customStyle="1" w:styleId="65">
    <w:name w:val="标题 1 Char"/>
    <w:link w:val="3"/>
    <w:qFormat/>
    <w:uiPriority w:val="9"/>
    <w:rPr>
      <w:rFonts w:ascii="宋体" w:hAnsi="宋体" w:eastAsia="宋体"/>
      <w:b/>
      <w:kern w:val="44"/>
      <w:sz w:val="32"/>
    </w:rPr>
  </w:style>
  <w:style w:type="character" w:customStyle="1" w:styleId="66">
    <w:name w:val="标书（正文） Char Char"/>
    <w:link w:val="67"/>
    <w:qFormat/>
    <w:uiPriority w:val="0"/>
    <w:rPr>
      <w:rFonts w:ascii="宋体" w:hAnsi="宋体"/>
      <w:b/>
      <w:kern w:val="10"/>
      <w:sz w:val="21"/>
    </w:rPr>
  </w:style>
  <w:style w:type="paragraph" w:customStyle="1" w:styleId="67">
    <w:name w:val="标书（正文）"/>
    <w:basedOn w:val="1"/>
    <w:link w:val="66"/>
    <w:qFormat/>
    <w:uiPriority w:val="0"/>
    <w:pPr>
      <w:spacing w:line="360" w:lineRule="auto"/>
      <w:ind w:firstLine="560" w:firstLineChars="200"/>
    </w:pPr>
    <w:rPr>
      <w:rFonts w:hAnsi="宋体"/>
      <w:b/>
      <w:kern w:val="10"/>
      <w:sz w:val="21"/>
    </w:rPr>
  </w:style>
  <w:style w:type="character" w:customStyle="1" w:styleId="68">
    <w:name w:val="ca-221"/>
    <w:qFormat/>
    <w:uiPriority w:val="0"/>
    <w:rPr>
      <w:rFonts w:hint="default" w:ascii="Times New Roman" w:hAnsi="Times New Roman" w:cs="Times New Roman"/>
      <w:color w:val="000000"/>
      <w:sz w:val="24"/>
      <w:szCs w:val="24"/>
    </w:rPr>
  </w:style>
  <w:style w:type="character" w:customStyle="1" w:styleId="69">
    <w:name w:val="unnamed31"/>
    <w:qFormat/>
    <w:uiPriority w:val="0"/>
    <w:rPr>
      <w:sz w:val="22"/>
      <w:szCs w:val="22"/>
    </w:rPr>
  </w:style>
  <w:style w:type="character" w:customStyle="1" w:styleId="70">
    <w:name w:val="Char Char1"/>
    <w:qFormat/>
    <w:uiPriority w:val="0"/>
    <w:rPr>
      <w:rFonts w:eastAsia="宋体"/>
      <w:kern w:val="2"/>
      <w:sz w:val="21"/>
      <w:szCs w:val="24"/>
      <w:lang w:val="en-US" w:eastAsia="zh-CN" w:bidi="ar-SA"/>
    </w:rPr>
  </w:style>
  <w:style w:type="character" w:customStyle="1" w:styleId="71">
    <w:name w:val="Char Char4"/>
    <w:qFormat/>
    <w:uiPriority w:val="0"/>
    <w:rPr>
      <w:rFonts w:ascii="宋体" w:hAnsi="Courier New" w:eastAsia="宋体"/>
      <w:kern w:val="2"/>
      <w:sz w:val="21"/>
      <w:lang w:val="en-US" w:eastAsia="zh-CN"/>
    </w:rPr>
  </w:style>
  <w:style w:type="character" w:customStyle="1" w:styleId="72">
    <w:name w:val="textnormchn1"/>
    <w:basedOn w:val="44"/>
    <w:qFormat/>
    <w:uiPriority w:val="0"/>
  </w:style>
  <w:style w:type="character" w:customStyle="1" w:styleId="73">
    <w:name w:val="Char1 Char Char1"/>
    <w:qFormat/>
    <w:uiPriority w:val="0"/>
    <w:rPr>
      <w:rFonts w:ascii="宋体" w:hAnsi="Courier New" w:eastAsia="宋体"/>
      <w:kern w:val="2"/>
      <w:sz w:val="24"/>
      <w:lang w:val="en-US" w:eastAsia="zh-CN" w:bidi="ar-SA"/>
    </w:rPr>
  </w:style>
  <w:style w:type="character" w:customStyle="1" w:styleId="74">
    <w:name w:val="apple-converted-space"/>
    <w:basedOn w:val="44"/>
    <w:qFormat/>
    <w:uiPriority w:val="0"/>
  </w:style>
  <w:style w:type="character" w:customStyle="1" w:styleId="75">
    <w:name w:val="正文文本缩进 Char"/>
    <w:link w:val="21"/>
    <w:qFormat/>
    <w:uiPriority w:val="0"/>
    <w:rPr>
      <w:rFonts w:ascii="宋体"/>
      <w:sz w:val="32"/>
    </w:rPr>
  </w:style>
  <w:style w:type="character" w:customStyle="1" w:styleId="76">
    <w:name w:val="正文缩进 Char"/>
    <w:link w:val="8"/>
    <w:qFormat/>
    <w:uiPriority w:val="0"/>
    <w:rPr>
      <w:kern w:val="2"/>
      <w:sz w:val="21"/>
    </w:rPr>
  </w:style>
  <w:style w:type="character" w:customStyle="1" w:styleId="77">
    <w:name w:val="keyword"/>
    <w:basedOn w:val="44"/>
    <w:qFormat/>
    <w:uiPriority w:val="0"/>
  </w:style>
  <w:style w:type="character" w:customStyle="1" w:styleId="78">
    <w:name w:val="huei12b"/>
    <w:basedOn w:val="44"/>
    <w:qFormat/>
    <w:uiPriority w:val="0"/>
  </w:style>
  <w:style w:type="character" w:customStyle="1" w:styleId="79">
    <w:name w:val="标题 4 Char"/>
    <w:link w:val="6"/>
    <w:qFormat/>
    <w:uiPriority w:val="0"/>
    <w:rPr>
      <w:rFonts w:ascii="Arial" w:hAnsi="Arial" w:eastAsia="黑体"/>
      <w:b/>
      <w:bCs/>
      <w:sz w:val="28"/>
      <w:szCs w:val="28"/>
    </w:rPr>
  </w:style>
  <w:style w:type="character" w:customStyle="1" w:styleId="80">
    <w:name w:val="modifier"/>
    <w:qFormat/>
    <w:uiPriority w:val="0"/>
    <w:rPr>
      <w:color w:val="FF0000"/>
    </w:rPr>
  </w:style>
  <w:style w:type="character" w:customStyle="1" w:styleId="81">
    <w:name w:val="Char1 Char Char"/>
    <w:qFormat/>
    <w:uiPriority w:val="0"/>
    <w:rPr>
      <w:rFonts w:ascii="宋体" w:hAnsi="Courier New" w:eastAsia="宋体"/>
      <w:kern w:val="2"/>
      <w:sz w:val="24"/>
      <w:lang w:val="en-US" w:eastAsia="zh-CN" w:bidi="ar-SA"/>
    </w:rPr>
  </w:style>
  <w:style w:type="character" w:customStyle="1" w:styleId="82">
    <w:name w:val="fo Char"/>
    <w:qFormat/>
    <w:uiPriority w:val="0"/>
    <w:rPr>
      <w:rFonts w:eastAsia="宋体"/>
      <w:kern w:val="2"/>
      <w:sz w:val="18"/>
      <w:lang w:bidi="ar-SA"/>
    </w:rPr>
  </w:style>
  <w:style w:type="character" w:customStyle="1" w:styleId="83">
    <w:name w:val="Char Char Char"/>
    <w:qFormat/>
    <w:uiPriority w:val="0"/>
    <w:rPr>
      <w:rFonts w:eastAsia="宋体"/>
      <w:b/>
      <w:kern w:val="2"/>
      <w:sz w:val="32"/>
      <w:lang w:val="en-US" w:eastAsia="zh-CN" w:bidi="ar-SA"/>
    </w:rPr>
  </w:style>
  <w:style w:type="character" w:customStyle="1" w:styleId="84">
    <w:name w:val="标题 2 Char"/>
    <w:link w:val="4"/>
    <w:qFormat/>
    <w:uiPriority w:val="9"/>
    <w:rPr>
      <w:rFonts w:ascii="Arial" w:hAnsi="Arial" w:eastAsia="黑体"/>
      <w:b/>
      <w:kern w:val="2"/>
      <w:sz w:val="30"/>
    </w:rPr>
  </w:style>
  <w:style w:type="character" w:customStyle="1" w:styleId="85">
    <w:name w:val="标题 3 Char"/>
    <w:link w:val="5"/>
    <w:qFormat/>
    <w:uiPriority w:val="9"/>
    <w:rPr>
      <w:rFonts w:ascii="宋体" w:hAnsi="宋体" w:eastAsia="宋体"/>
      <w:b/>
      <w:sz w:val="24"/>
    </w:rPr>
  </w:style>
  <w:style w:type="character" w:customStyle="1" w:styleId="86">
    <w:name w:val="批注框文本 Char"/>
    <w:link w:val="30"/>
    <w:qFormat/>
    <w:uiPriority w:val="99"/>
    <w:rPr>
      <w:rFonts w:ascii="宋体"/>
      <w:sz w:val="18"/>
      <w:szCs w:val="18"/>
    </w:rPr>
  </w:style>
  <w:style w:type="character" w:customStyle="1" w:styleId="87">
    <w:name w:val="H4 Char"/>
    <w:qFormat/>
    <w:uiPriority w:val="0"/>
    <w:rPr>
      <w:rFonts w:ascii="Arial" w:hAnsi="Arial" w:eastAsia="宋体"/>
      <w:b/>
      <w:kern w:val="2"/>
      <w:sz w:val="28"/>
      <w:lang w:val="en-US" w:eastAsia="zh-CN"/>
    </w:rPr>
  </w:style>
  <w:style w:type="character" w:customStyle="1" w:styleId="88">
    <w:name w:val="项目排列 Char Char"/>
    <w:link w:val="89"/>
    <w:qFormat/>
    <w:uiPriority w:val="0"/>
    <w:rPr>
      <w:kern w:val="2"/>
      <w:sz w:val="24"/>
      <w:szCs w:val="24"/>
    </w:rPr>
  </w:style>
  <w:style w:type="paragraph" w:customStyle="1" w:styleId="89">
    <w:name w:val="项目排列"/>
    <w:basedOn w:val="1"/>
    <w:link w:val="88"/>
    <w:qFormat/>
    <w:uiPriority w:val="0"/>
    <w:pPr>
      <w:tabs>
        <w:tab w:val="left" w:pos="900"/>
      </w:tabs>
      <w:spacing w:beforeLines="50" w:afterLines="50" w:line="300" w:lineRule="auto"/>
      <w:ind w:left="900" w:hanging="420"/>
    </w:pPr>
    <w:rPr>
      <w:rFonts w:ascii="Times New Roman"/>
      <w:kern w:val="2"/>
      <w:sz w:val="24"/>
      <w:szCs w:val="24"/>
    </w:rPr>
  </w:style>
  <w:style w:type="character" w:customStyle="1" w:styleId="90">
    <w:name w:val="WW8Num9z0"/>
    <w:qFormat/>
    <w:uiPriority w:val="0"/>
    <w:rPr>
      <w:rFonts w:ascii="Wingdings" w:hAnsi="Wingdings"/>
    </w:rPr>
  </w:style>
  <w:style w:type="character" w:customStyle="1" w:styleId="91">
    <w:name w:val="ca-01"/>
    <w:qFormat/>
    <w:uiPriority w:val="0"/>
    <w:rPr>
      <w:rFonts w:hint="eastAsia" w:ascii="宋体" w:hAnsi="宋体" w:eastAsia="宋体"/>
      <w:b/>
      <w:bCs/>
      <w:color w:val="000000"/>
      <w:spacing w:val="-20"/>
      <w:sz w:val="36"/>
      <w:szCs w:val="36"/>
    </w:rPr>
  </w:style>
  <w:style w:type="character" w:customStyle="1" w:styleId="92">
    <w:name w:val="HTML 预设格式 Char"/>
    <w:link w:val="42"/>
    <w:qFormat/>
    <w:uiPriority w:val="99"/>
    <w:rPr>
      <w:rFonts w:ascii="Arial Unicode MS" w:hAnsi="Arial Unicode MS" w:eastAsia="Arial Unicode MS" w:cs="Arial Unicode MS"/>
    </w:rPr>
  </w:style>
  <w:style w:type="character" w:customStyle="1" w:styleId="93">
    <w:name w:val="grame"/>
    <w:basedOn w:val="44"/>
    <w:qFormat/>
    <w:uiPriority w:val="0"/>
  </w:style>
  <w:style w:type="character" w:customStyle="1" w:styleId="94">
    <w:name w:val="正文文本 2 Char"/>
    <w:link w:val="41"/>
    <w:qFormat/>
    <w:uiPriority w:val="0"/>
    <w:rPr>
      <w:rFonts w:eastAsia="宋体"/>
      <w:kern w:val="2"/>
      <w:sz w:val="21"/>
      <w:szCs w:val="24"/>
      <w:lang w:val="en-US" w:eastAsia="zh-CN" w:bidi="ar-SA"/>
    </w:rPr>
  </w:style>
  <w:style w:type="character" w:customStyle="1" w:styleId="95">
    <w:name w:val="页眉 Char"/>
    <w:link w:val="32"/>
    <w:qFormat/>
    <w:uiPriority w:val="99"/>
    <w:rPr>
      <w:rFonts w:ascii="宋体"/>
      <w:kern w:val="2"/>
      <w:sz w:val="18"/>
    </w:rPr>
  </w:style>
  <w:style w:type="character" w:customStyle="1" w:styleId="96">
    <w:name w:val="标题2 Char"/>
    <w:qFormat/>
    <w:uiPriority w:val="0"/>
    <w:rPr>
      <w:rFonts w:eastAsia="宋体"/>
      <w:sz w:val="24"/>
    </w:rPr>
  </w:style>
  <w:style w:type="character" w:customStyle="1" w:styleId="97">
    <w:name w:val="称呼 Char"/>
    <w:link w:val="19"/>
    <w:qFormat/>
    <w:uiPriority w:val="0"/>
    <w:rPr>
      <w:rFonts w:ascii="宋体" w:eastAsia="黑体"/>
      <w:kern w:val="2"/>
      <w:sz w:val="34"/>
    </w:rPr>
  </w:style>
  <w:style w:type="character" w:customStyle="1" w:styleId="98">
    <w:name w:val="magic-list1"/>
    <w:qFormat/>
    <w:uiPriority w:val="0"/>
    <w:rPr>
      <w:rFonts w:hint="default" w:ascii="ˎ̥" w:hAnsi="ˎ̥"/>
      <w:color w:val="000000"/>
      <w:sz w:val="20"/>
      <w:u w:val="none"/>
    </w:rPr>
  </w:style>
  <w:style w:type="character" w:customStyle="1" w:styleId="99">
    <w:name w:val="fontblank12"/>
    <w:basedOn w:val="44"/>
    <w:qFormat/>
    <w:uiPriority w:val="0"/>
  </w:style>
  <w:style w:type="character" w:customStyle="1" w:styleId="100">
    <w:name w:val="纯文本 Char"/>
    <w:link w:val="26"/>
    <w:qFormat/>
    <w:uiPriority w:val="0"/>
    <w:rPr>
      <w:rFonts w:ascii="宋体" w:hAnsi="Courier New" w:cs="Courier New"/>
      <w:kern w:val="2"/>
      <w:sz w:val="21"/>
      <w:szCs w:val="21"/>
    </w:rPr>
  </w:style>
  <w:style w:type="character" w:customStyle="1" w:styleId="101">
    <w:name w:val="页眉 Char Char"/>
    <w:qFormat/>
    <w:uiPriority w:val="0"/>
    <w:rPr>
      <w:rFonts w:eastAsia="宋体"/>
      <w:kern w:val="2"/>
      <w:sz w:val="18"/>
      <w:lang w:val="en-US" w:eastAsia="zh-CN" w:bidi="ar-SA"/>
    </w:rPr>
  </w:style>
  <w:style w:type="character" w:customStyle="1" w:styleId="102">
    <w:name w:val="标题 3 Char Char Char"/>
    <w:qFormat/>
    <w:uiPriority w:val="0"/>
    <w:rPr>
      <w:rFonts w:eastAsia="宋体"/>
      <w:b/>
      <w:kern w:val="2"/>
      <w:sz w:val="32"/>
      <w:lang w:val="en-US" w:eastAsia="zh-CN" w:bidi="ar-SA"/>
    </w:rPr>
  </w:style>
  <w:style w:type="character" w:customStyle="1" w:styleId="103">
    <w:name w:val="param_td12"/>
    <w:basedOn w:val="44"/>
    <w:qFormat/>
    <w:uiPriority w:val="0"/>
  </w:style>
  <w:style w:type="character" w:customStyle="1" w:styleId="104">
    <w:name w:val="副标题 Char"/>
    <w:link w:val="35"/>
    <w:qFormat/>
    <w:uiPriority w:val="0"/>
    <w:rPr>
      <w:rFonts w:ascii="宋体"/>
      <w:kern w:val="2"/>
      <w:sz w:val="28"/>
    </w:rPr>
  </w:style>
  <w:style w:type="character" w:customStyle="1" w:styleId="105">
    <w:name w:val="文章正文 Char Char"/>
    <w:link w:val="106"/>
    <w:qFormat/>
    <w:uiPriority w:val="0"/>
    <w:rPr>
      <w:kern w:val="2"/>
      <w:sz w:val="24"/>
      <w:szCs w:val="24"/>
    </w:rPr>
  </w:style>
  <w:style w:type="paragraph" w:customStyle="1" w:styleId="106">
    <w:name w:val="文章正文"/>
    <w:basedOn w:val="1"/>
    <w:link w:val="105"/>
    <w:qFormat/>
    <w:uiPriority w:val="0"/>
    <w:pPr>
      <w:spacing w:line="360" w:lineRule="auto"/>
      <w:ind w:firstLine="420"/>
    </w:pPr>
    <w:rPr>
      <w:rFonts w:ascii="Times New Roman"/>
      <w:kern w:val="2"/>
      <w:sz w:val="24"/>
      <w:szCs w:val="24"/>
    </w:rPr>
  </w:style>
  <w:style w:type="character" w:customStyle="1" w:styleId="107">
    <w:name w:val="style31"/>
    <w:qFormat/>
    <w:uiPriority w:val="0"/>
    <w:rPr>
      <w:rFonts w:hint="default" w:ascii="Arial" w:hAnsi="Arial" w:cs="Arial"/>
      <w:b/>
      <w:bCs/>
      <w:sz w:val="21"/>
      <w:szCs w:val="21"/>
    </w:rPr>
  </w:style>
  <w:style w:type="character" w:customStyle="1" w:styleId="108">
    <w:name w:val="表正文 Char2"/>
    <w:qFormat/>
    <w:uiPriority w:val="0"/>
    <w:rPr>
      <w:rFonts w:eastAsia="宋体"/>
      <w:kern w:val="2"/>
      <w:sz w:val="21"/>
      <w:lang w:val="en-US" w:eastAsia="zh-CN" w:bidi="ar-SA"/>
    </w:rPr>
  </w:style>
  <w:style w:type="character" w:customStyle="1" w:styleId="109">
    <w:name w:val="small"/>
    <w:basedOn w:val="44"/>
    <w:qFormat/>
    <w:uiPriority w:val="0"/>
  </w:style>
  <w:style w:type="character" w:customStyle="1" w:styleId="110">
    <w:name w:val="apple-style-span"/>
    <w:basedOn w:val="44"/>
    <w:qFormat/>
    <w:uiPriority w:val="0"/>
  </w:style>
  <w:style w:type="character" w:customStyle="1" w:styleId="111">
    <w:name w:val="日期 Char"/>
    <w:link w:val="28"/>
    <w:qFormat/>
    <w:uiPriority w:val="0"/>
    <w:rPr>
      <w:rFonts w:ascii="宋体" w:eastAsia="黑体"/>
      <w:sz w:val="36"/>
    </w:rPr>
  </w:style>
  <w:style w:type="character" w:customStyle="1" w:styleId="112">
    <w:name w:val="headline-content2"/>
    <w:basedOn w:val="44"/>
    <w:qFormat/>
    <w:uiPriority w:val="0"/>
  </w:style>
  <w:style w:type="character" w:customStyle="1" w:styleId="113">
    <w:name w:val="Char Char11"/>
    <w:qFormat/>
    <w:uiPriority w:val="0"/>
    <w:rPr>
      <w:rFonts w:ascii="宋体" w:hAnsi="Courier New" w:eastAsia="宋体"/>
      <w:kern w:val="2"/>
      <w:sz w:val="21"/>
      <w:szCs w:val="21"/>
      <w:lang w:bidi="ar-SA"/>
    </w:rPr>
  </w:style>
  <w:style w:type="character" w:customStyle="1" w:styleId="114">
    <w:name w:val="textnorm_chn1"/>
    <w:qFormat/>
    <w:uiPriority w:val="0"/>
    <w:rPr>
      <w:rFonts w:hint="default" w:ascii="Arial" w:hAnsi="Arial" w:cs="Arial"/>
      <w:color w:val="21254A"/>
      <w:sz w:val="22"/>
      <w:szCs w:val="22"/>
    </w:rPr>
  </w:style>
  <w:style w:type="character" w:customStyle="1" w:styleId="115">
    <w:name w:val="style61"/>
    <w:qFormat/>
    <w:uiPriority w:val="0"/>
    <w:rPr>
      <w:rFonts w:hint="default" w:ascii="Arial" w:hAnsi="Arial" w:cs="Arial"/>
      <w:color w:val="003399"/>
      <w:sz w:val="18"/>
      <w:szCs w:val="18"/>
    </w:rPr>
  </w:style>
  <w:style w:type="character" w:customStyle="1" w:styleId="116">
    <w:name w:val="CD正文 Char Char"/>
    <w:link w:val="117"/>
    <w:qFormat/>
    <w:uiPriority w:val="0"/>
    <w:rPr>
      <w:kern w:val="2"/>
      <w:sz w:val="30"/>
      <w:szCs w:val="28"/>
    </w:rPr>
  </w:style>
  <w:style w:type="paragraph" w:customStyle="1" w:styleId="117">
    <w:name w:val="CD正文"/>
    <w:basedOn w:val="1"/>
    <w:link w:val="116"/>
    <w:qFormat/>
    <w:uiPriority w:val="0"/>
    <w:pPr>
      <w:spacing w:line="360" w:lineRule="auto"/>
      <w:ind w:firstLine="493"/>
    </w:pPr>
    <w:rPr>
      <w:rFonts w:ascii="Times New Roman"/>
      <w:kern w:val="2"/>
      <w:sz w:val="30"/>
      <w:szCs w:val="28"/>
    </w:rPr>
  </w:style>
  <w:style w:type="character" w:customStyle="1" w:styleId="118">
    <w:name w:val="页脚 Char"/>
    <w:link w:val="31"/>
    <w:qFormat/>
    <w:uiPriority w:val="99"/>
    <w:rPr>
      <w:rFonts w:ascii="宋体"/>
      <w:sz w:val="18"/>
    </w:rPr>
  </w:style>
  <w:style w:type="character" w:customStyle="1" w:styleId="119">
    <w:name w:val="文档结构图 Char"/>
    <w:link w:val="18"/>
    <w:qFormat/>
    <w:uiPriority w:val="99"/>
    <w:rPr>
      <w:rFonts w:ascii="宋体"/>
      <w:sz w:val="34"/>
      <w:shd w:val="clear" w:color="auto" w:fill="000080"/>
    </w:rPr>
  </w:style>
  <w:style w:type="paragraph" w:customStyle="1" w:styleId="120">
    <w:name w:val="默认段落字体 Para Char Char Char1 Char"/>
    <w:basedOn w:val="1"/>
    <w:next w:val="1"/>
    <w:qFormat/>
    <w:uiPriority w:val="0"/>
    <w:pPr>
      <w:spacing w:line="240" w:lineRule="atLeast"/>
      <w:ind w:left="420" w:firstLine="420"/>
      <w:jc w:val="left"/>
    </w:pPr>
    <w:rPr>
      <w:sz w:val="21"/>
      <w:szCs w:val="21"/>
    </w:rPr>
  </w:style>
  <w:style w:type="paragraph" w:customStyle="1" w:styleId="121">
    <w:name w:val="_Style 1"/>
    <w:qFormat/>
    <w:uiPriority w:val="34"/>
    <w:pPr>
      <w:ind w:firstLine="420" w:firstLineChars="200"/>
    </w:pPr>
    <w:rPr>
      <w:rFonts w:ascii="Calibri" w:hAnsi="Calibri" w:eastAsia="宋体" w:cs="Times New Roman"/>
      <w:b/>
      <w:sz w:val="21"/>
      <w:szCs w:val="22"/>
      <w:lang w:val="en-US" w:eastAsia="zh-CN" w:bidi="ar-SA"/>
    </w:rPr>
  </w:style>
  <w:style w:type="paragraph" w:customStyle="1" w:styleId="122">
    <w:name w:val="正文序号 2"/>
    <w:basedOn w:val="1"/>
    <w:qFormat/>
    <w:uiPriority w:val="0"/>
    <w:pPr>
      <w:tabs>
        <w:tab w:val="left" w:pos="1049"/>
      </w:tabs>
      <w:spacing w:before="60"/>
      <w:ind w:left="840" w:hanging="420"/>
    </w:pPr>
    <w:rPr>
      <w:kern w:val="2"/>
      <w:sz w:val="21"/>
    </w:rPr>
  </w:style>
  <w:style w:type="paragraph" w:customStyle="1" w:styleId="123">
    <w:name w:val="p0"/>
    <w:basedOn w:val="1"/>
    <w:qFormat/>
    <w:uiPriority w:val="0"/>
    <w:pPr>
      <w:widowControl/>
    </w:pPr>
    <w:rPr>
      <w:sz w:val="21"/>
    </w:rPr>
  </w:style>
  <w:style w:type="paragraph" w:customStyle="1" w:styleId="124">
    <w:name w:val="Char2 Char Char Char"/>
    <w:basedOn w:val="1"/>
    <w:qFormat/>
    <w:uiPriority w:val="0"/>
    <w:rPr>
      <w:rFonts w:ascii="仿宋_GB2312" w:eastAsia="仿宋_GB2312"/>
      <w:b/>
      <w:sz w:val="32"/>
      <w:szCs w:val="32"/>
    </w:rPr>
  </w:style>
  <w:style w:type="paragraph" w:customStyle="1" w:styleId="125">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sz w:val="20"/>
    </w:rPr>
  </w:style>
  <w:style w:type="paragraph" w:customStyle="1" w:styleId="126">
    <w:name w:val="正文缩进1"/>
    <w:basedOn w:val="1"/>
    <w:next w:val="1"/>
    <w:qFormat/>
    <w:uiPriority w:val="0"/>
    <w:pPr>
      <w:widowControl/>
      <w:ind w:firstLine="420"/>
    </w:pPr>
    <w:rPr>
      <w:color w:val="000000"/>
    </w:rPr>
  </w:style>
  <w:style w:type="paragraph" w:customStyle="1" w:styleId="127">
    <w:name w:val="gb_master正文"/>
    <w:basedOn w:val="1"/>
    <w:qFormat/>
    <w:uiPriority w:val="0"/>
    <w:pPr>
      <w:ind w:firstLine="200" w:firstLineChars="200"/>
    </w:pPr>
    <w:rPr>
      <w:kern w:val="2"/>
      <w:sz w:val="21"/>
    </w:rPr>
  </w:style>
  <w:style w:type="paragraph" w:customStyle="1" w:styleId="128">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129">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Ansi="宋体" w:cs="宋体"/>
      <w:sz w:val="20"/>
    </w:rPr>
  </w:style>
  <w:style w:type="paragraph" w:customStyle="1" w:styleId="130">
    <w:name w:val="MM Topic 6"/>
    <w:basedOn w:val="9"/>
    <w:qFormat/>
    <w:uiPriority w:val="0"/>
    <w:pPr>
      <w:tabs>
        <w:tab w:val="left" w:pos="3260"/>
      </w:tabs>
    </w:pPr>
    <w:rPr>
      <w:kern w:val="2"/>
      <w:sz w:val="28"/>
      <w:szCs w:val="20"/>
    </w:rPr>
  </w:style>
  <w:style w:type="paragraph" w:customStyle="1" w:styleId="131">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Ansi="宋体" w:cs="宋体"/>
    </w:rPr>
  </w:style>
  <w:style w:type="paragraph" w:customStyle="1" w:styleId="132">
    <w:name w:val="MM Topic 8"/>
    <w:basedOn w:val="11"/>
    <w:qFormat/>
    <w:uiPriority w:val="0"/>
    <w:pPr>
      <w:tabs>
        <w:tab w:val="left" w:pos="4394"/>
      </w:tabs>
    </w:pPr>
    <w:rPr>
      <w:kern w:val="2"/>
      <w:sz w:val="34"/>
      <w:szCs w:val="20"/>
    </w:rPr>
  </w:style>
  <w:style w:type="paragraph" w:customStyle="1" w:styleId="133">
    <w:name w:val="Char Char Char Char Char Char Char Char Char"/>
    <w:basedOn w:val="1"/>
    <w:qFormat/>
    <w:uiPriority w:val="0"/>
    <w:pPr>
      <w:widowControl/>
      <w:spacing w:after="160" w:line="240" w:lineRule="exact"/>
      <w:jc w:val="left"/>
    </w:pPr>
    <w:rPr>
      <w:rFonts w:ascii="Verdana" w:hAnsi="Verdana" w:eastAsia="仿宋_GB2312"/>
      <w:lang w:eastAsia="en-US"/>
    </w:rPr>
  </w:style>
  <w:style w:type="paragraph" w:customStyle="1" w:styleId="134">
    <w:name w:val="表格内文字"/>
    <w:basedOn w:val="26"/>
    <w:qFormat/>
    <w:uiPriority w:val="0"/>
    <w:rPr>
      <w:color w:val="000000"/>
      <w:lang w:val="en-GB"/>
    </w:rPr>
  </w:style>
  <w:style w:type="paragraph" w:customStyle="1" w:styleId="135">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36">
    <w:name w:val="xl79"/>
    <w:basedOn w:val="1"/>
    <w:qFormat/>
    <w:uiPriority w:val="0"/>
    <w:pPr>
      <w:widowControl/>
      <w:spacing w:before="100" w:beforeAutospacing="1" w:after="100" w:afterAutospacing="1"/>
      <w:jc w:val="center"/>
    </w:pPr>
    <w:rPr>
      <w:rFonts w:hAnsi="宋体" w:cs="宋体"/>
    </w:rPr>
  </w:style>
  <w:style w:type="paragraph" w:customStyle="1" w:styleId="137">
    <w:name w:val="xl113"/>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hAnsi="宋体" w:cs="宋体"/>
      <w:b/>
      <w:bCs/>
      <w:sz w:val="32"/>
      <w:szCs w:val="32"/>
    </w:rPr>
  </w:style>
  <w:style w:type="paragraph" w:customStyle="1" w:styleId="138">
    <w:name w:val="论文正文"/>
    <w:basedOn w:val="1"/>
    <w:qFormat/>
    <w:uiPriority w:val="0"/>
    <w:pPr>
      <w:spacing w:line="300" w:lineRule="auto"/>
      <w:ind w:firstLine="200" w:firstLineChars="200"/>
    </w:pPr>
    <w:rPr>
      <w:kern w:val="2"/>
    </w:rPr>
  </w:style>
  <w:style w:type="paragraph" w:customStyle="1" w:styleId="139">
    <w:name w:val="样式 仿宋_GB2312 小四 左侧:  0.63 厘米"/>
    <w:basedOn w:val="1"/>
    <w:qFormat/>
    <w:uiPriority w:val="0"/>
    <w:pPr>
      <w:spacing w:before="120" w:after="120" w:line="360" w:lineRule="auto"/>
      <w:ind w:left="357" w:firstLine="200" w:firstLineChars="200"/>
    </w:pPr>
    <w:rPr>
      <w:rFonts w:ascii="仿宋_GB2312" w:hAnsi="仿宋_GB2312" w:eastAsia="仿宋_GB2312"/>
      <w:kern w:val="2"/>
    </w:rPr>
  </w:style>
  <w:style w:type="paragraph" w:customStyle="1" w:styleId="140">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Ansi="宋体" w:cs="宋体"/>
      <w:b/>
      <w:bCs/>
    </w:rPr>
  </w:style>
  <w:style w:type="paragraph" w:customStyle="1" w:styleId="141">
    <w:name w:val="标题 4[858D7CFB-ED40-4347-BF05-701D383B685F][858D7CFB-ED40-4347-BF05-701D383B685F]"/>
    <w:basedOn w:val="1"/>
    <w:qFormat/>
    <w:uiPriority w:val="0"/>
    <w:pPr>
      <w:widowControl/>
      <w:tabs>
        <w:tab w:val="left" w:pos="6131"/>
      </w:tabs>
      <w:jc w:val="left"/>
    </w:pPr>
  </w:style>
  <w:style w:type="paragraph" w:customStyle="1" w:styleId="142">
    <w:name w:val="Char Char Char1"/>
    <w:basedOn w:val="1"/>
    <w:qFormat/>
    <w:uiPriority w:val="0"/>
    <w:rPr>
      <w:kern w:val="2"/>
      <w:sz w:val="21"/>
    </w:rPr>
  </w:style>
  <w:style w:type="paragraph" w:customStyle="1" w:styleId="143">
    <w:name w:val="xl106"/>
    <w:basedOn w:val="1"/>
    <w:qFormat/>
    <w:uiPriority w:val="0"/>
    <w:pPr>
      <w:widowControl/>
      <w:spacing w:before="100" w:beforeAutospacing="1" w:after="100" w:afterAutospacing="1"/>
      <w:jc w:val="center"/>
    </w:pPr>
    <w:rPr>
      <w:rFonts w:hAnsi="宋体" w:cs="宋体"/>
      <w:b/>
      <w:bCs/>
      <w:sz w:val="40"/>
      <w:szCs w:val="40"/>
    </w:rPr>
  </w:style>
  <w:style w:type="paragraph" w:customStyle="1" w:styleId="144">
    <w:name w:val="Char1 Char Char Char"/>
    <w:basedOn w:val="1"/>
    <w:next w:val="1"/>
    <w:qFormat/>
    <w:uiPriority w:val="0"/>
    <w:pPr>
      <w:spacing w:line="240" w:lineRule="atLeast"/>
      <w:ind w:left="420" w:firstLine="420"/>
      <w:jc w:val="left"/>
    </w:pPr>
    <w:rPr>
      <w:sz w:val="21"/>
    </w:rPr>
  </w:style>
  <w:style w:type="paragraph" w:customStyle="1" w:styleId="145">
    <w:name w:val="font11"/>
    <w:basedOn w:val="1"/>
    <w:qFormat/>
    <w:uiPriority w:val="0"/>
    <w:pPr>
      <w:widowControl/>
      <w:spacing w:before="100" w:beforeAutospacing="1" w:after="100" w:afterAutospacing="1"/>
      <w:jc w:val="left"/>
    </w:pPr>
    <w:rPr>
      <w:rFonts w:hAnsi="宋体" w:cs="宋体"/>
      <w:b/>
      <w:bCs/>
      <w:sz w:val="40"/>
      <w:szCs w:val="40"/>
    </w:rPr>
  </w:style>
  <w:style w:type="paragraph" w:customStyle="1" w:styleId="146">
    <w:name w:val="样式 正文缩进 + (中文) 仿宋_GB2312 小四 Char"/>
    <w:basedOn w:val="8"/>
    <w:qFormat/>
    <w:uiPriority w:val="0"/>
  </w:style>
  <w:style w:type="paragraph" w:customStyle="1" w:styleId="147">
    <w:name w:val="table head"/>
    <w:basedOn w:val="1"/>
    <w:qFormat/>
    <w:uiPriority w:val="0"/>
    <w:pPr>
      <w:keepNext/>
      <w:keepLines/>
      <w:adjustRightInd w:val="0"/>
      <w:spacing w:line="312" w:lineRule="atLeast"/>
      <w:jc w:val="center"/>
      <w:textAlignment w:val="baseline"/>
    </w:pPr>
    <w:rPr>
      <w:b/>
    </w:rPr>
  </w:style>
  <w:style w:type="paragraph" w:customStyle="1" w:styleId="148">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rPr>
  </w:style>
  <w:style w:type="paragraph" w:customStyle="1" w:styleId="149">
    <w:name w:val="Char Char Char Char Char Char1 Char"/>
    <w:basedOn w:val="18"/>
    <w:qFormat/>
    <w:uiPriority w:val="0"/>
    <w:rPr>
      <w:rFonts w:ascii="Tahoma" w:hAnsi="Tahoma"/>
      <w:sz w:val="24"/>
      <w:szCs w:val="24"/>
    </w:rPr>
  </w:style>
  <w:style w:type="paragraph" w:customStyle="1" w:styleId="150">
    <w:name w:val="1 Char"/>
    <w:basedOn w:val="1"/>
    <w:qFormat/>
    <w:uiPriority w:val="0"/>
    <w:pPr>
      <w:widowControl/>
      <w:spacing w:after="160" w:line="240" w:lineRule="exact"/>
      <w:jc w:val="left"/>
    </w:pPr>
    <w:rPr>
      <w:rFonts w:ascii="Tahoma" w:hAnsi="Tahoma" w:eastAsia="Times New Roman"/>
      <w:lang w:eastAsia="en-US"/>
    </w:rPr>
  </w:style>
  <w:style w:type="paragraph" w:customStyle="1" w:styleId="151">
    <w:name w:val="正文序号 1"/>
    <w:basedOn w:val="1"/>
    <w:qFormat/>
    <w:uiPriority w:val="0"/>
    <w:pPr>
      <w:tabs>
        <w:tab w:val="left" w:pos="839"/>
        <w:tab w:val="left" w:pos="900"/>
      </w:tabs>
      <w:spacing w:before="60"/>
      <w:ind w:left="900" w:hanging="420"/>
    </w:pPr>
    <w:rPr>
      <w:kern w:val="2"/>
      <w:sz w:val="21"/>
    </w:rPr>
  </w:style>
  <w:style w:type="paragraph" w:customStyle="1" w:styleId="152">
    <w:name w:val="xl112"/>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hAnsi="宋体" w:cs="宋体"/>
    </w:rPr>
  </w:style>
  <w:style w:type="paragraph" w:customStyle="1" w:styleId="153">
    <w:name w:val="标题3"/>
    <w:basedOn w:val="5"/>
    <w:qFormat/>
    <w:uiPriority w:val="0"/>
    <w:pPr>
      <w:keepNext w:val="0"/>
      <w:keepLines w:val="0"/>
      <w:tabs>
        <w:tab w:val="left" w:pos="1843"/>
      </w:tabs>
      <w:spacing w:before="0" w:after="0" w:line="240" w:lineRule="auto"/>
      <w:outlineLvl w:val="9"/>
    </w:pPr>
    <w:rPr>
      <w:rFonts w:ascii="Times New Roman"/>
      <w:b w:val="0"/>
      <w:kern w:val="2"/>
      <w:sz w:val="21"/>
    </w:rPr>
  </w:style>
  <w:style w:type="paragraph" w:customStyle="1" w:styleId="154">
    <w:name w:val="默认段落字体 Para Char Char Char Char"/>
    <w:basedOn w:val="1"/>
    <w:qFormat/>
    <w:uiPriority w:val="0"/>
    <w:rPr>
      <w:kern w:val="2"/>
      <w:sz w:val="21"/>
    </w:rPr>
  </w:style>
  <w:style w:type="paragraph" w:customStyle="1" w:styleId="155">
    <w:name w:val="文字"/>
    <w:basedOn w:val="1"/>
    <w:qFormat/>
    <w:uiPriority w:val="0"/>
    <w:pPr>
      <w:tabs>
        <w:tab w:val="left" w:pos="8520"/>
      </w:tabs>
      <w:spacing w:line="312" w:lineRule="auto"/>
      <w:ind w:right="-210" w:firstLine="556"/>
    </w:pPr>
    <w:rPr>
      <w:rFonts w:ascii="楷体_GB2312" w:eastAsia="楷体_GB2312"/>
      <w:kern w:val="2"/>
      <w:sz w:val="28"/>
    </w:rPr>
  </w:style>
  <w:style w:type="paragraph" w:customStyle="1" w:styleId="156">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rPr>
  </w:style>
  <w:style w:type="paragraph" w:customStyle="1" w:styleId="157">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58">
    <w:name w:val="标准正文"/>
    <w:basedOn w:val="1"/>
    <w:qFormat/>
    <w:uiPriority w:val="0"/>
    <w:pPr>
      <w:adjustRightInd w:val="0"/>
      <w:spacing w:before="120" w:line="400" w:lineRule="atLeast"/>
      <w:ind w:firstLine="576"/>
      <w:jc w:val="left"/>
      <w:textAlignment w:val="baseline"/>
    </w:pPr>
    <w:rPr>
      <w:rFonts w:eastAsia="楷体_GB2312"/>
      <w:sz w:val="28"/>
    </w:rPr>
  </w:style>
  <w:style w:type="paragraph" w:customStyle="1" w:styleId="159">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rPr>
  </w:style>
  <w:style w:type="paragraph" w:customStyle="1" w:styleId="160">
    <w:name w:val="xl115"/>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hAnsi="宋体" w:cs="宋体"/>
      <w:b/>
      <w:bCs/>
      <w:sz w:val="32"/>
      <w:szCs w:val="32"/>
    </w:rPr>
  </w:style>
  <w:style w:type="paragraph" w:customStyle="1" w:styleId="161">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Ansi="宋体" w:cs="宋体"/>
      <w:sz w:val="20"/>
    </w:rPr>
  </w:style>
  <w:style w:type="paragraph" w:customStyle="1" w:styleId="162">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sz w:val="20"/>
    </w:rPr>
  </w:style>
  <w:style w:type="paragraph" w:customStyle="1" w:styleId="163">
    <w:name w:val="pa-107"/>
    <w:basedOn w:val="1"/>
    <w:qFormat/>
    <w:uiPriority w:val="0"/>
    <w:pPr>
      <w:widowControl/>
      <w:spacing w:line="360" w:lineRule="atLeast"/>
    </w:pPr>
    <w:rPr>
      <w:rFonts w:hAnsi="宋体" w:cs="宋体"/>
    </w:rPr>
  </w:style>
  <w:style w:type="paragraph" w:customStyle="1" w:styleId="164">
    <w:name w:val="Char Char Char Char Char Char"/>
    <w:basedOn w:val="1"/>
    <w:qFormat/>
    <w:uiPriority w:val="0"/>
    <w:rPr>
      <w:rFonts w:ascii="Tahoma" w:hAnsi="Tahoma"/>
      <w:sz w:val="24"/>
    </w:rPr>
  </w:style>
  <w:style w:type="paragraph" w:customStyle="1" w:styleId="165">
    <w:name w:val="正文2"/>
    <w:basedOn w:val="1"/>
    <w:qFormat/>
    <w:uiPriority w:val="0"/>
    <w:pPr>
      <w:tabs>
        <w:tab w:val="left" w:pos="860"/>
      </w:tabs>
      <w:spacing w:line="440" w:lineRule="exact"/>
      <w:ind w:left="860" w:hanging="420"/>
    </w:pPr>
    <w:rPr>
      <w:rFonts w:ascii="仿宋_GB2312" w:hAnsi="宋体" w:eastAsia="仿宋_GB2312"/>
      <w:spacing w:val="5"/>
      <w:kern w:val="2"/>
      <w:sz w:val="21"/>
    </w:rPr>
  </w:style>
  <w:style w:type="paragraph" w:customStyle="1" w:styleId="166">
    <w:name w:val="09正文_wh"/>
    <w:qFormat/>
    <w:uiPriority w:val="0"/>
    <w:pPr>
      <w:spacing w:line="300" w:lineRule="auto"/>
      <w:ind w:firstLine="200" w:firstLineChars="200"/>
      <w:jc w:val="both"/>
    </w:pPr>
    <w:rPr>
      <w:rFonts w:ascii="Times New Roman" w:hAnsi="Times New Roman" w:eastAsia="宋体" w:cs="Times New Roman"/>
      <w:kern w:val="2"/>
      <w:sz w:val="28"/>
      <w:szCs w:val="24"/>
      <w:lang w:val="en-US" w:eastAsia="zh-CN" w:bidi="ar-SA"/>
    </w:rPr>
  </w:style>
  <w:style w:type="paragraph" w:customStyle="1" w:styleId="167">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Ansi="宋体" w:cs="宋体"/>
    </w:rPr>
  </w:style>
  <w:style w:type="paragraph" w:customStyle="1" w:styleId="168">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rPr>
  </w:style>
  <w:style w:type="paragraph" w:customStyle="1" w:styleId="169">
    <w:name w:val="正文 首行缩进:  2 字符 Char Char"/>
    <w:basedOn w:val="1"/>
    <w:qFormat/>
    <w:uiPriority w:val="0"/>
    <w:pPr>
      <w:spacing w:line="360" w:lineRule="auto"/>
      <w:ind w:firstLine="480"/>
    </w:pPr>
    <w:rPr>
      <w:kern w:val="2"/>
    </w:rPr>
  </w:style>
  <w:style w:type="paragraph" w:customStyle="1" w:styleId="170">
    <w:name w:val="font5"/>
    <w:basedOn w:val="1"/>
    <w:qFormat/>
    <w:uiPriority w:val="0"/>
    <w:pPr>
      <w:widowControl/>
      <w:spacing w:before="100" w:beforeAutospacing="1" w:after="100" w:afterAutospacing="1"/>
      <w:jc w:val="left"/>
    </w:pPr>
    <w:rPr>
      <w:rFonts w:hAnsi="宋体" w:cs="宋体"/>
      <w:sz w:val="18"/>
      <w:szCs w:val="18"/>
    </w:rPr>
  </w:style>
  <w:style w:type="paragraph" w:customStyle="1" w:styleId="171">
    <w:name w:val="样式1"/>
    <w:basedOn w:val="1"/>
    <w:qFormat/>
    <w:uiPriority w:val="0"/>
    <w:pPr>
      <w:tabs>
        <w:tab w:val="left" w:pos="840"/>
      </w:tabs>
      <w:adjustRightInd w:val="0"/>
      <w:spacing w:line="360" w:lineRule="auto"/>
      <w:ind w:left="840" w:hanging="420"/>
      <w:textAlignment w:val="baseline"/>
    </w:pPr>
    <w:rPr>
      <w:rFonts w:hAnsi="宋体"/>
      <w:szCs w:val="21"/>
    </w:rPr>
  </w:style>
  <w:style w:type="paragraph" w:customStyle="1" w:styleId="172">
    <w:name w:val="xl9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hAnsi="宋体" w:cs="宋体"/>
      <w:sz w:val="20"/>
    </w:rPr>
  </w:style>
  <w:style w:type="paragraph" w:customStyle="1" w:styleId="173">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Ansi="宋体" w:cs="宋体"/>
      <w:b/>
      <w:bCs/>
    </w:rPr>
  </w:style>
  <w:style w:type="paragraph" w:customStyle="1" w:styleId="174">
    <w:name w:val="样式 标题 1 + 宋体 居中 段前: 17 磅 段后: 16.5 磅"/>
    <w:basedOn w:val="3"/>
    <w:qFormat/>
    <w:uiPriority w:val="0"/>
    <w:pPr>
      <w:pageBreakBefore/>
      <w:widowControl/>
      <w:tabs>
        <w:tab w:val="left" w:pos="840"/>
      </w:tabs>
      <w:spacing w:line="360" w:lineRule="auto"/>
      <w:ind w:left="840" w:hanging="420"/>
    </w:pPr>
    <w:rPr>
      <w:rFonts w:ascii="华文中宋" w:hAnsi="华文中宋" w:eastAsia="华文中宋" w:cs="宋体"/>
      <w:bCs/>
      <w:color w:val="000000"/>
      <w:sz w:val="28"/>
    </w:rPr>
  </w:style>
  <w:style w:type="paragraph" w:customStyle="1" w:styleId="175">
    <w:name w:val="plaintext"/>
    <w:basedOn w:val="1"/>
    <w:qFormat/>
    <w:uiPriority w:val="0"/>
    <w:pPr>
      <w:widowControl/>
      <w:spacing w:before="100" w:beforeAutospacing="1" w:after="100" w:afterAutospacing="1"/>
      <w:jc w:val="left"/>
    </w:pPr>
    <w:rPr>
      <w:rFonts w:hAnsi="宋体"/>
      <w:sz w:val="24"/>
      <w:szCs w:val="24"/>
    </w:rPr>
  </w:style>
  <w:style w:type="paragraph" w:customStyle="1" w:styleId="176">
    <w:name w:val="正文文本 21"/>
    <w:basedOn w:val="1"/>
    <w:qFormat/>
    <w:uiPriority w:val="0"/>
    <w:pPr>
      <w:adjustRightInd w:val="0"/>
      <w:spacing w:line="300" w:lineRule="auto"/>
      <w:jc w:val="center"/>
      <w:textAlignment w:val="baseline"/>
    </w:pPr>
    <w:rPr>
      <w:rFonts w:hAnsi="宋体"/>
      <w:sz w:val="24"/>
    </w:rPr>
  </w:style>
  <w:style w:type="paragraph" w:customStyle="1" w:styleId="177">
    <w:name w:val="xl102"/>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hAnsi="宋体" w:cs="宋体"/>
      <w:b/>
      <w:bCs/>
      <w:sz w:val="28"/>
      <w:szCs w:val="28"/>
    </w:rPr>
  </w:style>
  <w:style w:type="paragraph" w:customStyle="1" w:styleId="178">
    <w:name w:val="xl76"/>
    <w:basedOn w:val="1"/>
    <w:qFormat/>
    <w:uiPriority w:val="0"/>
    <w:pPr>
      <w:widowControl/>
      <w:spacing w:before="100" w:beforeAutospacing="1" w:after="100" w:afterAutospacing="1"/>
      <w:jc w:val="center"/>
    </w:pPr>
    <w:rPr>
      <w:rFonts w:hAnsi="宋体" w:cs="宋体"/>
    </w:rPr>
  </w:style>
  <w:style w:type="paragraph" w:customStyle="1" w:styleId="179">
    <w:name w:val="Char1 Char Char Char Char Char Char"/>
    <w:basedOn w:val="1"/>
    <w:qFormat/>
    <w:uiPriority w:val="0"/>
    <w:rPr>
      <w:rFonts w:ascii="仿宋_GB2312"/>
      <w:b/>
      <w:sz w:val="30"/>
      <w:szCs w:val="32"/>
    </w:rPr>
  </w:style>
  <w:style w:type="paragraph" w:customStyle="1" w:styleId="180">
    <w:name w:val="正文序号 4"/>
    <w:basedOn w:val="1"/>
    <w:qFormat/>
    <w:uiPriority w:val="0"/>
    <w:pPr>
      <w:tabs>
        <w:tab w:val="left" w:pos="1469"/>
      </w:tabs>
      <w:spacing w:before="60"/>
      <w:ind w:left="1680" w:hanging="420"/>
    </w:pPr>
    <w:rPr>
      <w:kern w:val="2"/>
      <w:sz w:val="21"/>
    </w:rPr>
  </w:style>
  <w:style w:type="paragraph" w:customStyle="1" w:styleId="181">
    <w:name w:val="style6"/>
    <w:basedOn w:val="1"/>
    <w:qFormat/>
    <w:uiPriority w:val="0"/>
    <w:pPr>
      <w:widowControl/>
      <w:spacing w:before="100" w:beforeAutospacing="1" w:after="100" w:afterAutospacing="1" w:line="375" w:lineRule="atLeast"/>
      <w:jc w:val="left"/>
    </w:pPr>
    <w:rPr>
      <w:rFonts w:ascii="Arial" w:hAnsi="Arial" w:cs="Arial"/>
      <w:color w:val="003399"/>
      <w:sz w:val="18"/>
      <w:szCs w:val="18"/>
    </w:rPr>
  </w:style>
  <w:style w:type="paragraph" w:customStyle="1" w:styleId="182">
    <w:name w:val="样式3"/>
    <w:basedOn w:val="26"/>
    <w:qFormat/>
    <w:uiPriority w:val="0"/>
    <w:pPr>
      <w:autoSpaceDE/>
      <w:autoSpaceDN/>
      <w:adjustRightInd/>
      <w:spacing w:line="0" w:lineRule="atLeast"/>
      <w:outlineLvl w:val="0"/>
    </w:pPr>
    <w:rPr>
      <w:sz w:val="28"/>
      <w:szCs w:val="20"/>
    </w:rPr>
  </w:style>
  <w:style w:type="paragraph" w:customStyle="1" w:styleId="183">
    <w:name w:val="样式2"/>
    <w:basedOn w:val="1"/>
    <w:qFormat/>
    <w:uiPriority w:val="0"/>
    <w:pPr>
      <w:adjustRightInd w:val="0"/>
      <w:spacing w:line="410" w:lineRule="atLeast"/>
      <w:textAlignment w:val="baseline"/>
    </w:pPr>
  </w:style>
  <w:style w:type="paragraph" w:customStyle="1" w:styleId="184">
    <w:name w:val="样式 小四 首行缩进:  0.74 厘米"/>
    <w:basedOn w:val="1"/>
    <w:qFormat/>
    <w:uiPriority w:val="0"/>
    <w:pPr>
      <w:ind w:firstLine="420"/>
    </w:pPr>
    <w:rPr>
      <w:sz w:val="24"/>
    </w:rPr>
  </w:style>
  <w:style w:type="paragraph" w:customStyle="1" w:styleId="185">
    <w:name w:val="WW-正文（首行缩进两字）"/>
    <w:basedOn w:val="1"/>
    <w:qFormat/>
    <w:uiPriority w:val="0"/>
    <w:pPr>
      <w:autoSpaceDE w:val="0"/>
      <w:autoSpaceDN w:val="0"/>
      <w:adjustRightInd w:val="0"/>
      <w:ind w:firstLine="420"/>
    </w:pPr>
    <w:rPr>
      <w:sz w:val="21"/>
      <w:szCs w:val="21"/>
    </w:rPr>
  </w:style>
  <w:style w:type="paragraph" w:customStyle="1" w:styleId="186">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rPr>
  </w:style>
  <w:style w:type="paragraph" w:customStyle="1" w:styleId="187">
    <w:name w:val="Char Char Char Char"/>
    <w:basedOn w:val="1"/>
    <w:qFormat/>
    <w:uiPriority w:val="0"/>
    <w:pPr>
      <w:widowControl/>
      <w:spacing w:before="100" w:beforeAutospacing="1" w:after="100" w:afterAutospacing="1" w:line="360" w:lineRule="auto"/>
      <w:jc w:val="left"/>
    </w:pPr>
    <w:rPr>
      <w:rFonts w:ascii="Verdana" w:hAnsi="Verdana"/>
      <w:sz w:val="20"/>
      <w:szCs w:val="21"/>
      <w:lang w:eastAsia="en-US"/>
    </w:rPr>
  </w:style>
  <w:style w:type="paragraph" w:customStyle="1" w:styleId="188">
    <w:name w:val="表格题注"/>
    <w:next w:val="1"/>
    <w:qFormat/>
    <w:uiPriority w:val="0"/>
    <w:pPr>
      <w:keepLines/>
      <w:tabs>
        <w:tab w:val="left" w:pos="1559"/>
      </w:tabs>
      <w:spacing w:beforeLines="100"/>
      <w:jc w:val="center"/>
    </w:pPr>
    <w:rPr>
      <w:rFonts w:ascii="Arial" w:hAnsi="Arial" w:eastAsia="宋体" w:cs="Times New Roman"/>
      <w:sz w:val="18"/>
      <w:lang w:val="en-US" w:eastAsia="zh-CN" w:bidi="ar-SA"/>
    </w:rPr>
  </w:style>
  <w:style w:type="paragraph" w:customStyle="1" w:styleId="189">
    <w:name w:val="Char1"/>
    <w:basedOn w:val="1"/>
    <w:qFormat/>
    <w:uiPriority w:val="0"/>
    <w:rPr>
      <w:szCs w:val="21"/>
    </w:rPr>
  </w:style>
  <w:style w:type="paragraph" w:customStyle="1" w:styleId="190">
    <w:name w:val="xl111"/>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hAnsi="宋体" w:cs="宋体"/>
    </w:rPr>
  </w:style>
  <w:style w:type="paragraph" w:customStyle="1" w:styleId="191">
    <w:name w:val="样式 右侧:  1 字符1"/>
    <w:basedOn w:val="1"/>
    <w:qFormat/>
    <w:uiPriority w:val="0"/>
    <w:pPr>
      <w:ind w:left="240" w:leftChars="100" w:right="100" w:rightChars="100"/>
    </w:pPr>
    <w:rPr>
      <w:rFonts w:eastAsia="仿宋_GB2312"/>
      <w:kern w:val="2"/>
      <w:sz w:val="28"/>
    </w:rPr>
  </w:style>
  <w:style w:type="paragraph" w:customStyle="1" w:styleId="192">
    <w:name w:val="默认段落字体 Para Char Char Char Char Char Char Char Char Char Char Char Char Char Char Char Char Char Char Char Char Char Char Char Char Char"/>
    <w:basedOn w:val="18"/>
    <w:qFormat/>
    <w:uiPriority w:val="0"/>
    <w:rPr>
      <w:rFonts w:ascii="Tahoma" w:hAnsi="Tahoma"/>
      <w:sz w:val="24"/>
      <w:szCs w:val="24"/>
    </w:rPr>
  </w:style>
  <w:style w:type="paragraph" w:customStyle="1" w:styleId="193">
    <w:name w:val="style3"/>
    <w:basedOn w:val="1"/>
    <w:qFormat/>
    <w:uiPriority w:val="0"/>
    <w:pPr>
      <w:widowControl/>
      <w:spacing w:before="100" w:beforeAutospacing="1" w:after="100" w:afterAutospacing="1" w:line="450" w:lineRule="atLeast"/>
      <w:jc w:val="left"/>
    </w:pPr>
    <w:rPr>
      <w:rFonts w:ascii="Arial" w:hAnsi="Arial" w:cs="Arial"/>
      <w:b/>
      <w:bCs/>
      <w:sz w:val="21"/>
      <w:szCs w:val="21"/>
    </w:rPr>
  </w:style>
  <w:style w:type="paragraph" w:customStyle="1" w:styleId="194">
    <w:name w:val="Char Char6 Char Char"/>
    <w:basedOn w:val="1"/>
    <w:qFormat/>
    <w:uiPriority w:val="0"/>
    <w:rPr>
      <w:kern w:val="2"/>
      <w:sz w:val="21"/>
    </w:rPr>
  </w:style>
  <w:style w:type="paragraph" w:customStyle="1" w:styleId="195">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Ansi="宋体" w:cs="宋体"/>
      <w:sz w:val="20"/>
    </w:rPr>
  </w:style>
  <w:style w:type="paragraph" w:customStyle="1" w:styleId="196">
    <w:name w:val="大纲正文"/>
    <w:basedOn w:val="1"/>
    <w:qFormat/>
    <w:uiPriority w:val="0"/>
    <w:pPr>
      <w:spacing w:line="360" w:lineRule="auto"/>
      <w:ind w:firstLine="480" w:firstLineChars="200"/>
    </w:pPr>
    <w:rPr>
      <w:kern w:val="2"/>
    </w:rPr>
  </w:style>
  <w:style w:type="paragraph" w:customStyle="1" w:styleId="197">
    <w:name w:val="font7"/>
    <w:basedOn w:val="1"/>
    <w:qFormat/>
    <w:uiPriority w:val="0"/>
    <w:pPr>
      <w:widowControl/>
      <w:spacing w:before="100" w:beforeAutospacing="1" w:after="100" w:afterAutospacing="1"/>
      <w:jc w:val="left"/>
    </w:pPr>
    <w:rPr>
      <w:rFonts w:hAnsi="宋体" w:cs="宋体"/>
      <w:color w:val="000000"/>
      <w:sz w:val="22"/>
      <w:szCs w:val="22"/>
    </w:rPr>
  </w:style>
  <w:style w:type="paragraph" w:customStyle="1" w:styleId="198">
    <w:name w:val="列出段落1"/>
    <w:basedOn w:val="1"/>
    <w:qFormat/>
    <w:uiPriority w:val="34"/>
    <w:pPr>
      <w:ind w:firstLine="420" w:firstLineChars="200"/>
    </w:pPr>
    <w:rPr>
      <w:rFonts w:ascii="Calibri" w:hAnsi="Calibri"/>
      <w:kern w:val="2"/>
      <w:sz w:val="21"/>
      <w:szCs w:val="22"/>
    </w:rPr>
  </w:style>
  <w:style w:type="paragraph" w:customStyle="1" w:styleId="199">
    <w:name w:val="xl77"/>
    <w:basedOn w:val="1"/>
    <w:qFormat/>
    <w:uiPriority w:val="0"/>
    <w:pPr>
      <w:widowControl/>
      <w:spacing w:before="100" w:beforeAutospacing="1" w:after="100" w:afterAutospacing="1"/>
      <w:jc w:val="center"/>
    </w:pPr>
    <w:rPr>
      <w:rFonts w:hAnsi="宋体" w:cs="宋体"/>
    </w:rPr>
  </w:style>
  <w:style w:type="paragraph" w:customStyle="1" w:styleId="200">
    <w:name w:val="Char Char1 Char Char Char Char Char Char Char Char Char Char Char Char Char Char"/>
    <w:basedOn w:val="1"/>
    <w:qFormat/>
    <w:uiPriority w:val="0"/>
    <w:pPr>
      <w:widowControl/>
      <w:spacing w:after="160" w:line="240" w:lineRule="exact"/>
      <w:jc w:val="left"/>
    </w:pPr>
    <w:rPr>
      <w:rFonts w:ascii="Verdana" w:hAnsi="Verdana"/>
      <w:sz w:val="20"/>
      <w:lang w:eastAsia="en-US"/>
    </w:rPr>
  </w:style>
  <w:style w:type="paragraph" w:customStyle="1" w:styleId="201">
    <w:name w:val="样式 样式 正文文本缩进 + 仿宋_GB2312 小四 首行缩进:  0 厘米 行距: 1.5 倍行距 + (中文) 仿宋_GB..."/>
    <w:basedOn w:val="1"/>
    <w:qFormat/>
    <w:uiPriority w:val="0"/>
    <w:pPr>
      <w:spacing w:line="360" w:lineRule="auto"/>
      <w:ind w:firstLine="480" w:firstLineChars="200"/>
    </w:pPr>
    <w:rPr>
      <w:rFonts w:ascii="仿宋_GB2312" w:eastAsia="新宋体"/>
      <w:sz w:val="24"/>
    </w:rPr>
  </w:style>
  <w:style w:type="paragraph" w:customStyle="1" w:styleId="202">
    <w:name w:val="xl114"/>
    <w:basedOn w:val="1"/>
    <w:qFormat/>
    <w:uiPriority w:val="0"/>
    <w:pPr>
      <w:widowControl/>
      <w:pBdr>
        <w:top w:val="single" w:color="auto" w:sz="4" w:space="0"/>
        <w:bottom w:val="single" w:color="auto" w:sz="4" w:space="0"/>
      </w:pBdr>
      <w:spacing w:before="100" w:beforeAutospacing="1" w:after="100" w:afterAutospacing="1"/>
      <w:jc w:val="center"/>
    </w:pPr>
    <w:rPr>
      <w:rFonts w:hAnsi="宋体" w:cs="宋体"/>
      <w:b/>
      <w:bCs/>
      <w:sz w:val="32"/>
      <w:szCs w:val="32"/>
    </w:rPr>
  </w:style>
  <w:style w:type="paragraph" w:customStyle="1" w:styleId="203">
    <w:name w:val="我的正文"/>
    <w:basedOn w:val="1"/>
    <w:qFormat/>
    <w:uiPriority w:val="0"/>
    <w:pPr>
      <w:spacing w:line="360" w:lineRule="auto"/>
      <w:ind w:firstLine="420" w:firstLineChars="200"/>
    </w:pPr>
    <w:rPr>
      <w:rFonts w:hAnsi="宋体"/>
      <w:kern w:val="2"/>
      <w:sz w:val="21"/>
    </w:rPr>
  </w:style>
  <w:style w:type="paragraph" w:customStyle="1" w:styleId="204">
    <w:name w:val="ptdl"/>
    <w:basedOn w:val="1"/>
    <w:qFormat/>
    <w:uiPriority w:val="0"/>
    <w:pPr>
      <w:spacing w:after="156"/>
      <w:ind w:firstLine="480"/>
    </w:pPr>
    <w:rPr>
      <w:kern w:val="2"/>
    </w:rPr>
  </w:style>
  <w:style w:type="paragraph" w:customStyle="1" w:styleId="205">
    <w:name w:val="表格文字"/>
    <w:basedOn w:val="1"/>
    <w:qFormat/>
    <w:uiPriority w:val="0"/>
    <w:pPr>
      <w:spacing w:beforeLines="25" w:afterLines="25"/>
    </w:pPr>
    <w:rPr>
      <w:rFonts w:ascii="Times New (W1)" w:hAnsi="Times New (W1)"/>
      <w:spacing w:val="10"/>
      <w:kern w:val="2"/>
      <w:sz w:val="21"/>
    </w:rPr>
  </w:style>
  <w:style w:type="paragraph" w:customStyle="1" w:styleId="206">
    <w:name w:val="Char"/>
    <w:basedOn w:val="1"/>
    <w:next w:val="1"/>
    <w:qFormat/>
    <w:uiPriority w:val="0"/>
    <w:pPr>
      <w:spacing w:line="240" w:lineRule="atLeast"/>
      <w:ind w:left="420" w:firstLine="420"/>
      <w:jc w:val="left"/>
    </w:pPr>
    <w:rPr>
      <w:kern w:val="2"/>
    </w:rPr>
  </w:style>
  <w:style w:type="paragraph" w:customStyle="1" w:styleId="207">
    <w:name w:val="Item List"/>
    <w:qFormat/>
    <w:uiPriority w:val="0"/>
    <w:pPr>
      <w:widowControl w:val="0"/>
      <w:adjustRightInd w:val="0"/>
      <w:spacing w:line="360" w:lineRule="auto"/>
      <w:jc w:val="both"/>
      <w:textAlignment w:val="baseline"/>
    </w:pPr>
    <w:rPr>
      <w:rFonts w:ascii="Times New Roman" w:hAnsi="Times New Roman" w:eastAsia="宋体" w:cs="Times New Roman"/>
      <w:kern w:val="2"/>
      <w:sz w:val="24"/>
      <w:lang w:val="en-US" w:eastAsia="zh-CN" w:bidi="ar-SA"/>
    </w:rPr>
  </w:style>
  <w:style w:type="paragraph" w:customStyle="1" w:styleId="208">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style>
  <w:style w:type="paragraph" w:customStyle="1" w:styleId="209">
    <w:name w:val="xl105"/>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hAnsi="宋体" w:cs="宋体"/>
      <w:b/>
      <w:bCs/>
    </w:rPr>
  </w:style>
  <w:style w:type="paragraph" w:customStyle="1" w:styleId="210">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Ansi="宋体" w:cs="宋体"/>
      <w:sz w:val="20"/>
    </w:rPr>
  </w:style>
  <w:style w:type="paragraph" w:customStyle="1" w:styleId="211">
    <w:name w:val="font0"/>
    <w:basedOn w:val="1"/>
    <w:qFormat/>
    <w:uiPriority w:val="0"/>
    <w:pPr>
      <w:widowControl/>
      <w:spacing w:before="100" w:beforeAutospacing="1" w:after="100" w:afterAutospacing="1"/>
      <w:jc w:val="left"/>
    </w:pPr>
    <w:rPr>
      <w:rFonts w:hAnsi="宋体" w:cs="宋体"/>
      <w:color w:val="000000"/>
      <w:sz w:val="22"/>
      <w:szCs w:val="22"/>
    </w:rPr>
  </w:style>
  <w:style w:type="paragraph" w:customStyle="1" w:styleId="212">
    <w:name w:val="插图题注"/>
    <w:next w:val="1"/>
    <w:qFormat/>
    <w:uiPriority w:val="0"/>
    <w:pPr>
      <w:tabs>
        <w:tab w:val="left" w:pos="1418"/>
      </w:tabs>
      <w:spacing w:afterLines="100"/>
      <w:jc w:val="center"/>
    </w:pPr>
    <w:rPr>
      <w:rFonts w:ascii="Arial" w:hAnsi="Arial" w:eastAsia="宋体" w:cs="Times New Roman"/>
      <w:sz w:val="18"/>
      <w:lang w:val="en-US" w:eastAsia="zh-CN" w:bidi="ar-SA"/>
    </w:rPr>
  </w:style>
  <w:style w:type="paragraph" w:customStyle="1" w:styleId="213">
    <w:name w:val="Char Char Char Char Char Char Char"/>
    <w:basedOn w:val="1"/>
    <w:qFormat/>
    <w:uiPriority w:val="0"/>
    <w:pPr>
      <w:widowControl/>
      <w:snapToGrid w:val="0"/>
      <w:spacing w:line="240" w:lineRule="exact"/>
      <w:jc w:val="left"/>
    </w:pPr>
    <w:rPr>
      <w:rFonts w:ascii="Verdana" w:hAnsi="Verdana"/>
      <w:sz w:val="20"/>
      <w:lang w:eastAsia="en-US"/>
    </w:rPr>
  </w:style>
  <w:style w:type="paragraph" w:customStyle="1" w:styleId="214">
    <w:name w:val="MM Topic 5"/>
    <w:basedOn w:val="7"/>
    <w:qFormat/>
    <w:uiPriority w:val="0"/>
    <w:pPr>
      <w:tabs>
        <w:tab w:val="left" w:pos="2551"/>
      </w:tabs>
    </w:pPr>
    <w:rPr>
      <w:kern w:val="2"/>
      <w:szCs w:val="20"/>
    </w:rPr>
  </w:style>
  <w:style w:type="paragraph" w:customStyle="1" w:styleId="215">
    <w:name w:val="xl78"/>
    <w:basedOn w:val="1"/>
    <w:qFormat/>
    <w:uiPriority w:val="0"/>
    <w:pPr>
      <w:widowControl/>
      <w:spacing w:before="100" w:beforeAutospacing="1" w:after="100" w:afterAutospacing="1"/>
      <w:jc w:val="center"/>
    </w:pPr>
    <w:rPr>
      <w:rFonts w:hAnsi="宋体" w:cs="宋体"/>
    </w:rPr>
  </w:style>
  <w:style w:type="paragraph" w:customStyle="1" w:styleId="216">
    <w:name w:val="列出段落2"/>
    <w:basedOn w:val="1"/>
    <w:qFormat/>
    <w:uiPriority w:val="0"/>
    <w:pPr>
      <w:ind w:firstLine="420" w:firstLineChars="200"/>
    </w:pPr>
  </w:style>
  <w:style w:type="paragraph" w:customStyle="1" w:styleId="217">
    <w:name w:val="xl2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eastAsia="Arial Unicode MS"/>
      <w:szCs w:val="21"/>
    </w:rPr>
  </w:style>
  <w:style w:type="paragraph" w:customStyle="1" w:styleId="218">
    <w:name w:val="标题样式"/>
    <w:basedOn w:val="1"/>
    <w:qFormat/>
    <w:uiPriority w:val="0"/>
    <w:pPr>
      <w:tabs>
        <w:tab w:val="left" w:pos="420"/>
      </w:tabs>
      <w:spacing w:line="360" w:lineRule="auto"/>
    </w:pPr>
    <w:rPr>
      <w:rFonts w:hAnsi="宋体"/>
      <w:kern w:val="2"/>
    </w:rPr>
  </w:style>
  <w:style w:type="paragraph" w:customStyle="1" w:styleId="219">
    <w:name w:val="pa-106"/>
    <w:basedOn w:val="1"/>
    <w:qFormat/>
    <w:uiPriority w:val="0"/>
    <w:pPr>
      <w:widowControl/>
      <w:spacing w:line="360" w:lineRule="atLeast"/>
      <w:ind w:firstLine="460"/>
    </w:pPr>
    <w:rPr>
      <w:rFonts w:hAnsi="宋体" w:cs="宋体"/>
    </w:rPr>
  </w:style>
  <w:style w:type="paragraph" w:customStyle="1" w:styleId="220">
    <w:name w:val="font12"/>
    <w:basedOn w:val="1"/>
    <w:qFormat/>
    <w:uiPriority w:val="0"/>
    <w:pPr>
      <w:widowControl/>
      <w:spacing w:before="100" w:beforeAutospacing="1" w:after="100" w:afterAutospacing="1"/>
      <w:jc w:val="left"/>
    </w:pPr>
    <w:rPr>
      <w:rFonts w:hAnsi="宋体" w:cs="宋体"/>
      <w:b/>
      <w:bCs/>
      <w:color w:val="000000"/>
      <w:sz w:val="20"/>
    </w:rPr>
  </w:style>
  <w:style w:type="paragraph" w:customStyle="1" w:styleId="221">
    <w:name w:val="标3"/>
    <w:basedOn w:val="1"/>
    <w:qFormat/>
    <w:uiPriority w:val="0"/>
    <w:pPr>
      <w:tabs>
        <w:tab w:val="left" w:pos="1740"/>
      </w:tabs>
      <w:adjustRightInd w:val="0"/>
      <w:snapToGrid w:val="0"/>
      <w:spacing w:before="50"/>
      <w:ind w:left="1740" w:hanging="420"/>
      <w:outlineLvl w:val="2"/>
    </w:pPr>
    <w:rPr>
      <w:rFonts w:ascii="Arial Narrow" w:hAnsi="Arial Narrow" w:eastAsia="仿宋_GB2312"/>
      <w:kern w:val="2"/>
      <w:sz w:val="28"/>
    </w:rPr>
  </w:style>
  <w:style w:type="paragraph" w:customStyle="1" w:styleId="222">
    <w:name w:val="xl72"/>
    <w:basedOn w:val="1"/>
    <w:qFormat/>
    <w:uiPriority w:val="0"/>
    <w:pPr>
      <w:widowControl/>
      <w:spacing w:before="100" w:beforeAutospacing="1" w:after="100" w:afterAutospacing="1"/>
      <w:jc w:val="center"/>
    </w:pPr>
    <w:rPr>
      <w:rFonts w:hAnsi="宋体" w:cs="宋体"/>
    </w:rPr>
  </w:style>
  <w:style w:type="paragraph" w:customStyle="1" w:styleId="223">
    <w:name w:val="Char Char"/>
    <w:basedOn w:val="1"/>
    <w:qFormat/>
    <w:uiPriority w:val="0"/>
    <w:rPr>
      <w:rFonts w:ascii="Tahoma" w:hAnsi="Tahoma"/>
      <w:sz w:val="24"/>
    </w:rPr>
  </w:style>
  <w:style w:type="paragraph" w:customStyle="1" w:styleId="224">
    <w:name w:val="xl101"/>
    <w:basedOn w:val="1"/>
    <w:qFormat/>
    <w:uiPriority w:val="0"/>
    <w:pPr>
      <w:widowControl/>
      <w:spacing w:before="100" w:beforeAutospacing="1" w:after="100" w:afterAutospacing="1"/>
      <w:jc w:val="left"/>
    </w:pPr>
    <w:rPr>
      <w:rFonts w:hAnsi="宋体" w:cs="宋体"/>
      <w:sz w:val="20"/>
    </w:rPr>
  </w:style>
  <w:style w:type="paragraph" w:customStyle="1" w:styleId="225">
    <w:name w:val="默认段落字体 Para Char Char"/>
    <w:basedOn w:val="1"/>
    <w:qFormat/>
    <w:uiPriority w:val="0"/>
    <w:rPr>
      <w:kern w:val="2"/>
      <w:sz w:val="21"/>
    </w:rPr>
  </w:style>
  <w:style w:type="paragraph" w:customStyle="1" w:styleId="226">
    <w:name w:val="Char2"/>
    <w:basedOn w:val="1"/>
    <w:qFormat/>
    <w:uiPriority w:val="0"/>
    <w:rPr>
      <w:kern w:val="2"/>
      <w:sz w:val="21"/>
    </w:rPr>
  </w:style>
  <w:style w:type="paragraph" w:customStyle="1" w:styleId="227">
    <w:name w:val="Style Style4 + First line:  2 ch Before:  0.5 line After:  0.5 li..."/>
    <w:basedOn w:val="1"/>
    <w:qFormat/>
    <w:uiPriority w:val="0"/>
    <w:pPr>
      <w:spacing w:beforeLines="50" w:afterLines="50" w:line="276" w:lineRule="auto"/>
      <w:ind w:firstLine="480" w:firstLineChars="200"/>
    </w:pPr>
    <w:rPr>
      <w:rFonts w:ascii="Arial" w:hAnsi="Arial"/>
      <w:kern w:val="2"/>
    </w:rPr>
  </w:style>
  <w:style w:type="paragraph" w:customStyle="1" w:styleId="228">
    <w:name w:val="Table Text"/>
    <w:basedOn w:val="1"/>
    <w:qFormat/>
    <w:uiPriority w:val="0"/>
    <w:pPr>
      <w:widowControl/>
      <w:spacing w:before="60" w:after="60"/>
      <w:jc w:val="left"/>
    </w:pPr>
    <w:rPr>
      <w:szCs w:val="24"/>
    </w:rPr>
  </w:style>
  <w:style w:type="paragraph" w:customStyle="1" w:styleId="229">
    <w:name w:val="style10"/>
    <w:basedOn w:val="1"/>
    <w:qFormat/>
    <w:uiPriority w:val="0"/>
    <w:pPr>
      <w:widowControl/>
      <w:spacing w:before="100" w:beforeAutospacing="1" w:after="100" w:afterAutospacing="1" w:line="270" w:lineRule="atLeast"/>
      <w:jc w:val="left"/>
    </w:pPr>
    <w:rPr>
      <w:rFonts w:hAnsi="宋体" w:cs="宋体"/>
      <w:color w:val="FFFFFF"/>
      <w:sz w:val="21"/>
      <w:szCs w:val="21"/>
    </w:rPr>
  </w:style>
  <w:style w:type="paragraph" w:customStyle="1" w:styleId="230">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rPr>
  </w:style>
  <w:style w:type="paragraph" w:customStyle="1" w:styleId="231">
    <w:name w:val="font9"/>
    <w:basedOn w:val="1"/>
    <w:qFormat/>
    <w:uiPriority w:val="0"/>
    <w:pPr>
      <w:widowControl/>
      <w:spacing w:before="100" w:beforeAutospacing="1" w:after="100" w:afterAutospacing="1"/>
      <w:jc w:val="left"/>
    </w:pPr>
    <w:rPr>
      <w:rFonts w:hAnsi="宋体" w:cs="宋体"/>
      <w:sz w:val="18"/>
      <w:szCs w:val="18"/>
    </w:rPr>
  </w:style>
  <w:style w:type="paragraph" w:customStyle="1" w:styleId="232">
    <w:name w:val="条目正文"/>
    <w:basedOn w:val="1"/>
    <w:qFormat/>
    <w:uiPriority w:val="0"/>
    <w:pPr>
      <w:tabs>
        <w:tab w:val="left" w:pos="360"/>
        <w:tab w:val="left" w:pos="1050"/>
      </w:tabs>
      <w:spacing w:after="120" w:line="360" w:lineRule="auto"/>
      <w:ind w:left="1050" w:hanging="450"/>
    </w:pPr>
    <w:rPr>
      <w:rFonts w:hAnsi="Arial" w:cs="Arial"/>
    </w:rPr>
  </w:style>
  <w:style w:type="paragraph" w:customStyle="1" w:styleId="233">
    <w:name w:val="Style8"/>
    <w:basedOn w:val="1"/>
    <w:qFormat/>
    <w:uiPriority w:val="0"/>
    <w:pPr>
      <w:tabs>
        <w:tab w:val="left" w:pos="1304"/>
      </w:tabs>
      <w:spacing w:beforeLines="50" w:afterLines="50" w:line="276" w:lineRule="auto"/>
      <w:ind w:left="1304" w:hanging="397"/>
    </w:pPr>
    <w:rPr>
      <w:rFonts w:ascii="Arial" w:hAnsi="Arial"/>
      <w:kern w:val="2"/>
    </w:rPr>
  </w:style>
  <w:style w:type="paragraph" w:customStyle="1" w:styleId="234">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rPr>
  </w:style>
  <w:style w:type="paragraph" w:customStyle="1" w:styleId="235">
    <w:name w:val="2"/>
    <w:basedOn w:val="1"/>
    <w:qFormat/>
    <w:uiPriority w:val="0"/>
    <w:pPr>
      <w:widowControl/>
      <w:spacing w:before="100" w:beforeAutospacing="1" w:after="100" w:afterAutospacing="1"/>
      <w:jc w:val="left"/>
    </w:pPr>
    <w:rPr>
      <w:rFonts w:hAnsi="宋体"/>
      <w:sz w:val="21"/>
      <w:szCs w:val="21"/>
    </w:rPr>
  </w:style>
  <w:style w:type="paragraph" w:customStyle="1" w:styleId="236">
    <w:name w:val="默认段落字体 Para Char Char Char Char Char Char Char"/>
    <w:basedOn w:val="1"/>
    <w:qFormat/>
    <w:uiPriority w:val="0"/>
    <w:rPr>
      <w:rFonts w:ascii="Tahoma" w:hAnsi="Tahoma"/>
      <w:kern w:val="2"/>
    </w:rPr>
  </w:style>
  <w:style w:type="paragraph" w:customStyle="1" w:styleId="237">
    <w:name w:val="MM Topic 1"/>
    <w:basedOn w:val="3"/>
    <w:qFormat/>
    <w:uiPriority w:val="0"/>
    <w:pPr>
      <w:tabs>
        <w:tab w:val="left" w:pos="4265"/>
      </w:tabs>
    </w:pPr>
    <w:rPr>
      <w:rFonts w:ascii="Times New Roman" w:eastAsia="华文中宋"/>
      <w:color w:val="000000"/>
      <w:sz w:val="44"/>
    </w:rPr>
  </w:style>
  <w:style w:type="paragraph" w:customStyle="1" w:styleId="238">
    <w:name w:val="MM Title"/>
    <w:basedOn w:val="1"/>
    <w:qFormat/>
    <w:uiPriority w:val="0"/>
    <w:pPr>
      <w:spacing w:before="240" w:after="60"/>
      <w:jc w:val="center"/>
      <w:outlineLvl w:val="0"/>
    </w:pPr>
    <w:rPr>
      <w:rFonts w:ascii="Arial" w:hAnsi="Arial"/>
      <w:b/>
      <w:kern w:val="2"/>
      <w:sz w:val="32"/>
    </w:rPr>
  </w:style>
  <w:style w:type="paragraph" w:customStyle="1" w:styleId="239">
    <w:name w:val="标题 3 （加黑）"/>
    <w:basedOn w:val="5"/>
    <w:qFormat/>
    <w:uiPriority w:val="0"/>
    <w:pPr>
      <w:keepNext w:val="0"/>
      <w:tabs>
        <w:tab w:val="left" w:pos="5269"/>
      </w:tabs>
      <w:spacing w:before="120" w:after="120"/>
      <w:ind w:left="354" w:hanging="354" w:hangingChars="150"/>
    </w:pPr>
    <w:rPr>
      <w:rFonts w:ascii="Times New Roman"/>
      <w:bCs/>
      <w:kern w:val="2"/>
      <w:szCs w:val="32"/>
    </w:rPr>
  </w:style>
  <w:style w:type="paragraph" w:customStyle="1" w:styleId="240">
    <w:name w:val="font10"/>
    <w:basedOn w:val="1"/>
    <w:qFormat/>
    <w:uiPriority w:val="0"/>
    <w:pPr>
      <w:widowControl/>
      <w:spacing w:before="100" w:beforeAutospacing="1" w:after="100" w:afterAutospacing="1"/>
      <w:jc w:val="left"/>
    </w:pPr>
    <w:rPr>
      <w:rFonts w:hAnsi="宋体" w:cs="宋体"/>
      <w:color w:val="000000"/>
      <w:sz w:val="22"/>
      <w:szCs w:val="22"/>
    </w:rPr>
  </w:style>
  <w:style w:type="paragraph" w:customStyle="1" w:styleId="241">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Ansi="宋体" w:cs="宋体"/>
      <w:sz w:val="20"/>
    </w:rPr>
  </w:style>
  <w:style w:type="paragraph" w:customStyle="1" w:styleId="242">
    <w:name w:val="_Style 31"/>
    <w:basedOn w:val="1"/>
    <w:next w:val="26"/>
    <w:qFormat/>
    <w:uiPriority w:val="0"/>
    <w:rPr>
      <w:rFonts w:hAnsi="Courier New" w:cs="Courier New"/>
      <w:szCs w:val="21"/>
    </w:rPr>
  </w:style>
  <w:style w:type="paragraph" w:customStyle="1" w:styleId="243">
    <w:name w:val="MM Topic 4"/>
    <w:basedOn w:val="6"/>
    <w:qFormat/>
    <w:uiPriority w:val="0"/>
    <w:pPr>
      <w:tabs>
        <w:tab w:val="left" w:pos="1984"/>
      </w:tabs>
    </w:pPr>
    <w:rPr>
      <w:rFonts w:ascii="宋体" w:hAnsi="宋体" w:eastAsia="宋体"/>
      <w:bCs w:val="0"/>
      <w:kern w:val="2"/>
      <w:szCs w:val="20"/>
    </w:rPr>
  </w:style>
  <w:style w:type="paragraph" w:customStyle="1" w:styleId="244">
    <w:name w:val="Char Char1 Char Char Char Char Char Char Char Char Char Char Char Char Char Char Char"/>
    <w:basedOn w:val="1"/>
    <w:qFormat/>
    <w:uiPriority w:val="0"/>
    <w:pPr>
      <w:widowControl/>
      <w:spacing w:after="160" w:line="240" w:lineRule="exact"/>
      <w:jc w:val="left"/>
    </w:pPr>
    <w:rPr>
      <w:rFonts w:ascii="Verdana" w:hAnsi="Verdana"/>
      <w:sz w:val="20"/>
      <w:lang w:eastAsia="en-US"/>
    </w:rPr>
  </w:style>
  <w:style w:type="paragraph" w:customStyle="1" w:styleId="245">
    <w:name w:val="修订1"/>
    <w:qFormat/>
    <w:uiPriority w:val="0"/>
    <w:rPr>
      <w:rFonts w:ascii="Times New Roman" w:hAnsi="Times New Roman" w:eastAsia="宋体" w:cs="Times New Roman"/>
      <w:kern w:val="2"/>
      <w:sz w:val="21"/>
      <w:lang w:val="en-US" w:eastAsia="zh-CN" w:bidi="ar-SA"/>
    </w:rPr>
  </w:style>
  <w:style w:type="paragraph" w:customStyle="1" w:styleId="246">
    <w:name w:val="xl70"/>
    <w:basedOn w:val="1"/>
    <w:qFormat/>
    <w:uiPriority w:val="0"/>
    <w:pPr>
      <w:widowControl/>
      <w:spacing w:before="100" w:beforeAutospacing="1" w:after="100" w:afterAutospacing="1"/>
      <w:jc w:val="center"/>
    </w:pPr>
    <w:rPr>
      <w:rFonts w:hAnsi="宋体" w:cs="宋体"/>
    </w:rPr>
  </w:style>
  <w:style w:type="paragraph" w:customStyle="1" w:styleId="247">
    <w:name w:val="MM Topic 7"/>
    <w:basedOn w:val="10"/>
    <w:qFormat/>
    <w:uiPriority w:val="0"/>
    <w:pPr>
      <w:tabs>
        <w:tab w:val="left" w:pos="3827"/>
      </w:tabs>
    </w:pPr>
    <w:rPr>
      <w:rFonts w:ascii="Times New Roman"/>
      <w:kern w:val="2"/>
      <w:szCs w:val="20"/>
    </w:rPr>
  </w:style>
  <w:style w:type="paragraph" w:customStyle="1" w:styleId="248">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Ansi="宋体" w:cs="宋体"/>
    </w:rPr>
  </w:style>
  <w:style w:type="paragraph" w:customStyle="1" w:styleId="249">
    <w:name w:val="默认段落字体 Para Char Char Char Char Char Char Char Char Char1 Char Char Char Char"/>
    <w:basedOn w:val="1"/>
    <w:qFormat/>
    <w:uiPriority w:val="0"/>
    <w:rPr>
      <w:rFonts w:ascii="Tahoma" w:hAnsi="Tahoma"/>
      <w:sz w:val="24"/>
    </w:rPr>
  </w:style>
  <w:style w:type="paragraph" w:customStyle="1" w:styleId="250">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251">
    <w:name w:val="xl9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hAnsi="宋体" w:cs="宋体"/>
      <w:sz w:val="20"/>
    </w:rPr>
  </w:style>
  <w:style w:type="paragraph" w:customStyle="1" w:styleId="252">
    <w:name w:val="xl103"/>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hAnsi="宋体" w:cs="宋体"/>
      <w:b/>
      <w:bCs/>
      <w:sz w:val="28"/>
      <w:szCs w:val="28"/>
    </w:rPr>
  </w:style>
  <w:style w:type="paragraph" w:customStyle="1" w:styleId="253">
    <w:name w:val="xl9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hAnsi="宋体" w:cs="宋体"/>
      <w:sz w:val="20"/>
    </w:rPr>
  </w:style>
  <w:style w:type="paragraph" w:customStyle="1" w:styleId="254">
    <w:name w:val="Char3"/>
    <w:basedOn w:val="1"/>
    <w:qFormat/>
    <w:uiPriority w:val="0"/>
    <w:pPr>
      <w:widowControl/>
      <w:spacing w:before="100" w:beforeAutospacing="1" w:after="100" w:afterAutospacing="1" w:line="360" w:lineRule="auto"/>
      <w:jc w:val="left"/>
    </w:pPr>
    <w:rPr>
      <w:rFonts w:ascii="Verdana" w:hAnsi="Verdana"/>
      <w:sz w:val="20"/>
      <w:szCs w:val="21"/>
      <w:lang w:eastAsia="en-US"/>
    </w:rPr>
  </w:style>
  <w:style w:type="paragraph" w:customStyle="1" w:styleId="255">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rPr>
  </w:style>
  <w:style w:type="paragraph" w:customStyle="1" w:styleId="256">
    <w:name w:val="样式 首行缩进:  2 字符"/>
    <w:basedOn w:val="1"/>
    <w:qFormat/>
    <w:uiPriority w:val="0"/>
    <w:pPr>
      <w:ind w:firstLine="420" w:firstLineChars="200"/>
    </w:pPr>
    <w:rPr>
      <w:rFonts w:cs="宋体"/>
      <w:kern w:val="2"/>
      <w:sz w:val="21"/>
    </w:rPr>
  </w:style>
  <w:style w:type="paragraph" w:customStyle="1" w:styleId="257">
    <w:name w:val="正文首行缩进两字符"/>
    <w:basedOn w:val="1"/>
    <w:qFormat/>
    <w:uiPriority w:val="0"/>
    <w:pPr>
      <w:spacing w:line="360" w:lineRule="auto"/>
      <w:ind w:firstLine="200" w:firstLineChars="200"/>
    </w:pPr>
    <w:rPr>
      <w:szCs w:val="24"/>
    </w:rPr>
  </w:style>
  <w:style w:type="paragraph" w:customStyle="1" w:styleId="258">
    <w:name w:val="样式 标题 2proj2proj21proj22proj23proj24proj25proj26proj27p...1"/>
    <w:basedOn w:val="4"/>
    <w:qFormat/>
    <w:uiPriority w:val="0"/>
    <w:pPr>
      <w:keepNext w:val="0"/>
      <w:keepLines w:val="0"/>
      <w:tabs>
        <w:tab w:val="left" w:pos="720"/>
      </w:tabs>
      <w:spacing w:before="0" w:after="0" w:line="360" w:lineRule="exact"/>
      <w:textAlignment w:val="baseline"/>
      <w:outlineLvl w:val="9"/>
    </w:pPr>
    <w:rPr>
      <w:rFonts w:ascii="Times New Roman" w:hAnsi="Times New Roman" w:eastAsia="宋体"/>
      <w:b w:val="0"/>
      <w:sz w:val="24"/>
    </w:rPr>
  </w:style>
  <w:style w:type="paragraph" w:customStyle="1" w:styleId="259">
    <w:name w:val="xl104"/>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hAnsi="宋体" w:cs="宋体"/>
      <w:b/>
      <w:bCs/>
    </w:rPr>
  </w:style>
  <w:style w:type="paragraph" w:customStyle="1" w:styleId="260">
    <w:name w:val="font8"/>
    <w:basedOn w:val="1"/>
    <w:qFormat/>
    <w:uiPriority w:val="0"/>
    <w:pPr>
      <w:widowControl/>
      <w:spacing w:before="100" w:beforeAutospacing="1" w:after="100" w:afterAutospacing="1"/>
      <w:jc w:val="left"/>
    </w:pPr>
    <w:rPr>
      <w:color w:val="000000"/>
      <w:sz w:val="22"/>
      <w:szCs w:val="22"/>
    </w:rPr>
  </w:style>
  <w:style w:type="paragraph" w:customStyle="1" w:styleId="261">
    <w:name w:val="带符号"/>
    <w:basedOn w:val="1"/>
    <w:qFormat/>
    <w:uiPriority w:val="0"/>
    <w:pPr>
      <w:tabs>
        <w:tab w:val="left" w:pos="360"/>
      </w:tabs>
      <w:spacing w:line="360" w:lineRule="auto"/>
      <w:ind w:left="360" w:hanging="360"/>
    </w:pPr>
    <w:rPr>
      <w:sz w:val="24"/>
      <w:szCs w:val="24"/>
    </w:rPr>
  </w:style>
  <w:style w:type="paragraph" w:customStyle="1" w:styleId="262">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sz w:val="20"/>
    </w:rPr>
  </w:style>
  <w:style w:type="paragraph" w:customStyle="1" w:styleId="263">
    <w:name w:val="xl26"/>
    <w:basedOn w:val="1"/>
    <w:qFormat/>
    <w:uiPriority w:val="0"/>
    <w:pPr>
      <w:widowControl/>
      <w:spacing w:before="100" w:beforeAutospacing="1" w:after="100" w:afterAutospacing="1"/>
      <w:jc w:val="center"/>
      <w:textAlignment w:val="center"/>
    </w:pPr>
    <w:rPr>
      <w:rFonts w:hAnsi="宋体"/>
      <w:sz w:val="24"/>
      <w:szCs w:val="24"/>
    </w:rPr>
  </w:style>
  <w:style w:type="paragraph" w:customStyle="1" w:styleId="264">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rPr>
  </w:style>
  <w:style w:type="paragraph" w:customStyle="1" w:styleId="265">
    <w:name w:val="列出段落3"/>
    <w:basedOn w:val="1"/>
    <w:qFormat/>
    <w:uiPriority w:val="0"/>
    <w:pPr>
      <w:ind w:firstLine="420" w:firstLineChars="200"/>
    </w:pPr>
    <w:rPr>
      <w:rFonts w:ascii="Calibri" w:hAnsi="Calibri"/>
      <w:szCs w:val="22"/>
    </w:rPr>
  </w:style>
  <w:style w:type="paragraph" w:customStyle="1" w:styleId="266">
    <w:name w:val="MM Topic 2"/>
    <w:basedOn w:val="4"/>
    <w:qFormat/>
    <w:uiPriority w:val="0"/>
    <w:pPr>
      <w:tabs>
        <w:tab w:val="left" w:pos="992"/>
      </w:tabs>
    </w:pPr>
    <w:rPr>
      <w:rFonts w:hAnsi="宋体" w:eastAsia="宋体"/>
      <w:color w:val="000000"/>
    </w:rPr>
  </w:style>
  <w:style w:type="paragraph" w:customStyle="1" w:styleId="267">
    <w:name w:val="正文段落"/>
    <w:basedOn w:val="1"/>
    <w:qFormat/>
    <w:uiPriority w:val="0"/>
    <w:pPr>
      <w:spacing w:line="300" w:lineRule="auto"/>
      <w:ind w:firstLine="510"/>
    </w:pPr>
    <w:rPr>
      <w:kern w:val="2"/>
    </w:rPr>
  </w:style>
  <w:style w:type="paragraph" w:customStyle="1" w:styleId="268">
    <w:name w:val="标题 2 + 楷体_GB2312"/>
    <w:basedOn w:val="4"/>
    <w:qFormat/>
    <w:uiPriority w:val="0"/>
    <w:pPr>
      <w:tabs>
        <w:tab w:val="left" w:pos="576"/>
        <w:tab w:val="left" w:pos="840"/>
      </w:tabs>
      <w:spacing w:before="0" w:after="0"/>
      <w:ind w:left="840" w:hanging="420"/>
    </w:pPr>
    <w:rPr>
      <w:rFonts w:ascii="楷体_GB2312" w:hAnsi="宋体" w:eastAsia="楷体_GB2312"/>
      <w:b w:val="0"/>
      <w:i/>
      <w:sz w:val="24"/>
    </w:rPr>
  </w:style>
  <w:style w:type="paragraph" w:customStyle="1" w:styleId="269">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Ansi="宋体" w:cs="宋体"/>
    </w:rPr>
  </w:style>
  <w:style w:type="paragraph" w:customStyle="1" w:styleId="270">
    <w:name w:val="font6"/>
    <w:basedOn w:val="1"/>
    <w:qFormat/>
    <w:uiPriority w:val="0"/>
    <w:pPr>
      <w:widowControl/>
      <w:spacing w:before="100" w:beforeAutospacing="1" w:after="100" w:afterAutospacing="1"/>
      <w:jc w:val="left"/>
    </w:pPr>
    <w:rPr>
      <w:rFonts w:hAnsi="宋体" w:cs="宋体"/>
      <w:sz w:val="18"/>
      <w:szCs w:val="18"/>
    </w:rPr>
  </w:style>
  <w:style w:type="paragraph" w:customStyle="1" w:styleId="271">
    <w:name w:val="项目符号：一级"/>
    <w:basedOn w:val="272"/>
    <w:next w:val="272"/>
    <w:qFormat/>
    <w:uiPriority w:val="0"/>
    <w:pPr>
      <w:tabs>
        <w:tab w:val="left" w:pos="700"/>
      </w:tabs>
      <w:spacing w:beforeLines="0"/>
      <w:ind w:left="630" w:hanging="290" w:firstLineChars="0"/>
    </w:pPr>
  </w:style>
  <w:style w:type="paragraph" w:customStyle="1" w:styleId="272">
    <w:name w:val="正文格式"/>
    <w:basedOn w:val="1"/>
    <w:qFormat/>
    <w:uiPriority w:val="0"/>
    <w:pPr>
      <w:widowControl/>
      <w:adjustRightInd w:val="0"/>
      <w:snapToGrid w:val="0"/>
      <w:spacing w:beforeLines="25" w:line="360" w:lineRule="auto"/>
      <w:ind w:firstLine="480" w:firstLineChars="200"/>
      <w:textAlignment w:val="baseline"/>
    </w:pPr>
    <w:rPr>
      <w:rFonts w:hAnsi="宋体"/>
      <w:color w:val="000000"/>
    </w:rPr>
  </w:style>
  <w:style w:type="paragraph" w:customStyle="1" w:styleId="273">
    <w:name w:val="Char11"/>
    <w:basedOn w:val="1"/>
    <w:qFormat/>
    <w:uiPriority w:val="0"/>
    <w:rPr>
      <w:rFonts w:ascii="仿宋_GB2312" w:eastAsia="仿宋_GB2312"/>
      <w:b/>
      <w:sz w:val="32"/>
      <w:szCs w:val="32"/>
    </w:rPr>
  </w:style>
  <w:style w:type="paragraph" w:customStyle="1" w:styleId="274">
    <w:name w:val="black1"/>
    <w:basedOn w:val="1"/>
    <w:qFormat/>
    <w:uiPriority w:val="0"/>
    <w:pPr>
      <w:widowControl/>
      <w:spacing w:before="100" w:beforeAutospacing="1" w:after="100" w:afterAutospacing="1" w:line="280" w:lineRule="atLeast"/>
      <w:jc w:val="left"/>
    </w:pPr>
    <w:rPr>
      <w:rFonts w:ascii="Arial" w:hAnsi="Arial" w:eastAsia="Arial Unicode MS"/>
      <w:color w:val="000000"/>
      <w:sz w:val="18"/>
    </w:rPr>
  </w:style>
  <w:style w:type="paragraph" w:customStyle="1" w:styleId="275">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sz w:val="20"/>
    </w:rPr>
  </w:style>
  <w:style w:type="paragraph" w:customStyle="1" w:styleId="276">
    <w:name w:val="Char1 Char Char Char Char Char Char1"/>
    <w:basedOn w:val="1"/>
    <w:qFormat/>
    <w:uiPriority w:val="0"/>
    <w:rPr>
      <w:rFonts w:ascii="Tahoma" w:hAnsi="Tahoma"/>
      <w:kern w:val="2"/>
    </w:rPr>
  </w:style>
  <w:style w:type="paragraph" w:customStyle="1" w:styleId="277">
    <w:name w:val="Char2 Char Char Char Char Char Char"/>
    <w:basedOn w:val="1"/>
    <w:qFormat/>
    <w:uiPriority w:val="0"/>
    <w:rPr>
      <w:rFonts w:ascii="仿宋_GB2312"/>
      <w:b/>
      <w:kern w:val="2"/>
      <w:sz w:val="30"/>
    </w:rPr>
  </w:style>
  <w:style w:type="paragraph" w:customStyle="1" w:styleId="278">
    <w:name w:val="MM Topic 3"/>
    <w:basedOn w:val="5"/>
    <w:qFormat/>
    <w:uiPriority w:val="0"/>
    <w:pPr>
      <w:tabs>
        <w:tab w:val="left" w:pos="1418"/>
      </w:tabs>
    </w:pPr>
    <w:rPr>
      <w:rFonts w:ascii="Times New Roman"/>
      <w:kern w:val="2"/>
      <w:sz w:val="28"/>
    </w:rPr>
  </w:style>
  <w:style w:type="paragraph" w:customStyle="1" w:styleId="279">
    <w:name w:val="8"/>
    <w:basedOn w:val="1"/>
    <w:qFormat/>
    <w:uiPriority w:val="0"/>
    <w:pPr>
      <w:widowControl/>
      <w:spacing w:before="100" w:beforeAutospacing="1" w:after="100" w:afterAutospacing="1" w:line="432" w:lineRule="auto"/>
      <w:jc w:val="left"/>
    </w:pPr>
    <w:rPr>
      <w:rFonts w:hAnsi="宋体"/>
      <w:szCs w:val="21"/>
    </w:rPr>
  </w:style>
  <w:style w:type="paragraph" w:customStyle="1" w:styleId="280">
    <w:name w:val="正文序号 3"/>
    <w:basedOn w:val="1"/>
    <w:qFormat/>
    <w:uiPriority w:val="0"/>
    <w:pPr>
      <w:tabs>
        <w:tab w:val="left" w:pos="1259"/>
      </w:tabs>
      <w:spacing w:before="60"/>
      <w:ind w:left="1260" w:hanging="420"/>
    </w:pPr>
    <w:rPr>
      <w:kern w:val="2"/>
      <w:sz w:val="21"/>
    </w:rPr>
  </w:style>
  <w:style w:type="paragraph" w:customStyle="1" w:styleId="281">
    <w:name w:val="Default"/>
    <w:qFormat/>
    <w:uiPriority w:val="0"/>
    <w:pPr>
      <w:widowControl w:val="0"/>
      <w:autoSpaceDE w:val="0"/>
      <w:autoSpaceDN w:val="0"/>
      <w:adjustRightInd w:val="0"/>
    </w:pPr>
    <w:rPr>
      <w:rFonts w:ascii="楷体à.ā" w:hAnsi="Times New Roman" w:eastAsia="楷体à.ā" w:cs="Times New Roman"/>
      <w:color w:val="000000"/>
      <w:sz w:val="24"/>
      <w:lang w:val="en-US" w:eastAsia="zh-CN" w:bidi="ar-SA"/>
    </w:rPr>
  </w:style>
  <w:style w:type="paragraph" w:customStyle="1" w:styleId="282">
    <w:name w:val="xl107"/>
    <w:basedOn w:val="1"/>
    <w:qFormat/>
    <w:uiPriority w:val="0"/>
    <w:pPr>
      <w:widowControl/>
      <w:spacing w:before="100" w:beforeAutospacing="1" w:after="100" w:afterAutospacing="1"/>
      <w:jc w:val="center"/>
    </w:pPr>
    <w:rPr>
      <w:rFonts w:hAnsi="宋体" w:cs="宋体"/>
      <w:b/>
      <w:bCs/>
      <w:sz w:val="20"/>
    </w:rPr>
  </w:style>
  <w:style w:type="paragraph" w:customStyle="1" w:styleId="283">
    <w:name w:val="p4"/>
    <w:basedOn w:val="1"/>
    <w:qFormat/>
    <w:uiPriority w:val="0"/>
    <w:pPr>
      <w:widowControl/>
      <w:spacing w:before="100" w:beforeAutospacing="1" w:after="100" w:afterAutospacing="1" w:line="360" w:lineRule="auto"/>
      <w:ind w:firstLine="360"/>
      <w:jc w:val="left"/>
    </w:pPr>
    <w:rPr>
      <w:rFonts w:hAnsi="宋体"/>
    </w:rPr>
  </w:style>
  <w:style w:type="paragraph" w:customStyle="1" w:styleId="284">
    <w:name w:val="Char Char Char Char Char Char Char Char Char Char Char Char Char"/>
    <w:basedOn w:val="18"/>
    <w:qFormat/>
    <w:uiPriority w:val="0"/>
    <w:rPr>
      <w:rFonts w:ascii="Tahoma" w:hAnsi="Tahoma"/>
      <w:kern w:val="2"/>
    </w:rPr>
  </w:style>
  <w:style w:type="paragraph" w:customStyle="1" w:styleId="285">
    <w:name w:val="MM Topic 9"/>
    <w:basedOn w:val="12"/>
    <w:qFormat/>
    <w:uiPriority w:val="0"/>
    <w:pPr>
      <w:tabs>
        <w:tab w:val="left" w:pos="5102"/>
      </w:tabs>
    </w:pPr>
    <w:rPr>
      <w:kern w:val="2"/>
      <w:sz w:val="21"/>
      <w:szCs w:val="20"/>
    </w:rPr>
  </w:style>
  <w:style w:type="paragraph" w:customStyle="1" w:styleId="286">
    <w:name w:val="文章正文 Char Char1"/>
    <w:basedOn w:val="1"/>
    <w:qFormat/>
    <w:uiPriority w:val="0"/>
    <w:pPr>
      <w:spacing w:line="360" w:lineRule="auto"/>
      <w:ind w:firstLine="420"/>
    </w:pPr>
    <w:rPr>
      <w:kern w:val="2"/>
    </w:rPr>
  </w:style>
  <w:style w:type="paragraph" w:customStyle="1" w:styleId="287">
    <w:name w:val="表格"/>
    <w:basedOn w:val="1"/>
    <w:qFormat/>
    <w:uiPriority w:val="0"/>
    <w:pPr>
      <w:spacing w:line="400" w:lineRule="exact"/>
    </w:pPr>
    <w:rPr>
      <w:sz w:val="24"/>
      <w:szCs w:val="24"/>
    </w:rPr>
  </w:style>
  <w:style w:type="paragraph" w:customStyle="1" w:styleId="288">
    <w:name w:val="xl1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Ansi="宋体" w:cs="宋体"/>
      <w:b/>
      <w:bCs/>
      <w:sz w:val="28"/>
      <w:szCs w:val="28"/>
    </w:rPr>
  </w:style>
  <w:style w:type="paragraph" w:customStyle="1" w:styleId="289">
    <w:name w:val="纯文本1"/>
    <w:basedOn w:val="1"/>
    <w:qFormat/>
    <w:uiPriority w:val="0"/>
    <w:pPr>
      <w:adjustRightInd w:val="0"/>
      <w:textAlignment w:val="baseline"/>
    </w:pPr>
    <w:rPr>
      <w:rFonts w:hAnsi="Courier New"/>
    </w:rPr>
  </w:style>
  <w:style w:type="character" w:customStyle="1" w:styleId="290">
    <w:name w:val="批注文字 Char"/>
    <w:basedOn w:val="44"/>
    <w:link w:val="14"/>
    <w:qFormat/>
    <w:uiPriority w:val="0"/>
    <w:rPr>
      <w:rFonts w:ascii="宋体"/>
      <w:sz w:val="34"/>
    </w:rPr>
  </w:style>
  <w:style w:type="paragraph" w:customStyle="1" w:styleId="291">
    <w:name w:val="列出段落4"/>
    <w:basedOn w:val="1"/>
    <w:unhideWhenUsed/>
    <w:qFormat/>
    <w:uiPriority w:val="99"/>
    <w:pPr>
      <w:ind w:firstLine="420" w:firstLineChars="200"/>
    </w:pPr>
  </w:style>
  <w:style w:type="paragraph" w:customStyle="1" w:styleId="292">
    <w:name w:val="列出段落5"/>
    <w:basedOn w:val="1"/>
    <w:unhideWhenUsed/>
    <w:qFormat/>
    <w:uiPriority w:val="99"/>
    <w:pPr>
      <w:ind w:firstLine="420" w:firstLineChars="200"/>
    </w:pPr>
  </w:style>
  <w:style w:type="paragraph" w:customStyle="1" w:styleId="293">
    <w:name w:val="正文3"/>
    <w:qFormat/>
    <w:uiPriority w:val="0"/>
    <w:pPr>
      <w:widowControl w:val="0"/>
      <w:adjustRightInd w:val="0"/>
      <w:spacing w:line="312" w:lineRule="atLeast"/>
      <w:jc w:val="both"/>
      <w:textAlignment w:val="baseline"/>
    </w:pPr>
    <w:rPr>
      <w:rFonts w:ascii="宋体" w:hAnsi="Times New Roman" w:eastAsia="宋体" w:cs="Times New Roman"/>
      <w:sz w:val="34"/>
      <w:szCs w:val="22"/>
      <w:lang w:val="en-US" w:eastAsia="zh-CN" w:bidi="ar-SA"/>
    </w:rPr>
  </w:style>
  <w:style w:type="paragraph" w:styleId="294">
    <w:name w:val="List Paragraph"/>
    <w:basedOn w:val="1"/>
    <w:unhideWhenUsed/>
    <w:qFormat/>
    <w:uiPriority w:val="99"/>
    <w:pPr>
      <w:ind w:firstLine="420" w:firstLineChars="200"/>
    </w:pPr>
  </w:style>
  <w:style w:type="paragraph" w:customStyle="1" w:styleId="295">
    <w:name w:val="(符号)三标题1."/>
    <w:basedOn w:val="1"/>
    <w:qFormat/>
    <w:uiPriority w:val="0"/>
    <w:pPr>
      <w:tabs>
        <w:tab w:val="left" w:pos="420"/>
      </w:tabs>
      <w:spacing w:before="140" w:beforeLines="0" w:after="140" w:afterLines="0" w:line="500" w:lineRule="exact"/>
      <w:ind w:left="430" w:hanging="430"/>
      <w:outlineLvl w:val="2"/>
    </w:pPr>
    <w:rPr>
      <w:rFonts w:ascii="楷体_GB2312" w:hAnsi="宋体" w:eastAsia="楷体_GB2312"/>
      <w:b/>
      <w:bCs/>
      <w:sz w:val="28"/>
    </w:rPr>
  </w:style>
  <w:style w:type="paragraph" w:styleId="296">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297">
    <w:name w:val="font01"/>
    <w:basedOn w:val="44"/>
    <w:qFormat/>
    <w:uiPriority w:val="0"/>
    <w:rPr>
      <w:rFonts w:hint="default" w:ascii="Tahoma" w:hAnsi="Tahoma" w:eastAsia="Tahoma" w:cs="Tahoma"/>
      <w:color w:val="000000"/>
      <w:sz w:val="22"/>
      <w:szCs w:val="22"/>
      <w:u w:val="none"/>
    </w:rPr>
  </w:style>
  <w:style w:type="character" w:customStyle="1" w:styleId="298">
    <w:name w:val="font41"/>
    <w:basedOn w:val="44"/>
    <w:uiPriority w:val="0"/>
    <w:rPr>
      <w:rFonts w:hint="eastAsia" w:ascii="宋体" w:hAnsi="宋体" w:eastAsia="宋体" w:cs="宋体"/>
      <w:color w:val="FF0000"/>
      <w:sz w:val="22"/>
      <w:szCs w:val="22"/>
      <w:u w:val="none"/>
    </w:rPr>
  </w:style>
  <w:style w:type="character" w:customStyle="1" w:styleId="299">
    <w:name w:val="font71"/>
    <w:basedOn w:val="44"/>
    <w:qFormat/>
    <w:uiPriority w:val="0"/>
    <w:rPr>
      <w:rFonts w:hint="eastAsia" w:ascii="宋体" w:hAnsi="宋体" w:eastAsia="宋体" w:cs="宋体"/>
      <w:b/>
      <w:color w:val="000000"/>
      <w:sz w:val="24"/>
      <w:szCs w:val="24"/>
      <w:u w:val="none"/>
    </w:rPr>
  </w:style>
  <w:style w:type="character" w:customStyle="1" w:styleId="300">
    <w:name w:val="font51"/>
    <w:basedOn w:val="44"/>
    <w:qFormat/>
    <w:uiPriority w:val="0"/>
    <w:rPr>
      <w:rFonts w:hint="eastAsia" w:ascii="宋体" w:hAnsi="宋体" w:eastAsia="宋体" w:cs="宋体"/>
      <w:b/>
      <w:color w:val="000000"/>
      <w:sz w:val="24"/>
      <w:szCs w:val="24"/>
      <w:u w:val="none"/>
    </w:rPr>
  </w:style>
  <w:style w:type="character" w:customStyle="1" w:styleId="301">
    <w:name w:val="font61"/>
    <w:basedOn w:val="44"/>
    <w:qFormat/>
    <w:uiPriority w:val="0"/>
    <w:rPr>
      <w:rFonts w:hint="eastAsia" w:ascii="宋体" w:hAnsi="宋体" w:eastAsia="宋体" w:cs="宋体"/>
      <w:b/>
      <w:color w:val="FF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2" Type="http://schemas.openxmlformats.org/officeDocument/2006/relationships/fontTable" Target="fontTable.xml"/><Relationship Id="rId31" Type="http://schemas.openxmlformats.org/officeDocument/2006/relationships/customXml" Target="../customXml/item2.xml"/><Relationship Id="rId30" Type="http://schemas.openxmlformats.org/officeDocument/2006/relationships/numbering" Target="numbering.xml"/><Relationship Id="rId3" Type="http://schemas.openxmlformats.org/officeDocument/2006/relationships/header" Target="header1.xml"/><Relationship Id="rId29" Type="http://schemas.openxmlformats.org/officeDocument/2006/relationships/customXml" Target="../customXml/item1.xml"/><Relationship Id="rId28" Type="http://schemas.openxmlformats.org/officeDocument/2006/relationships/image" Target="media/image20.png"/><Relationship Id="rId27" Type="http://schemas.openxmlformats.org/officeDocument/2006/relationships/image" Target="media/image19.png"/><Relationship Id="rId26" Type="http://schemas.openxmlformats.org/officeDocument/2006/relationships/image" Target="media/image18.png"/><Relationship Id="rId25" Type="http://schemas.openxmlformats.org/officeDocument/2006/relationships/image" Target="media/image17.png"/><Relationship Id="rId24" Type="http://schemas.openxmlformats.org/officeDocument/2006/relationships/image" Target="media/image16.png"/><Relationship Id="rId23" Type="http://schemas.openxmlformats.org/officeDocument/2006/relationships/image" Target="media/image15.png"/><Relationship Id="rId22" Type="http://schemas.openxmlformats.org/officeDocument/2006/relationships/image" Target="media/image14.png"/><Relationship Id="rId21" Type="http://schemas.openxmlformats.org/officeDocument/2006/relationships/image" Target="media/image13.png"/><Relationship Id="rId20" Type="http://schemas.openxmlformats.org/officeDocument/2006/relationships/image" Target="media/image12.png"/><Relationship Id="rId2" Type="http://schemas.openxmlformats.org/officeDocument/2006/relationships/settings" Target="settings.xml"/><Relationship Id="rId19" Type="http://schemas.openxmlformats.org/officeDocument/2006/relationships/image" Target="media/image11.png"/><Relationship Id="rId18" Type="http://schemas.openxmlformats.org/officeDocument/2006/relationships/image" Target="media/image10.png"/><Relationship Id="rId17" Type="http://schemas.openxmlformats.org/officeDocument/2006/relationships/image" Target="media/image9.png"/><Relationship Id="rId16" Type="http://schemas.openxmlformats.org/officeDocument/2006/relationships/image" Target="media/image8.png"/><Relationship Id="rId15" Type="http://schemas.openxmlformats.org/officeDocument/2006/relationships/image" Target="media/image7.png"/><Relationship Id="rId14" Type="http://schemas.openxmlformats.org/officeDocument/2006/relationships/image" Target="media/image6.png"/><Relationship Id="rId13" Type="http://schemas.openxmlformats.org/officeDocument/2006/relationships/image" Target="media/image5.png"/><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A66B746-001E-4ECD-898F-578B9C0752F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67</Pages>
  <Words>30900</Words>
  <Characters>32448</Characters>
  <Lines>212</Lines>
  <Paragraphs>59</Paragraphs>
  <TotalTime>3</TotalTime>
  <ScaleCrop>false</ScaleCrop>
  <LinksUpToDate>false</LinksUpToDate>
  <CharactersWithSpaces>33768</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2017-10-18T03:31:00Z</dcterms:created>
  <dc:creator>User</dc:creator>
  <cp:lastModifiedBy>ASHUNG.</cp:lastModifiedBy>
  <cp:lastPrinted>2018-03-19T06:48:00Z</cp:lastPrinted>
  <dcterms:modified xsi:type="dcterms:W3CDTF">2018-06-25T11:19:06Z</dcterms:modified>
  <dc:title>采购编号：SCWZDL-201305-SSBCFZ04</dc:title>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