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rPr>
          <w:rFonts w:ascii="仿宋" w:hAnsi="仿宋" w:eastAsia="仿宋" w:cs="仿宋"/>
          <w:b/>
          <w:bCs/>
          <w:kern w:val="0"/>
          <w:sz w:val="28"/>
          <w:szCs w:val="28"/>
        </w:rPr>
      </w:pPr>
      <w:r>
        <w:rPr>
          <w:rFonts w:hint="eastAsia" w:ascii="仿宋" w:hAnsi="仿宋" w:eastAsia="仿宋" w:cs="仿宋"/>
          <w:b/>
          <w:bCs/>
          <w:kern w:val="0"/>
          <w:sz w:val="28"/>
          <w:szCs w:val="28"/>
          <w:lang w:val="zh-CN"/>
        </w:rPr>
        <w:t>《新疆拜城县拜城矿区阿尔格敏露天煤矿</w:t>
      </w:r>
      <w:r>
        <w:rPr>
          <w:rFonts w:hint="eastAsia" w:ascii="仿宋" w:hAnsi="仿宋" w:eastAsia="仿宋" w:cs="仿宋"/>
          <w:b/>
          <w:bCs/>
          <w:kern w:val="0"/>
          <w:sz w:val="28"/>
          <w:szCs w:val="28"/>
        </w:rPr>
        <w:t>2020</w:t>
      </w:r>
      <w:r>
        <w:rPr>
          <w:rFonts w:hint="eastAsia" w:ascii="仿宋" w:hAnsi="仿宋" w:eastAsia="仿宋" w:cs="仿宋"/>
          <w:b/>
          <w:bCs/>
          <w:kern w:val="0"/>
          <w:sz w:val="28"/>
          <w:szCs w:val="28"/>
          <w:lang w:val="zh-CN"/>
        </w:rPr>
        <w:t>年储量年度报告》</w:t>
      </w:r>
      <w:r>
        <w:rPr>
          <w:rFonts w:hint="eastAsia" w:ascii="仿宋" w:hAnsi="仿宋" w:eastAsia="仿宋" w:cs="仿宋"/>
          <w:b/>
          <w:bCs/>
          <w:kern w:val="0"/>
          <w:sz w:val="28"/>
          <w:szCs w:val="28"/>
          <w:lang w:val="en-US" w:eastAsia="zh-CN"/>
        </w:rPr>
        <w:t xml:space="preserve">   </w:t>
      </w:r>
      <w:r>
        <w:rPr>
          <w:rFonts w:hint="eastAsia" w:ascii="仿宋" w:hAnsi="仿宋" w:eastAsia="仿宋" w:cs="仿宋"/>
          <w:b/>
          <w:bCs/>
          <w:kern w:val="0"/>
          <w:sz w:val="28"/>
          <w:szCs w:val="28"/>
          <w:lang w:val="zh-CN"/>
        </w:rPr>
        <w:t>核查意见</w:t>
      </w:r>
    </w:p>
    <w:p>
      <w:pPr>
        <w:autoSpaceDE w:val="0"/>
        <w:autoSpaceDN w:val="0"/>
        <w:adjustRightInd w:val="0"/>
        <w:spacing w:line="560" w:lineRule="exact"/>
        <w:ind w:firstLine="641"/>
        <w:rPr>
          <w:rFonts w:ascii="仿宋" w:hAnsi="仿宋" w:eastAsia="仿宋" w:cs="仿宋"/>
          <w:sz w:val="28"/>
          <w:szCs w:val="28"/>
        </w:rPr>
      </w:pPr>
      <w:r>
        <w:rPr>
          <w:rFonts w:hint="eastAsia" w:ascii="仿宋" w:hAnsi="仿宋" w:eastAsia="仿宋" w:cs="仿宋"/>
          <w:sz w:val="28"/>
          <w:szCs w:val="28"/>
          <w:lang w:val="zh-CN"/>
        </w:rPr>
        <w:t>新疆凯领投资有限公司根据《自然资源部办公厅关于规范矿山储量年度报告管理的通知》（自然资办发</w:t>
      </w:r>
      <w:r>
        <w:rPr>
          <w:rFonts w:hint="eastAsia" w:ascii="仿宋" w:hAnsi="仿宋" w:eastAsia="仿宋" w:cs="黑体"/>
          <w:sz w:val="28"/>
          <w:szCs w:val="28"/>
        </w:rPr>
        <w:t>[2020]54</w:t>
      </w:r>
      <w:r>
        <w:rPr>
          <w:rFonts w:hint="eastAsia" w:ascii="仿宋" w:hAnsi="仿宋" w:eastAsia="仿宋" w:cs="黑体"/>
          <w:sz w:val="28"/>
          <w:szCs w:val="28"/>
          <w:lang w:val="zh-CN"/>
        </w:rPr>
        <w:t>号</w:t>
      </w:r>
      <w:r>
        <w:rPr>
          <w:rFonts w:hint="eastAsia" w:ascii="仿宋" w:hAnsi="仿宋" w:eastAsia="仿宋" w:cs="仿宋"/>
          <w:sz w:val="28"/>
          <w:szCs w:val="28"/>
          <w:lang w:val="zh-CN"/>
        </w:rPr>
        <w:t>）要求，委托新疆维吾尔自治区地质矿产勘查开发局第八地质大队对其所属新疆拜城县拜城矿区阿尔格敏露天煤矿占用矿产资源储量情况进行地质监测工作，并于</w:t>
      </w:r>
      <w:r>
        <w:rPr>
          <w:rFonts w:hint="eastAsia" w:ascii="仿宋" w:hAnsi="仿宋" w:eastAsia="仿宋" w:cs="仿宋"/>
          <w:sz w:val="28"/>
          <w:szCs w:val="28"/>
        </w:rPr>
        <w:t xml:space="preserve"> 2021</w:t>
      </w:r>
      <w:r>
        <w:rPr>
          <w:rFonts w:hint="eastAsia" w:ascii="仿宋" w:hAnsi="仿宋" w:eastAsia="仿宋" w:cs="仿宋"/>
          <w:sz w:val="28"/>
          <w:szCs w:val="28"/>
          <w:lang w:val="zh-CN"/>
        </w:rPr>
        <w:t>年</w:t>
      </w:r>
      <w:r>
        <w:rPr>
          <w:rFonts w:hint="eastAsia" w:ascii="仿宋" w:hAnsi="仿宋" w:eastAsia="仿宋" w:cs="仿宋"/>
          <w:sz w:val="28"/>
          <w:szCs w:val="28"/>
        </w:rPr>
        <w:t>1</w:t>
      </w:r>
      <w:r>
        <w:rPr>
          <w:rFonts w:hint="eastAsia" w:ascii="仿宋" w:hAnsi="仿宋" w:eastAsia="仿宋" w:cs="仿宋"/>
          <w:sz w:val="28"/>
          <w:szCs w:val="28"/>
          <w:lang w:val="zh-CN"/>
        </w:rPr>
        <w:t>月提交了《新疆拜城县拜城矿区阿尔格敏露天煤矿</w:t>
      </w:r>
      <w:r>
        <w:rPr>
          <w:rFonts w:hint="eastAsia" w:ascii="仿宋" w:hAnsi="仿宋" w:eastAsia="仿宋" w:cs="仿宋"/>
          <w:sz w:val="28"/>
          <w:szCs w:val="28"/>
        </w:rPr>
        <w:t>2020</w:t>
      </w:r>
      <w:r>
        <w:rPr>
          <w:rFonts w:hint="eastAsia" w:ascii="仿宋" w:hAnsi="仿宋" w:eastAsia="仿宋" w:cs="仿宋"/>
          <w:sz w:val="28"/>
          <w:szCs w:val="28"/>
          <w:lang w:val="zh-CN"/>
        </w:rPr>
        <w:t>年储量年度报告》，阿克苏地区自然资源局委托新疆地质学会组织有关专家对该储量年报进了审查，形成以下审查意见。</w:t>
      </w:r>
    </w:p>
    <w:p>
      <w:pPr>
        <w:autoSpaceDE w:val="0"/>
        <w:autoSpaceDN w:val="0"/>
        <w:adjustRightInd w:val="0"/>
        <w:spacing w:line="560" w:lineRule="exact"/>
        <w:ind w:firstLine="641"/>
        <w:outlineLvl w:val="0"/>
        <w:rPr>
          <w:rFonts w:ascii="仿宋" w:hAnsi="仿宋" w:eastAsia="仿宋" w:cs="仿宋"/>
          <w:kern w:val="0"/>
          <w:sz w:val="28"/>
          <w:szCs w:val="28"/>
        </w:rPr>
      </w:pPr>
      <w:r>
        <w:rPr>
          <w:rFonts w:hint="eastAsia" w:ascii="仿宋" w:hAnsi="仿宋" w:eastAsia="仿宋" w:cs="仿宋"/>
          <w:kern w:val="0"/>
          <w:sz w:val="28"/>
          <w:szCs w:val="28"/>
          <w:lang w:val="zh-CN"/>
        </w:rPr>
        <w:t>一、地理位置及采矿权概况</w:t>
      </w:r>
    </w:p>
    <w:p>
      <w:pPr>
        <w:autoSpaceDE w:val="0"/>
        <w:autoSpaceDN w:val="0"/>
        <w:adjustRightInd w:val="0"/>
        <w:spacing w:line="560" w:lineRule="exact"/>
        <w:ind w:firstLine="641"/>
        <w:rPr>
          <w:rFonts w:ascii="仿宋" w:hAnsi="仿宋" w:eastAsia="仿宋" w:cs="仿宋"/>
          <w:kern w:val="0"/>
          <w:sz w:val="28"/>
          <w:szCs w:val="28"/>
        </w:rPr>
      </w:pPr>
      <w:r>
        <w:rPr>
          <w:rFonts w:hint="eastAsia" w:ascii="仿宋" w:hAnsi="仿宋" w:eastAsia="仿宋" w:cs="仿宋"/>
          <w:sz w:val="28"/>
          <w:szCs w:val="28"/>
        </w:rPr>
        <w:t>矿区位于拜城县北东40°方向，直线距离约70km，中心地理坐标：东经82°30′39，北纬42°14′24″（北京54坐标系)。行政区划隶属新疆拜城县黑英山乡管辖。</w:t>
      </w:r>
    </w:p>
    <w:p>
      <w:pPr>
        <w:autoSpaceDE w:val="0"/>
        <w:autoSpaceDN w:val="0"/>
        <w:adjustRightInd w:val="0"/>
        <w:spacing w:line="560" w:lineRule="exact"/>
        <w:ind w:firstLine="641"/>
        <w:rPr>
          <w:rFonts w:ascii="仿宋" w:hAnsi="仿宋" w:eastAsia="仿宋" w:cs="仿宋"/>
          <w:sz w:val="28"/>
          <w:szCs w:val="28"/>
        </w:rPr>
      </w:pPr>
      <w:r>
        <w:rPr>
          <w:rFonts w:hint="eastAsia" w:ascii="仿宋" w:hAnsi="仿宋" w:eastAsia="仿宋" w:cs="仿宋"/>
          <w:sz w:val="28"/>
          <w:szCs w:val="28"/>
        </w:rPr>
        <w:t>拜城县沿S307省道及X344县道至黑英山乡有柏油路约95km，库车县沿G217国道、S307省道及X344县道至黑英山乡有柏油路约97km，再由黑英山乡通过煤矿修筑的简易砂石公路约16km可达煤矿，外部交通较便利。煤矿内部有简易砂石公路，区内交通条件良好。矿区距最近火车站及机场均在库车县，直距约80km。</w:t>
      </w:r>
    </w:p>
    <w:p>
      <w:pPr>
        <w:autoSpaceDE w:val="0"/>
        <w:autoSpaceDN w:val="0"/>
        <w:adjustRightInd w:val="0"/>
        <w:spacing w:line="560" w:lineRule="exact"/>
        <w:ind w:firstLine="641"/>
        <w:rPr>
          <w:rFonts w:ascii="仿宋" w:hAnsi="仿宋" w:eastAsia="仿宋" w:cs="仿宋"/>
          <w:sz w:val="28"/>
          <w:szCs w:val="28"/>
        </w:rPr>
      </w:pPr>
      <w:r>
        <w:rPr>
          <w:rFonts w:hint="eastAsia" w:ascii="仿宋" w:hAnsi="仿宋" w:eastAsia="仿宋" w:cs="仿宋"/>
          <w:sz w:val="28"/>
          <w:szCs w:val="28"/>
        </w:rPr>
        <w:t>矿区范围由10个拐点圈定（表1-1)，开采深度由1839m～1150m标高，矿区东西长约4km，南北长约3.4km，面积约7.54km</w:t>
      </w:r>
      <w:r>
        <w:rPr>
          <w:rFonts w:hint="eastAsia" w:ascii="仿宋" w:hAnsi="仿宋" w:eastAsia="仿宋" w:cs="仿宋"/>
          <w:sz w:val="28"/>
          <w:szCs w:val="28"/>
          <w:vertAlign w:val="superscript"/>
        </w:rPr>
        <w:t>2</w:t>
      </w:r>
      <w:r>
        <w:rPr>
          <w:rFonts w:hint="eastAsia" w:ascii="仿宋" w:hAnsi="仿宋" w:eastAsia="仿宋" w:cs="仿宋"/>
          <w:sz w:val="28"/>
          <w:szCs w:val="28"/>
        </w:rPr>
        <w:t>。矿区范围内无矿业权纠纷。</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证号：C6500002017111110145788。</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经济类型：有限责任公司；</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开采矿种：煤；</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开采方式：露天开采；</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生产规模：120万吨/年；</w:t>
      </w:r>
    </w:p>
    <w:p>
      <w:pPr>
        <w:autoSpaceDE w:val="0"/>
        <w:autoSpaceDN w:val="0"/>
        <w:adjustRightInd w:val="0"/>
        <w:spacing w:line="480" w:lineRule="exact"/>
        <w:ind w:firstLine="640"/>
        <w:jc w:val="left"/>
        <w:rPr>
          <w:rFonts w:ascii="仿宋" w:hAnsi="仿宋" w:eastAsia="仿宋" w:cs="仿宋"/>
          <w:sz w:val="28"/>
          <w:szCs w:val="28"/>
        </w:rPr>
      </w:pPr>
      <w:r>
        <w:rPr>
          <w:rFonts w:hint="eastAsia" w:ascii="仿宋" w:hAnsi="仿宋" w:eastAsia="仿宋" w:cs="仿宋"/>
          <w:sz w:val="28"/>
          <w:szCs w:val="28"/>
        </w:rPr>
        <w:t>有效期限：2019年10月29日至2021年10月29日</w:t>
      </w:r>
    </w:p>
    <w:p>
      <w:pPr>
        <w:autoSpaceDE w:val="0"/>
        <w:autoSpaceDN w:val="0"/>
        <w:adjustRightInd w:val="0"/>
        <w:spacing w:line="480" w:lineRule="exact"/>
        <w:ind w:firstLine="640"/>
        <w:jc w:val="left"/>
        <w:rPr>
          <w:rFonts w:ascii="仿宋" w:hAnsi="仿宋" w:eastAsia="仿宋" w:cs="仿宋"/>
          <w:kern w:val="0"/>
          <w:sz w:val="28"/>
          <w:szCs w:val="28"/>
        </w:rPr>
      </w:pPr>
      <w:r>
        <w:rPr>
          <w:rFonts w:hint="eastAsia" w:ascii="仿宋" w:hAnsi="仿宋" w:eastAsia="仿宋" w:cs="仿宋"/>
          <w:kern w:val="0"/>
          <w:sz w:val="28"/>
          <w:szCs w:val="28"/>
          <w:lang w:val="zh-CN"/>
        </w:rPr>
        <w:t>本次储量动态监测范围与采矿许可证范围一致。</w:t>
      </w:r>
    </w:p>
    <w:p>
      <w:pPr>
        <w:autoSpaceDE w:val="0"/>
        <w:autoSpaceDN w:val="0"/>
        <w:adjustRightInd w:val="0"/>
        <w:spacing w:line="480" w:lineRule="exact"/>
        <w:ind w:firstLine="640"/>
        <w:jc w:val="left"/>
        <w:outlineLvl w:val="0"/>
        <w:rPr>
          <w:rFonts w:ascii="仿宋" w:hAnsi="仿宋" w:eastAsia="仿宋" w:cs="仿宋"/>
          <w:kern w:val="0"/>
          <w:sz w:val="28"/>
          <w:szCs w:val="28"/>
        </w:rPr>
      </w:pPr>
      <w:r>
        <w:rPr>
          <w:rFonts w:hint="eastAsia" w:ascii="仿宋" w:hAnsi="仿宋" w:eastAsia="仿宋" w:cs="仿宋"/>
          <w:kern w:val="0"/>
          <w:sz w:val="28"/>
          <w:szCs w:val="28"/>
          <w:lang w:val="zh-CN"/>
        </w:rPr>
        <w:t>二、矿山开采现状</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2009年3月开始动工，由于证照手续原因于2010年下半年停工。根据《关于印发自治区未批先建煤矿临时生产方案的通知》新政办发（2017)32号文件精神，于2017年3月中旬开始复工建设生产。</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2017年3月至2018年7月31日，矿山在矿区西南角进行露天开采，对A</w:t>
      </w:r>
      <w:r>
        <w:rPr>
          <w:rFonts w:hint="eastAsia" w:ascii="仿宋" w:hAnsi="仿宋" w:eastAsia="仿宋" w:cs="仿宋"/>
          <w:sz w:val="28"/>
          <w:szCs w:val="28"/>
          <w:vertAlign w:val="subscript"/>
        </w:rPr>
        <w:t>2</w:t>
      </w:r>
      <w:r>
        <w:rPr>
          <w:rFonts w:hint="eastAsia" w:ascii="仿宋" w:hAnsi="仿宋" w:eastAsia="仿宋" w:cs="仿宋"/>
          <w:sz w:val="28"/>
          <w:szCs w:val="28"/>
        </w:rPr>
        <w:t>、A</w:t>
      </w:r>
      <w:r>
        <w:rPr>
          <w:rFonts w:hint="eastAsia" w:ascii="仿宋" w:hAnsi="仿宋" w:eastAsia="仿宋" w:cs="仿宋"/>
          <w:sz w:val="28"/>
          <w:szCs w:val="28"/>
          <w:vertAlign w:val="subscript"/>
        </w:rPr>
        <w:t>3</w:t>
      </w:r>
      <w:r>
        <w:rPr>
          <w:rFonts w:hint="eastAsia" w:ascii="仿宋" w:hAnsi="仿宋" w:eastAsia="仿宋" w:cs="仿宋"/>
          <w:sz w:val="28"/>
          <w:szCs w:val="28"/>
        </w:rPr>
        <w:t>、A</w:t>
      </w:r>
      <w:r>
        <w:rPr>
          <w:rFonts w:hint="eastAsia" w:ascii="仿宋" w:hAnsi="仿宋" w:eastAsia="仿宋" w:cs="仿宋"/>
          <w:sz w:val="28"/>
          <w:szCs w:val="28"/>
          <w:vertAlign w:val="subscript"/>
        </w:rPr>
        <w:t>4</w:t>
      </w:r>
      <w:r>
        <w:rPr>
          <w:rFonts w:hint="eastAsia" w:ascii="仿宋" w:hAnsi="仿宋" w:eastAsia="仿宋" w:cs="仿宋"/>
          <w:sz w:val="28"/>
          <w:szCs w:val="28"/>
        </w:rPr>
        <w:t>煤层进行开采，动用的（333)资源量共计121.10万吨，回采量119万吨，损失量2.10万吨。矿山损失率1.73%，矿山采区回采率98.27%。</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自2018年8月至2019年12月31日，开采地段为A</w:t>
      </w:r>
      <w:r>
        <w:rPr>
          <w:rFonts w:hint="eastAsia" w:ascii="仿宋" w:hAnsi="仿宋" w:eastAsia="仿宋" w:cs="仿宋"/>
          <w:sz w:val="28"/>
          <w:szCs w:val="28"/>
          <w:vertAlign w:val="subscript"/>
        </w:rPr>
        <w:t>2</w:t>
      </w:r>
      <w:r>
        <w:rPr>
          <w:rFonts w:hint="eastAsia" w:ascii="仿宋" w:hAnsi="仿宋" w:eastAsia="仿宋" w:cs="仿宋"/>
          <w:sz w:val="28"/>
          <w:szCs w:val="28"/>
        </w:rPr>
        <w:t>、A</w:t>
      </w:r>
      <w:r>
        <w:rPr>
          <w:rFonts w:hint="eastAsia" w:ascii="仿宋" w:hAnsi="仿宋" w:eastAsia="仿宋" w:cs="仿宋"/>
          <w:sz w:val="28"/>
          <w:szCs w:val="28"/>
          <w:vertAlign w:val="subscript"/>
        </w:rPr>
        <w:t>3</w:t>
      </w:r>
      <w:r>
        <w:rPr>
          <w:rFonts w:hint="eastAsia" w:ascii="仿宋" w:hAnsi="仿宋" w:eastAsia="仿宋" w:cs="仿宋"/>
          <w:sz w:val="28"/>
          <w:szCs w:val="28"/>
        </w:rPr>
        <w:t>、A</w:t>
      </w:r>
      <w:r>
        <w:rPr>
          <w:rFonts w:hint="eastAsia" w:ascii="仿宋" w:hAnsi="仿宋" w:eastAsia="仿宋" w:cs="仿宋"/>
          <w:sz w:val="28"/>
          <w:szCs w:val="28"/>
          <w:vertAlign w:val="subscript"/>
        </w:rPr>
        <w:t>4</w:t>
      </w:r>
      <w:r>
        <w:rPr>
          <w:rFonts w:hint="eastAsia" w:ascii="仿宋" w:hAnsi="仿宋" w:eastAsia="仿宋" w:cs="仿宋"/>
          <w:sz w:val="28"/>
          <w:szCs w:val="28"/>
        </w:rPr>
        <w:t>煤层+1750m水平以上动用的（333)煤炭资源量133.46万吨，采出131.44万吨，损失率1.51%，回采率98.49%。</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2020年1月1日至2020年12月31日，开采地段为A2、A3、A4煤层+1725m水平以上探明、控制和推断煤炭资源量328.66万吨，采出318万吨，损失率3.24%，回采率96.76%。</w:t>
      </w:r>
    </w:p>
    <w:p>
      <w:pPr>
        <w:autoSpaceDE w:val="0"/>
        <w:autoSpaceDN w:val="0"/>
        <w:adjustRightInd w:val="0"/>
        <w:spacing w:line="480" w:lineRule="exact"/>
        <w:ind w:firstLine="641"/>
        <w:outlineLvl w:val="0"/>
        <w:rPr>
          <w:rFonts w:ascii="仿宋" w:hAnsi="仿宋" w:eastAsia="仿宋" w:cs="仿宋"/>
          <w:kern w:val="0"/>
          <w:sz w:val="28"/>
          <w:szCs w:val="28"/>
        </w:rPr>
      </w:pPr>
      <w:r>
        <w:rPr>
          <w:rFonts w:hint="eastAsia" w:ascii="仿宋" w:hAnsi="仿宋" w:eastAsia="仿宋" w:cs="仿宋"/>
          <w:kern w:val="0"/>
          <w:sz w:val="28"/>
          <w:szCs w:val="28"/>
          <w:lang w:val="zh-CN"/>
        </w:rPr>
        <w:t>三、主要成果评述</w:t>
      </w:r>
    </w:p>
    <w:p>
      <w:pPr>
        <w:autoSpaceDE w:val="0"/>
        <w:autoSpaceDN w:val="0"/>
        <w:adjustRightInd w:val="0"/>
        <w:spacing w:line="480" w:lineRule="exact"/>
        <w:ind w:firstLine="641"/>
        <w:rPr>
          <w:rFonts w:ascii="仿宋" w:hAnsi="仿宋" w:eastAsia="仿宋" w:cs="仿宋"/>
          <w:kern w:val="0"/>
          <w:sz w:val="28"/>
          <w:szCs w:val="28"/>
        </w:rPr>
      </w:pPr>
      <w:r>
        <w:rPr>
          <w:rFonts w:hint="eastAsia" w:ascii="仿宋" w:hAnsi="仿宋" w:eastAsia="仿宋" w:cs="仿宋"/>
          <w:sz w:val="28"/>
          <w:szCs w:val="28"/>
        </w:rPr>
        <w:t>本次工作是在2016年9月新疆煤田地质局一五六煤田地质勘探队提交的《新疆拜城县阿尔格敏露天煤矿资源储量核实报告》的基础上进行，收集了矿山开采记录资料；详细圈定了矿界范围内采区；估算了开采量、动用量和损失量，核实和评价了矿产资源储量及其变化；调查了采矿工程分布情况、及老采区分布情况。估算了矿山累计查明资源量、保有资源量、动用资源量、开采量和损失量，并估算了损失率和回采率。</w:t>
      </w:r>
    </w:p>
    <w:p>
      <w:pPr>
        <w:autoSpaceDE w:val="0"/>
        <w:autoSpaceDN w:val="0"/>
        <w:adjustRightInd w:val="0"/>
        <w:spacing w:line="480" w:lineRule="exact"/>
        <w:ind w:firstLine="641"/>
        <w:rPr>
          <w:rFonts w:ascii="仿宋" w:hAnsi="仿宋" w:eastAsia="仿宋" w:cs="仿宋"/>
          <w:kern w:val="0"/>
          <w:sz w:val="28"/>
          <w:szCs w:val="28"/>
        </w:rPr>
      </w:pPr>
      <w:r>
        <w:rPr>
          <w:rFonts w:hint="eastAsia" w:ascii="仿宋" w:hAnsi="仿宋" w:eastAsia="仿宋" w:cs="仿宋"/>
          <w:kern w:val="0"/>
          <w:sz w:val="28"/>
          <w:szCs w:val="28"/>
          <w:lang w:val="zh-CN"/>
        </w:rPr>
        <w:t>本次工作采用的技术标准为：《固体矿产资源储量分类》（</w:t>
      </w:r>
      <w:r>
        <w:rPr>
          <w:rFonts w:hint="eastAsia" w:ascii="仿宋" w:hAnsi="仿宋" w:eastAsia="仿宋" w:cs="仿宋"/>
          <w:kern w:val="0"/>
          <w:sz w:val="28"/>
          <w:szCs w:val="28"/>
        </w:rPr>
        <w:t>GB/T17766-2020</w:t>
      </w:r>
      <w:r>
        <w:rPr>
          <w:rFonts w:hint="eastAsia" w:ascii="仿宋" w:hAnsi="仿宋" w:eastAsia="仿宋" w:cs="仿宋"/>
          <w:kern w:val="0"/>
          <w:sz w:val="28"/>
          <w:szCs w:val="28"/>
          <w:lang w:val="zh-CN"/>
        </w:rPr>
        <w:t>）；《固体矿产地质勘查规范总则》（</w:t>
      </w:r>
      <w:r>
        <w:rPr>
          <w:rFonts w:hint="eastAsia" w:ascii="仿宋" w:hAnsi="仿宋" w:eastAsia="仿宋" w:cs="仿宋"/>
          <w:kern w:val="0"/>
          <w:sz w:val="28"/>
          <w:szCs w:val="28"/>
        </w:rPr>
        <w:t>GB/T13908-2020</w:t>
      </w:r>
      <w:r>
        <w:rPr>
          <w:rFonts w:hint="eastAsia" w:ascii="仿宋" w:hAnsi="仿宋" w:eastAsia="仿宋" w:cs="仿宋"/>
          <w:kern w:val="0"/>
          <w:sz w:val="28"/>
          <w:szCs w:val="28"/>
          <w:lang w:val="zh-CN"/>
        </w:rPr>
        <w:t>）；《矿产地质勘探规范</w:t>
      </w:r>
      <w:r>
        <w:rPr>
          <w:rFonts w:hint="eastAsia" w:ascii="仿宋" w:hAnsi="仿宋" w:eastAsia="仿宋" w:cs="仿宋"/>
          <w:kern w:val="0"/>
          <w:sz w:val="28"/>
          <w:szCs w:val="28"/>
        </w:rPr>
        <w:t xml:space="preserve"> </w:t>
      </w:r>
      <w:r>
        <w:rPr>
          <w:rFonts w:hint="eastAsia" w:ascii="仿宋" w:hAnsi="仿宋" w:eastAsia="仿宋" w:cs="仿宋"/>
          <w:kern w:val="0"/>
          <w:sz w:val="28"/>
          <w:szCs w:val="28"/>
          <w:lang w:val="zh-CN"/>
        </w:rPr>
        <w:t>煤》（</w:t>
      </w:r>
      <w:r>
        <w:rPr>
          <w:rFonts w:hint="eastAsia" w:ascii="仿宋" w:hAnsi="仿宋" w:eastAsia="仿宋" w:cs="仿宋"/>
          <w:kern w:val="0"/>
          <w:sz w:val="28"/>
          <w:szCs w:val="28"/>
        </w:rPr>
        <w:t>DZ/T0215-2020</w:t>
      </w:r>
      <w:r>
        <w:rPr>
          <w:rFonts w:hint="eastAsia" w:ascii="仿宋" w:hAnsi="仿宋" w:eastAsia="仿宋" w:cs="仿宋"/>
          <w:kern w:val="0"/>
          <w:sz w:val="28"/>
          <w:szCs w:val="28"/>
          <w:lang w:val="zh-CN"/>
        </w:rPr>
        <w:t>）；《煤矿测量规程》（</w:t>
      </w:r>
      <w:r>
        <w:rPr>
          <w:rFonts w:hint="eastAsia" w:ascii="仿宋" w:hAnsi="仿宋" w:eastAsia="仿宋" w:cs="仿宋"/>
          <w:kern w:val="0"/>
          <w:sz w:val="28"/>
          <w:szCs w:val="28"/>
        </w:rPr>
        <w:t>2016-2017</w:t>
      </w:r>
      <w:r>
        <w:rPr>
          <w:rFonts w:hint="eastAsia" w:ascii="仿宋" w:hAnsi="仿宋" w:eastAsia="仿宋" w:cs="仿宋"/>
          <w:kern w:val="0"/>
          <w:sz w:val="28"/>
          <w:szCs w:val="28"/>
          <w:lang w:val="zh-CN"/>
        </w:rPr>
        <w:t>年版）；《地质矿产实验室测试质量管理规范》（</w:t>
      </w:r>
      <w:r>
        <w:rPr>
          <w:rFonts w:hint="eastAsia" w:ascii="仿宋" w:hAnsi="仿宋" w:eastAsia="仿宋" w:cs="仿宋"/>
          <w:kern w:val="0"/>
          <w:sz w:val="28"/>
          <w:szCs w:val="28"/>
        </w:rPr>
        <w:t>DZ013013-2015</w:t>
      </w:r>
      <w:r>
        <w:rPr>
          <w:rFonts w:hint="eastAsia" w:ascii="仿宋" w:hAnsi="仿宋" w:eastAsia="仿宋" w:cs="仿宋"/>
          <w:kern w:val="0"/>
          <w:sz w:val="28"/>
          <w:szCs w:val="28"/>
          <w:lang w:val="zh-CN"/>
        </w:rPr>
        <w:t>）；《固体矿产勘查原始地质编录规程》（</w:t>
      </w:r>
      <w:r>
        <w:rPr>
          <w:rFonts w:hint="eastAsia" w:ascii="仿宋" w:hAnsi="仿宋" w:eastAsia="仿宋" w:cs="仿宋"/>
          <w:kern w:val="0"/>
          <w:sz w:val="28"/>
          <w:szCs w:val="28"/>
        </w:rPr>
        <w:t>DZ/T 0078-2015</w:t>
      </w:r>
      <w:r>
        <w:rPr>
          <w:rFonts w:hint="eastAsia" w:ascii="仿宋" w:hAnsi="仿宋" w:eastAsia="仿宋" w:cs="仿宋"/>
          <w:kern w:val="0"/>
          <w:sz w:val="28"/>
          <w:szCs w:val="28"/>
          <w:lang w:val="zh-CN"/>
        </w:rPr>
        <w:t>）；《固体矿产勘查工作规范》（</w:t>
      </w:r>
      <w:r>
        <w:rPr>
          <w:rFonts w:hint="eastAsia" w:ascii="仿宋" w:hAnsi="仿宋" w:eastAsia="仿宋" w:cs="仿宋"/>
          <w:kern w:val="0"/>
          <w:sz w:val="28"/>
          <w:szCs w:val="28"/>
        </w:rPr>
        <w:t>GB/T33444-2016</w:t>
      </w:r>
      <w:r>
        <w:rPr>
          <w:rFonts w:hint="eastAsia" w:ascii="仿宋" w:hAnsi="仿宋" w:eastAsia="仿宋" w:cs="仿宋"/>
          <w:kern w:val="0"/>
          <w:sz w:val="28"/>
          <w:szCs w:val="28"/>
          <w:lang w:val="zh-CN"/>
        </w:rPr>
        <w:t>）；《固体矿产勘查地质资料综合整理、综合研究规定》（</w:t>
      </w:r>
      <w:r>
        <w:rPr>
          <w:rFonts w:hint="eastAsia" w:ascii="仿宋" w:hAnsi="仿宋" w:eastAsia="仿宋" w:cs="仿宋"/>
          <w:kern w:val="0"/>
          <w:sz w:val="28"/>
          <w:szCs w:val="28"/>
        </w:rPr>
        <w:t>DZ/T0079-2015</w:t>
      </w:r>
      <w:r>
        <w:rPr>
          <w:rFonts w:hint="eastAsia" w:ascii="仿宋" w:hAnsi="仿宋" w:eastAsia="仿宋" w:cs="仿宋"/>
          <w:kern w:val="0"/>
          <w:sz w:val="28"/>
          <w:szCs w:val="28"/>
          <w:lang w:val="zh-CN"/>
        </w:rPr>
        <w:t>）；有关固体矿产地质编录、采样、资料整理规程、规定。</w:t>
      </w:r>
    </w:p>
    <w:p>
      <w:pPr>
        <w:autoSpaceDE w:val="0"/>
        <w:autoSpaceDN w:val="0"/>
        <w:adjustRightInd w:val="0"/>
        <w:spacing w:line="480" w:lineRule="exact"/>
        <w:ind w:firstLine="641"/>
        <w:rPr>
          <w:rFonts w:ascii="仿宋" w:hAnsi="仿宋" w:eastAsia="仿宋" w:cs="仿宋"/>
          <w:kern w:val="0"/>
          <w:sz w:val="28"/>
          <w:szCs w:val="28"/>
        </w:rPr>
      </w:pPr>
      <w:r>
        <w:rPr>
          <w:rFonts w:hint="eastAsia" w:ascii="仿宋" w:hAnsi="仿宋" w:eastAsia="仿宋" w:cs="仿宋"/>
          <w:kern w:val="0"/>
          <w:sz w:val="28"/>
          <w:szCs w:val="28"/>
          <w:lang w:val="zh-CN"/>
        </w:rPr>
        <w:t>本次工作提交的文字报告及附图、附表基本符合有关规定和要求。</w:t>
      </w:r>
    </w:p>
    <w:p>
      <w:pPr>
        <w:spacing w:line="480" w:lineRule="exact"/>
        <w:ind w:firstLine="560" w:firstLineChars="200"/>
        <w:jc w:val="left"/>
        <w:textAlignment w:val="baseline"/>
        <w:rPr>
          <w:rFonts w:ascii="Times New Roman" w:hAnsi="Times New Roman" w:eastAsia="仿宋" w:cs="Times New Roman"/>
          <w:sz w:val="28"/>
          <w:szCs w:val="28"/>
        </w:rPr>
      </w:pPr>
      <w:r>
        <w:rPr>
          <w:rFonts w:ascii="Times New Roman" w:hAnsi="Times New Roman" w:eastAsia="仿宋" w:cs="Times New Roman"/>
          <w:sz w:val="28"/>
          <w:szCs w:val="28"/>
        </w:rPr>
        <w:t xml:space="preserve">四、存在的主要问题及处理意见 </w:t>
      </w:r>
    </w:p>
    <w:p>
      <w:pPr>
        <w:autoSpaceDE w:val="0"/>
        <w:autoSpaceDN w:val="0"/>
        <w:adjustRightInd w:val="0"/>
        <w:spacing w:line="480" w:lineRule="exact"/>
        <w:ind w:firstLine="641"/>
        <w:rPr>
          <w:rFonts w:ascii="仿宋" w:hAnsi="仿宋" w:eastAsia="仿宋" w:cs="仿宋"/>
          <w:kern w:val="0"/>
          <w:sz w:val="28"/>
          <w:szCs w:val="28"/>
          <w:lang w:val="zh-CN"/>
        </w:rPr>
      </w:pPr>
      <w:r>
        <w:rPr>
          <w:rFonts w:hint="eastAsia" w:ascii="仿宋" w:hAnsi="仿宋" w:eastAsia="仿宋" w:cs="仿宋"/>
          <w:kern w:val="0"/>
          <w:sz w:val="28"/>
          <w:szCs w:val="28"/>
          <w:lang w:val="zh-CN"/>
        </w:rPr>
        <w:t>1. 本年度监测矿山测量及地质工作较薄弱，年报结论仅用于矿山占用矿产资源储量统计，不能作为矿山转让、矿业权评估等的依据。</w:t>
      </w:r>
    </w:p>
    <w:p>
      <w:pPr>
        <w:autoSpaceDE w:val="0"/>
        <w:autoSpaceDN w:val="0"/>
        <w:adjustRightInd w:val="0"/>
        <w:spacing w:line="480" w:lineRule="exact"/>
        <w:ind w:firstLine="641"/>
        <w:rPr>
          <w:rFonts w:hint="eastAsia" w:ascii="仿宋" w:hAnsi="仿宋" w:eastAsia="仿宋" w:cs="仿宋"/>
          <w:kern w:val="0"/>
          <w:sz w:val="28"/>
          <w:szCs w:val="28"/>
          <w:lang w:val="zh-CN"/>
        </w:rPr>
      </w:pPr>
      <w:r>
        <w:rPr>
          <w:rFonts w:hint="eastAsia" w:ascii="仿宋" w:hAnsi="仿宋" w:eastAsia="仿宋" w:cs="仿宋"/>
          <w:kern w:val="0"/>
          <w:sz w:val="28"/>
          <w:szCs w:val="28"/>
          <w:lang w:val="zh-CN"/>
        </w:rPr>
        <w:t>2. 根据自然资办发〔20</w:t>
      </w:r>
      <w:r>
        <w:rPr>
          <w:rFonts w:ascii="仿宋" w:hAnsi="仿宋" w:eastAsia="仿宋" w:cs="仿宋"/>
          <w:kern w:val="0"/>
          <w:sz w:val="28"/>
          <w:szCs w:val="28"/>
          <w:lang w:val="zh-CN"/>
        </w:rPr>
        <w:t>20</w:t>
      </w:r>
      <w:r>
        <w:rPr>
          <w:rFonts w:hint="eastAsia" w:ascii="仿宋" w:hAnsi="仿宋" w:eastAsia="仿宋" w:cs="仿宋"/>
          <w:kern w:val="0"/>
          <w:sz w:val="28"/>
          <w:szCs w:val="28"/>
          <w:lang w:val="zh-CN"/>
        </w:rPr>
        <w:t>〕</w:t>
      </w:r>
      <w:r>
        <w:rPr>
          <w:rFonts w:ascii="仿宋" w:hAnsi="仿宋" w:eastAsia="仿宋" w:cs="仿宋"/>
          <w:kern w:val="0"/>
          <w:sz w:val="28"/>
          <w:szCs w:val="28"/>
          <w:lang w:val="zh-CN"/>
        </w:rPr>
        <w:t>54</w:t>
      </w:r>
      <w:r>
        <w:rPr>
          <w:rFonts w:hint="eastAsia" w:ascii="仿宋" w:hAnsi="仿宋" w:eastAsia="仿宋" w:cs="仿宋"/>
          <w:kern w:val="0"/>
          <w:sz w:val="28"/>
          <w:szCs w:val="28"/>
          <w:lang w:val="zh-CN"/>
        </w:rPr>
        <w:t>号《自然资源部办公厅关于规范矿山储量年度报告管理的通知》要求，建议矿业权人加强矿山动态储量更新基础工作，开展生产勘探和各种工程地质调查，及时完成取样及原始地质编录，定期进行综合编录；绘制采掘平面图、井上下工程对照图、资源储量估算图。</w:t>
      </w:r>
    </w:p>
    <w:p>
      <w:pPr>
        <w:autoSpaceDE w:val="0"/>
        <w:autoSpaceDN w:val="0"/>
        <w:adjustRightInd w:val="0"/>
        <w:spacing w:line="480" w:lineRule="exact"/>
        <w:ind w:firstLine="641"/>
        <w:rPr>
          <w:rFonts w:ascii="仿宋" w:hAnsi="仿宋" w:eastAsia="仿宋" w:cs="仿宋"/>
          <w:kern w:val="0"/>
          <w:sz w:val="28"/>
          <w:szCs w:val="28"/>
          <w:lang w:val="zh-CN"/>
        </w:rPr>
      </w:pPr>
      <w:r>
        <w:rPr>
          <w:rFonts w:hint="eastAsia" w:ascii="仿宋" w:hAnsi="仿宋" w:eastAsia="仿宋" w:cs="仿宋"/>
          <w:kern w:val="0"/>
          <w:sz w:val="28"/>
          <w:szCs w:val="28"/>
          <w:lang w:val="zh-CN"/>
        </w:rPr>
        <w:t>3. 本年度矿山实际动用328.66万吨，采出量318万吨，超出了许可证载明生产规模（120万吨/年），超规模开采问题提请相关部门注意。</w:t>
      </w:r>
    </w:p>
    <w:p>
      <w:pPr>
        <w:autoSpaceDE w:val="0"/>
        <w:autoSpaceDN w:val="0"/>
        <w:adjustRightInd w:val="0"/>
        <w:spacing w:line="480" w:lineRule="exact"/>
        <w:ind w:firstLine="640"/>
        <w:jc w:val="left"/>
        <w:outlineLvl w:val="0"/>
        <w:rPr>
          <w:rFonts w:ascii="仿宋" w:hAnsi="仿宋" w:eastAsia="仿宋" w:cs="仿宋"/>
          <w:kern w:val="0"/>
          <w:sz w:val="28"/>
          <w:szCs w:val="28"/>
        </w:rPr>
      </w:pPr>
      <w:r>
        <w:rPr>
          <w:rFonts w:hint="eastAsia" w:ascii="仿宋" w:hAnsi="仿宋" w:eastAsia="仿宋" w:cs="仿宋"/>
          <w:kern w:val="0"/>
          <w:sz w:val="28"/>
          <w:szCs w:val="28"/>
          <w:lang w:val="zh-CN"/>
        </w:rPr>
        <w:t>五、结论</w:t>
      </w:r>
    </w:p>
    <w:p>
      <w:pPr>
        <w:autoSpaceDE w:val="0"/>
        <w:autoSpaceDN w:val="0"/>
        <w:adjustRightInd w:val="0"/>
        <w:spacing w:line="480" w:lineRule="exact"/>
        <w:ind w:firstLine="640"/>
        <w:jc w:val="left"/>
        <w:outlineLvl w:val="0"/>
        <w:rPr>
          <w:rFonts w:ascii="仿宋" w:hAnsi="仿宋" w:eastAsia="仿宋" w:cs="仿宋"/>
          <w:kern w:val="0"/>
          <w:sz w:val="28"/>
          <w:szCs w:val="28"/>
        </w:rPr>
      </w:pPr>
      <w:r>
        <w:rPr>
          <w:rFonts w:hint="eastAsia" w:ascii="仿宋" w:hAnsi="仿宋" w:eastAsia="仿宋" w:cs="仿宋"/>
          <w:kern w:val="0"/>
          <w:sz w:val="28"/>
          <w:szCs w:val="28"/>
          <w:lang w:val="zh-CN"/>
        </w:rPr>
        <w:t>（一）累计查明资源储量</w:t>
      </w:r>
    </w:p>
    <w:p>
      <w:pPr>
        <w:autoSpaceDE w:val="0"/>
        <w:autoSpaceDN w:val="0"/>
        <w:adjustRightInd w:val="0"/>
        <w:spacing w:line="480" w:lineRule="exact"/>
        <w:ind w:firstLine="640"/>
        <w:rPr>
          <w:rFonts w:ascii="仿宋" w:hAnsi="仿宋" w:eastAsia="仿宋" w:cs="仿宋"/>
          <w:kern w:val="0"/>
          <w:sz w:val="28"/>
          <w:szCs w:val="28"/>
        </w:rPr>
      </w:pPr>
      <w:r>
        <w:rPr>
          <w:rFonts w:hint="eastAsia" w:ascii="仿宋" w:hAnsi="仿宋" w:eastAsia="仿宋" w:cs="仿宋"/>
          <w:kern w:val="0"/>
          <w:sz w:val="28"/>
          <w:szCs w:val="28"/>
        </w:rPr>
        <w:t>截至2020年12月31日，矿山累计查明探明资源量</w:t>
      </w:r>
      <w:bookmarkStart w:id="0" w:name="OLE_LINK2"/>
      <w:r>
        <w:rPr>
          <w:rFonts w:hint="eastAsia" w:ascii="仿宋" w:hAnsi="仿宋" w:eastAsia="仿宋" w:cs="仿宋"/>
          <w:kern w:val="0"/>
          <w:sz w:val="28"/>
          <w:szCs w:val="28"/>
        </w:rPr>
        <w:t xml:space="preserve"> +控制资源量+</w:t>
      </w:r>
      <w:bookmarkEnd w:id="0"/>
      <w:r>
        <w:rPr>
          <w:rFonts w:hint="eastAsia" w:ascii="仿宋" w:hAnsi="仿宋" w:eastAsia="仿宋" w:cs="仿宋"/>
          <w:kern w:val="0"/>
          <w:sz w:val="28"/>
          <w:szCs w:val="28"/>
        </w:rPr>
        <w:t>推断资源量共计13246万吨(1/3JM6618万吨，QM6628万吨)，其中：</w:t>
      </w:r>
    </w:p>
    <w:p>
      <w:pPr>
        <w:autoSpaceDE w:val="0"/>
        <w:autoSpaceDN w:val="0"/>
        <w:adjustRightInd w:val="0"/>
        <w:spacing w:line="480" w:lineRule="exact"/>
        <w:ind w:firstLine="640"/>
        <w:rPr>
          <w:rFonts w:ascii="仿宋" w:hAnsi="仿宋" w:eastAsia="仿宋" w:cs="仿宋"/>
          <w:kern w:val="0"/>
          <w:sz w:val="28"/>
          <w:szCs w:val="28"/>
        </w:rPr>
      </w:pPr>
      <w:r>
        <w:rPr>
          <w:rFonts w:hint="eastAsia" w:ascii="仿宋" w:hAnsi="仿宋" w:eastAsia="仿宋" w:cs="仿宋"/>
          <w:kern w:val="0"/>
          <w:sz w:val="28"/>
          <w:szCs w:val="28"/>
        </w:rPr>
        <w:t>探明资源量为3752万吨(1/3JM2429万吨，QM1323万吨)；</w:t>
      </w:r>
    </w:p>
    <w:p>
      <w:pPr>
        <w:autoSpaceDE w:val="0"/>
        <w:autoSpaceDN w:val="0"/>
        <w:adjustRightInd w:val="0"/>
        <w:spacing w:line="480" w:lineRule="exact"/>
        <w:ind w:firstLine="640"/>
        <w:rPr>
          <w:rFonts w:ascii="仿宋" w:hAnsi="仿宋" w:eastAsia="仿宋" w:cs="仿宋"/>
          <w:kern w:val="0"/>
          <w:sz w:val="28"/>
          <w:szCs w:val="28"/>
        </w:rPr>
      </w:pPr>
      <w:r>
        <w:rPr>
          <w:rFonts w:hint="eastAsia" w:ascii="仿宋" w:hAnsi="仿宋" w:eastAsia="仿宋" w:cs="仿宋"/>
          <w:kern w:val="0"/>
          <w:sz w:val="28"/>
          <w:szCs w:val="28"/>
        </w:rPr>
        <w:t>控制资源量为3272.56万吨(1/3JM1827.59万吨，QM1444.97万吨)；</w:t>
      </w:r>
    </w:p>
    <w:p>
      <w:pPr>
        <w:autoSpaceDE w:val="0"/>
        <w:autoSpaceDN w:val="0"/>
        <w:adjustRightInd w:val="0"/>
        <w:spacing w:line="480" w:lineRule="exact"/>
        <w:ind w:firstLine="640"/>
        <w:rPr>
          <w:rFonts w:ascii="仿宋" w:hAnsi="仿宋" w:eastAsia="仿宋" w:cs="仿宋"/>
          <w:kern w:val="0"/>
          <w:sz w:val="28"/>
          <w:szCs w:val="28"/>
        </w:rPr>
      </w:pPr>
      <w:r>
        <w:rPr>
          <w:rFonts w:hint="eastAsia" w:ascii="仿宋" w:hAnsi="仿宋" w:eastAsia="仿宋" w:cs="仿宋"/>
          <w:kern w:val="0"/>
          <w:sz w:val="28"/>
          <w:szCs w:val="28"/>
        </w:rPr>
        <w:t>推断资源量6221.44万吨(1/3JM2361.41万吨，QM3860.03万吨)。</w:t>
      </w:r>
    </w:p>
    <w:p>
      <w:pPr>
        <w:autoSpaceDE w:val="0"/>
        <w:autoSpaceDN w:val="0"/>
        <w:adjustRightInd w:val="0"/>
        <w:spacing w:line="480" w:lineRule="exact"/>
        <w:ind w:firstLine="640"/>
        <w:rPr>
          <w:rFonts w:ascii="仿宋" w:hAnsi="仿宋" w:eastAsia="仿宋" w:cs="仿宋"/>
          <w:kern w:val="0"/>
          <w:sz w:val="28"/>
          <w:szCs w:val="28"/>
        </w:rPr>
      </w:pPr>
      <w:r>
        <w:rPr>
          <w:rFonts w:hint="eastAsia" w:ascii="仿宋" w:hAnsi="仿宋" w:eastAsia="仿宋" w:cs="仿宋"/>
          <w:kern w:val="0"/>
          <w:sz w:val="28"/>
          <w:szCs w:val="28"/>
          <w:lang w:val="zh-CN"/>
        </w:rPr>
        <w:t>（二）上年度保有资源量</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1、矿权范围内保有资源量</w:t>
      </w:r>
    </w:p>
    <w:p>
      <w:pPr>
        <w:spacing w:line="480" w:lineRule="exact"/>
        <w:ind w:firstLine="560" w:firstLineChars="200"/>
        <w:jc w:val="distribute"/>
        <w:rPr>
          <w:rFonts w:ascii="仿宋" w:hAnsi="仿宋" w:eastAsia="仿宋" w:cs="仿宋"/>
          <w:bCs/>
          <w:sz w:val="28"/>
          <w:szCs w:val="28"/>
        </w:rPr>
      </w:pPr>
      <w:r>
        <w:rPr>
          <w:rFonts w:hint="eastAsia" w:ascii="仿宋" w:hAnsi="仿宋" w:eastAsia="仿宋" w:cs="仿宋"/>
          <w:sz w:val="28"/>
          <w:szCs w:val="28"/>
        </w:rPr>
        <w:t>根据《新疆凯领投资有限公司拜城矿区阿尔格敏露天煤矿2019年储量年报》以及阿地自然资储核字[2020]28号文件，</w:t>
      </w:r>
      <w:r>
        <w:rPr>
          <w:rFonts w:hint="eastAsia" w:ascii="仿宋" w:hAnsi="仿宋" w:eastAsia="仿宋" w:cs="仿宋"/>
          <w:bCs/>
          <w:sz w:val="28"/>
          <w:szCs w:val="28"/>
        </w:rPr>
        <w:t>截至2019年12月31日，矿山煤炭资源保有资源储量(111b)+331+(122b)+332+333共计12991.44万吨</w:t>
      </w:r>
      <w:r>
        <w:rPr>
          <w:rFonts w:hint="eastAsia" w:ascii="仿宋" w:hAnsi="仿宋" w:eastAsia="仿宋" w:cs="仿宋"/>
          <w:sz w:val="28"/>
          <w:szCs w:val="28"/>
        </w:rPr>
        <w:t>(1/3JM6447.41万吨，QM6544.03万吨)</w:t>
      </w:r>
      <w:r>
        <w:rPr>
          <w:rFonts w:hint="eastAsia" w:ascii="仿宋" w:hAnsi="仿宋" w:eastAsia="仿宋" w:cs="仿宋"/>
          <w:bCs/>
          <w:sz w:val="28"/>
          <w:szCs w:val="28"/>
        </w:rPr>
        <w:t>，其中：</w:t>
      </w:r>
    </w:p>
    <w:p>
      <w:pPr>
        <w:spacing w:line="480" w:lineRule="exact"/>
        <w:ind w:firstLine="560" w:firstLineChars="200"/>
        <w:rPr>
          <w:rFonts w:ascii="仿宋" w:hAnsi="仿宋" w:eastAsia="仿宋" w:cs="仿宋"/>
          <w:bCs/>
          <w:sz w:val="28"/>
          <w:szCs w:val="28"/>
        </w:rPr>
      </w:pPr>
      <w:r>
        <w:rPr>
          <w:rFonts w:hint="eastAsia" w:ascii="仿宋" w:hAnsi="仿宋" w:eastAsia="仿宋" w:cs="仿宋"/>
          <w:bCs/>
          <w:sz w:val="28"/>
          <w:szCs w:val="28"/>
        </w:rPr>
        <w:t>探明的经济基础储量(111b)为3722万吨</w:t>
      </w:r>
      <w:r>
        <w:rPr>
          <w:rFonts w:hint="eastAsia" w:ascii="仿宋" w:hAnsi="仿宋" w:eastAsia="仿宋" w:cs="仿宋"/>
          <w:sz w:val="28"/>
          <w:szCs w:val="28"/>
        </w:rPr>
        <w:t>(1/3JM2429万吨，QM1293万吨)</w:t>
      </w:r>
      <w:r>
        <w:rPr>
          <w:rFonts w:hint="eastAsia" w:ascii="仿宋" w:hAnsi="仿宋" w:eastAsia="仿宋" w:cs="仿宋"/>
          <w:bCs/>
          <w:sz w:val="28"/>
          <w:szCs w:val="28"/>
        </w:rPr>
        <w:t>；</w:t>
      </w:r>
    </w:p>
    <w:p>
      <w:pPr>
        <w:spacing w:line="480" w:lineRule="exact"/>
        <w:ind w:firstLine="560" w:firstLineChars="200"/>
        <w:rPr>
          <w:rFonts w:ascii="仿宋" w:hAnsi="仿宋" w:eastAsia="仿宋" w:cs="仿宋"/>
          <w:bCs/>
          <w:sz w:val="28"/>
          <w:szCs w:val="28"/>
        </w:rPr>
      </w:pPr>
      <w:r>
        <w:rPr>
          <w:rFonts w:hint="eastAsia" w:ascii="仿宋" w:hAnsi="仿宋" w:eastAsia="仿宋" w:cs="仿宋"/>
          <w:bCs/>
          <w:sz w:val="28"/>
          <w:szCs w:val="28"/>
        </w:rPr>
        <w:t>探明的内蕴经济资源量(331)为30万吨</w:t>
      </w:r>
      <w:r>
        <w:rPr>
          <w:rFonts w:hint="eastAsia" w:ascii="仿宋" w:hAnsi="仿宋" w:eastAsia="仿宋" w:cs="仿宋"/>
          <w:sz w:val="28"/>
          <w:szCs w:val="28"/>
        </w:rPr>
        <w:t>(QM30万吨)</w:t>
      </w:r>
      <w:r>
        <w:rPr>
          <w:rFonts w:hint="eastAsia" w:ascii="仿宋" w:hAnsi="仿宋" w:eastAsia="仿宋" w:cs="仿宋"/>
          <w:bCs/>
          <w:sz w:val="28"/>
          <w:szCs w:val="28"/>
        </w:rPr>
        <w:t>；</w:t>
      </w:r>
    </w:p>
    <w:p>
      <w:pPr>
        <w:spacing w:line="480" w:lineRule="exact"/>
        <w:ind w:firstLine="560" w:firstLineChars="200"/>
        <w:rPr>
          <w:rFonts w:ascii="仿宋" w:hAnsi="仿宋" w:eastAsia="仿宋" w:cs="仿宋"/>
          <w:bCs/>
          <w:sz w:val="28"/>
          <w:szCs w:val="28"/>
        </w:rPr>
      </w:pPr>
      <w:r>
        <w:rPr>
          <w:rFonts w:hint="eastAsia" w:ascii="仿宋" w:hAnsi="仿宋" w:eastAsia="仿宋" w:cs="仿宋"/>
          <w:bCs/>
          <w:sz w:val="28"/>
          <w:szCs w:val="28"/>
        </w:rPr>
        <w:t>控制的经济基础储量(122b)为2777万吨</w:t>
      </w:r>
      <w:r>
        <w:rPr>
          <w:rFonts w:hint="eastAsia" w:ascii="仿宋" w:hAnsi="仿宋" w:eastAsia="仿宋" w:cs="仿宋"/>
          <w:sz w:val="28"/>
          <w:szCs w:val="28"/>
        </w:rPr>
        <w:t>(1/3JM1587万吨，QM1190万吨)</w:t>
      </w:r>
      <w:r>
        <w:rPr>
          <w:rFonts w:hint="eastAsia" w:ascii="仿宋" w:hAnsi="仿宋" w:eastAsia="仿宋" w:cs="仿宋"/>
          <w:bCs/>
          <w:sz w:val="28"/>
          <w:szCs w:val="28"/>
        </w:rPr>
        <w:t>；</w:t>
      </w:r>
    </w:p>
    <w:p>
      <w:pPr>
        <w:spacing w:line="480" w:lineRule="exact"/>
        <w:ind w:firstLine="560" w:firstLineChars="200"/>
        <w:rPr>
          <w:rFonts w:ascii="仿宋" w:hAnsi="仿宋" w:eastAsia="仿宋" w:cs="仿宋"/>
          <w:bCs/>
          <w:sz w:val="28"/>
          <w:szCs w:val="28"/>
        </w:rPr>
      </w:pPr>
      <w:r>
        <w:rPr>
          <w:rFonts w:hint="eastAsia" w:ascii="仿宋" w:hAnsi="仿宋" w:eastAsia="仿宋" w:cs="仿宋"/>
          <w:bCs/>
          <w:sz w:val="28"/>
          <w:szCs w:val="28"/>
        </w:rPr>
        <w:t>控制的内蕴经济资源量(332)为241万吨</w:t>
      </w:r>
      <w:r>
        <w:rPr>
          <w:rFonts w:hint="eastAsia" w:ascii="仿宋" w:hAnsi="仿宋" w:eastAsia="仿宋" w:cs="仿宋"/>
          <w:sz w:val="28"/>
          <w:szCs w:val="28"/>
        </w:rPr>
        <w:t>(1/3JM70万吨，QM171万吨)</w:t>
      </w:r>
      <w:r>
        <w:rPr>
          <w:rFonts w:hint="eastAsia" w:ascii="仿宋" w:hAnsi="仿宋" w:eastAsia="仿宋" w:cs="仿宋"/>
          <w:bCs/>
          <w:sz w:val="28"/>
          <w:szCs w:val="28"/>
        </w:rPr>
        <w:t>；</w:t>
      </w:r>
    </w:p>
    <w:p>
      <w:pPr>
        <w:spacing w:line="480" w:lineRule="exact"/>
        <w:ind w:firstLine="560" w:firstLineChars="200"/>
        <w:rPr>
          <w:rFonts w:ascii="仿宋" w:hAnsi="仿宋" w:eastAsia="仿宋" w:cs="仿宋"/>
          <w:bCs/>
          <w:sz w:val="28"/>
          <w:szCs w:val="28"/>
        </w:rPr>
      </w:pPr>
      <w:r>
        <w:rPr>
          <w:rFonts w:hint="eastAsia" w:ascii="仿宋" w:hAnsi="仿宋" w:eastAsia="仿宋" w:cs="仿宋"/>
          <w:bCs/>
          <w:sz w:val="28"/>
          <w:szCs w:val="28"/>
        </w:rPr>
        <w:t>推断的内蕴经济资源量(333)6221.44万吨(1/3JM2361.41万吨，QM3860.03万吨)。</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2、首采区范围内保有资源量：</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在首采区范围内，获得保有资源量为(111b)+(122b)+ 333共计2408.07万吨(1/3JM1543.9万吨，QM864.17万吨)。</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其中：探明的经济基础储量(111b)为2129万吨(1/3JM1332万吨，QM797万吨)；控制的经济基础储量(122b)为23万吨(1/3JM23万吨)；推断的内蕴经济资源量(333)256.07万吨(1/3JM188.9万吨，QM67.17万吨)。</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3、露天开采境界范围内保有资源量：</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在露天开采境界范围内，获得保有资源量为(111b)+(122b)+333共计3880.44万吨。其中：</w:t>
      </w:r>
    </w:p>
    <w:p>
      <w:pPr>
        <w:autoSpaceDE w:val="0"/>
        <w:autoSpaceDN w:val="0"/>
        <w:adjustRightInd w:val="0"/>
        <w:spacing w:line="480" w:lineRule="exact"/>
        <w:ind w:firstLine="640"/>
        <w:rPr>
          <w:rFonts w:ascii="仿宋" w:hAnsi="仿宋" w:eastAsia="仿宋" w:cs="仿宋"/>
          <w:sz w:val="28"/>
          <w:szCs w:val="28"/>
        </w:rPr>
      </w:pPr>
      <w:r>
        <w:rPr>
          <w:rFonts w:hint="eastAsia" w:ascii="仿宋" w:hAnsi="仿宋" w:eastAsia="仿宋" w:cs="仿宋"/>
          <w:sz w:val="28"/>
          <w:szCs w:val="28"/>
        </w:rPr>
        <w:t>探明的经济基础储量(111b)为3034万吨；控制的经济基础储量(122b)为537万吨；推断的内蕴经济资源量(333)309.44万吨。</w:t>
      </w:r>
    </w:p>
    <w:p>
      <w:pPr>
        <w:autoSpaceDE w:val="0"/>
        <w:autoSpaceDN w:val="0"/>
        <w:adjustRightInd w:val="0"/>
        <w:spacing w:line="480" w:lineRule="exact"/>
        <w:ind w:firstLine="640"/>
        <w:outlineLvl w:val="0"/>
        <w:rPr>
          <w:rFonts w:ascii="仿宋" w:hAnsi="仿宋" w:eastAsia="仿宋" w:cs="仿宋"/>
          <w:kern w:val="0"/>
          <w:sz w:val="28"/>
          <w:szCs w:val="28"/>
        </w:rPr>
      </w:pPr>
      <w:r>
        <w:rPr>
          <w:rFonts w:hint="eastAsia" w:ascii="仿宋" w:hAnsi="仿宋" w:eastAsia="仿宋" w:cs="仿宋"/>
          <w:kern w:val="0"/>
          <w:sz w:val="28"/>
          <w:szCs w:val="28"/>
          <w:lang w:val="zh-CN"/>
        </w:rPr>
        <w:t>（三）勘查增减、重算增减资源储量</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重算增减资源量：本年度各煤层资源储量估算的工业指标、资源量估算方法与最近核实报告一致,故无重算增减资源储量变化。</w:t>
      </w:r>
    </w:p>
    <w:p>
      <w:pPr>
        <w:autoSpaceDE w:val="0"/>
        <w:autoSpaceDN w:val="0"/>
        <w:adjustRightInd w:val="0"/>
        <w:spacing w:line="480" w:lineRule="exact"/>
        <w:ind w:firstLine="640"/>
        <w:rPr>
          <w:rFonts w:ascii="仿宋" w:hAnsi="仿宋" w:eastAsia="仿宋" w:cs="仿宋"/>
          <w:kern w:val="0"/>
          <w:sz w:val="28"/>
          <w:szCs w:val="28"/>
        </w:rPr>
      </w:pPr>
      <w:r>
        <w:rPr>
          <w:rFonts w:hint="eastAsia" w:ascii="仿宋" w:hAnsi="仿宋" w:eastAsia="仿宋" w:cs="仿宋"/>
          <w:sz w:val="28"/>
          <w:szCs w:val="28"/>
        </w:rPr>
        <w:t>勘查增减资源量： 2020年度由于采掘工程控制，所以将采出的181.85万吨探明资源量提升为证实储量，则证实储量增加181.85万吨；将21.02万吨控制资源量及115.13万吨推断资源量提升为可信储量，则可信储量增加136.15万吨。</w:t>
      </w:r>
    </w:p>
    <w:p>
      <w:pPr>
        <w:autoSpaceDE w:val="0"/>
        <w:autoSpaceDN w:val="0"/>
        <w:adjustRightInd w:val="0"/>
        <w:spacing w:line="480" w:lineRule="exact"/>
        <w:ind w:firstLine="640"/>
        <w:jc w:val="left"/>
        <w:outlineLvl w:val="0"/>
        <w:rPr>
          <w:rFonts w:ascii="仿宋" w:hAnsi="仿宋" w:eastAsia="仿宋" w:cs="仿宋"/>
          <w:kern w:val="0"/>
          <w:sz w:val="28"/>
          <w:szCs w:val="28"/>
        </w:rPr>
      </w:pPr>
      <w:r>
        <w:rPr>
          <w:rFonts w:hint="eastAsia" w:ascii="仿宋" w:hAnsi="仿宋" w:eastAsia="仿宋" w:cs="仿宋"/>
          <w:kern w:val="0"/>
          <w:sz w:val="28"/>
          <w:szCs w:val="28"/>
          <w:lang w:val="zh-CN"/>
        </w:rPr>
        <w:t>（四）动用资源储量</w:t>
      </w:r>
    </w:p>
    <w:p>
      <w:pPr>
        <w:autoSpaceDE w:val="0"/>
        <w:autoSpaceDN w:val="0"/>
        <w:adjustRightInd w:val="0"/>
        <w:spacing w:line="480" w:lineRule="exact"/>
        <w:ind w:firstLine="641"/>
        <w:rPr>
          <w:rFonts w:ascii="仿宋" w:hAnsi="仿宋" w:eastAsia="仿宋" w:cs="仿宋"/>
          <w:color w:val="0000FF"/>
          <w:kern w:val="0"/>
          <w:sz w:val="28"/>
          <w:szCs w:val="28"/>
        </w:rPr>
      </w:pPr>
      <w:r>
        <w:rPr>
          <w:rFonts w:hint="eastAsia" w:ascii="仿宋" w:hAnsi="仿宋" w:eastAsia="仿宋" w:cs="仿宋"/>
          <w:sz w:val="28"/>
          <w:szCs w:val="28"/>
        </w:rPr>
        <w:t>自2020年1月1日至2020年12月31日，动用的探明资源量+ 控制资源量+推断资源量资源量共计328.66万吨。该矿山实际采出量318万吨，损失量10.66万吨，矿山损失率3.24%，矿山采区回采率96.76%。</w:t>
      </w:r>
    </w:p>
    <w:p>
      <w:pPr>
        <w:autoSpaceDE w:val="0"/>
        <w:autoSpaceDN w:val="0"/>
        <w:adjustRightInd w:val="0"/>
        <w:spacing w:line="480" w:lineRule="exact"/>
        <w:ind w:firstLine="640"/>
        <w:jc w:val="left"/>
        <w:outlineLvl w:val="0"/>
        <w:rPr>
          <w:rFonts w:ascii="仿宋" w:hAnsi="仿宋" w:eastAsia="仿宋" w:cs="仿宋"/>
          <w:kern w:val="0"/>
          <w:sz w:val="28"/>
          <w:szCs w:val="28"/>
        </w:rPr>
      </w:pPr>
      <w:r>
        <w:rPr>
          <w:rFonts w:hint="eastAsia" w:ascii="仿宋" w:hAnsi="仿宋" w:eastAsia="仿宋" w:cs="仿宋"/>
          <w:kern w:val="0"/>
          <w:sz w:val="28"/>
          <w:szCs w:val="28"/>
          <w:lang w:val="zh-CN"/>
        </w:rPr>
        <w:t>（五）保有资源储量</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1、矿权范围内保有资源量</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截至2020年12月31日，矿山保有探明资源量+控制资源量+推断资源量共计12662.78万吨(1/3JM6204.52万吨，QM6458.26万吨)，其中：</w:t>
      </w:r>
    </w:p>
    <w:p>
      <w:pPr>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探明资源量为3564.06万吨(1/3JM2304.24万吨，QM1259.82万吨)；</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控制资源量为2996.27万吨(1/3JM1635.27万吨，QM1361万吨)；</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推断资源量6102.45万吨(1/3JM2265.01万吨，QM3837.44万吨)。</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2、露天开采境界范围内保有资源量：</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在露天开采境界范围内，获得保有资源量为探明资源量+控制资源量+ 推断共计3551.78万吨，其中：</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探明资源量为2846.06万吨；控制资源量为515.27万吨；推断资源量190.45万吨。 </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3、首采区范围内保有资源量：</w:t>
      </w:r>
    </w:p>
    <w:p>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在首采区范围内，获得保有资源量为探明资源量+控制资源量+推断资源量共计2095.32万吨(1/3JM1328.49万吨，QM766.83万吨)。</w:t>
      </w:r>
    </w:p>
    <w:p>
      <w:pPr>
        <w:autoSpaceDE w:val="0"/>
        <w:autoSpaceDN w:val="0"/>
        <w:adjustRightInd w:val="0"/>
        <w:spacing w:line="480" w:lineRule="exact"/>
        <w:ind w:firstLine="641"/>
        <w:rPr>
          <w:rFonts w:ascii="仿宋" w:hAnsi="仿宋" w:eastAsia="仿宋" w:cs="仿宋"/>
          <w:kern w:val="0"/>
          <w:sz w:val="28"/>
          <w:szCs w:val="28"/>
        </w:rPr>
      </w:pPr>
      <w:r>
        <w:rPr>
          <w:rFonts w:hint="eastAsia" w:ascii="仿宋" w:hAnsi="仿宋" w:eastAsia="仿宋" w:cs="仿宋"/>
          <w:sz w:val="28"/>
          <w:szCs w:val="28"/>
        </w:rPr>
        <w:t>其中：探明资源量为1941.06万吨(1/3JM1207.24万吨，QM733.82万吨)；控制资源量为9.95万吨(1/3JM9.95万吨)；推断资源量144.31万吨(1/3JM111.3万吨，QM33.01万吨)。</w:t>
      </w:r>
    </w:p>
    <w:p>
      <w:pPr>
        <w:autoSpaceDE w:val="0"/>
        <w:autoSpaceDN w:val="0"/>
        <w:adjustRightInd w:val="0"/>
        <w:spacing w:line="480" w:lineRule="exact"/>
        <w:ind w:firstLine="640"/>
        <w:jc w:val="left"/>
        <w:outlineLvl w:val="0"/>
        <w:rPr>
          <w:rFonts w:ascii="仿宋" w:hAnsi="仿宋" w:eastAsia="仿宋" w:cs="仿宋"/>
          <w:kern w:val="0"/>
          <w:sz w:val="28"/>
          <w:szCs w:val="28"/>
        </w:rPr>
      </w:pPr>
      <w:r>
        <w:rPr>
          <w:rFonts w:hint="eastAsia" w:ascii="仿宋" w:hAnsi="仿宋" w:eastAsia="仿宋" w:cs="仿宋"/>
          <w:kern w:val="0"/>
          <w:sz w:val="28"/>
          <w:szCs w:val="28"/>
          <w:lang w:val="zh-CN"/>
        </w:rPr>
        <w:t>（六）</w:t>
      </w:r>
      <w:r>
        <w:rPr>
          <w:rFonts w:hint="eastAsia" w:ascii="仿宋" w:hAnsi="仿宋" w:eastAsia="仿宋" w:cs="仿宋"/>
          <w:kern w:val="0"/>
          <w:sz w:val="28"/>
          <w:szCs w:val="28"/>
        </w:rPr>
        <w:t>2021</w:t>
      </w:r>
      <w:r>
        <w:rPr>
          <w:rFonts w:hint="eastAsia" w:ascii="仿宋" w:hAnsi="仿宋" w:eastAsia="仿宋" w:cs="仿宋"/>
          <w:kern w:val="0"/>
          <w:sz w:val="28"/>
          <w:szCs w:val="28"/>
          <w:lang w:val="zh-CN"/>
        </w:rPr>
        <w:t>年拟动用量</w:t>
      </w:r>
    </w:p>
    <w:p>
      <w:pPr>
        <w:spacing w:line="480" w:lineRule="exact"/>
        <w:ind w:firstLine="560" w:firstLineChars="200"/>
        <w:textAlignment w:val="baseline"/>
        <w:rPr>
          <w:rFonts w:ascii="仿宋" w:hAnsi="仿宋" w:eastAsia="仿宋" w:cs="仿宋"/>
          <w:sz w:val="28"/>
          <w:szCs w:val="28"/>
        </w:rPr>
      </w:pPr>
      <w:r>
        <w:rPr>
          <w:rFonts w:hint="eastAsia" w:ascii="仿宋" w:hAnsi="仿宋" w:eastAsia="仿宋" w:cs="仿宋"/>
          <w:sz w:val="28"/>
          <w:szCs w:val="28"/>
        </w:rPr>
        <w:t>矿山下年度计划对开采地段中A</w:t>
      </w:r>
      <w:r>
        <w:rPr>
          <w:rFonts w:hint="eastAsia" w:ascii="仿宋" w:hAnsi="仿宋" w:eastAsia="仿宋" w:cs="仿宋"/>
          <w:sz w:val="28"/>
          <w:szCs w:val="28"/>
          <w:vertAlign w:val="subscript"/>
        </w:rPr>
        <w:t>2</w:t>
      </w:r>
      <w:r>
        <w:rPr>
          <w:rFonts w:hint="eastAsia" w:ascii="仿宋" w:hAnsi="仿宋" w:eastAsia="仿宋" w:cs="仿宋"/>
          <w:sz w:val="28"/>
          <w:szCs w:val="28"/>
        </w:rPr>
        <w:t>、A</w:t>
      </w:r>
      <w:r>
        <w:rPr>
          <w:rFonts w:hint="eastAsia" w:ascii="仿宋" w:hAnsi="仿宋" w:eastAsia="仿宋" w:cs="仿宋"/>
          <w:sz w:val="28"/>
          <w:szCs w:val="28"/>
          <w:vertAlign w:val="subscript"/>
        </w:rPr>
        <w:t>3</w:t>
      </w:r>
      <w:r>
        <w:rPr>
          <w:rFonts w:hint="eastAsia" w:ascii="仿宋" w:hAnsi="仿宋" w:eastAsia="仿宋" w:cs="仿宋"/>
          <w:sz w:val="28"/>
          <w:szCs w:val="28"/>
        </w:rPr>
        <w:t>、A</w:t>
      </w:r>
      <w:r>
        <w:rPr>
          <w:rFonts w:hint="eastAsia" w:ascii="仿宋" w:hAnsi="仿宋" w:eastAsia="仿宋" w:cs="仿宋"/>
          <w:sz w:val="28"/>
          <w:szCs w:val="28"/>
          <w:vertAlign w:val="subscript"/>
        </w:rPr>
        <w:t>4</w:t>
      </w:r>
      <w:r>
        <w:rPr>
          <w:rFonts w:hint="eastAsia" w:ascii="仿宋" w:hAnsi="仿宋" w:eastAsia="仿宋" w:cs="仿宋"/>
          <w:sz w:val="28"/>
          <w:szCs w:val="28"/>
        </w:rPr>
        <w:t>煤层+1720水平以上开采，拟动用煤量为120万吨。</w:t>
      </w:r>
    </w:p>
    <w:p>
      <w:pPr>
        <w:jc w:val="left"/>
        <w:textAlignment w:val="baseline"/>
        <w:rPr>
          <w:rFonts w:ascii="Times New Roman" w:hAnsi="Times New Roman" w:eastAsia="仿宋" w:cs="Times New Roman"/>
          <w:sz w:val="28"/>
          <w:szCs w:val="28"/>
        </w:rPr>
      </w:pPr>
    </w:p>
    <w:p>
      <w:pPr>
        <w:jc w:val="left"/>
        <w:textAlignment w:val="baseline"/>
        <w:rPr>
          <w:rFonts w:ascii="Times New Roman" w:hAnsi="Times New Roman" w:eastAsia="仿宋" w:cs="Times New Roman"/>
          <w:sz w:val="28"/>
          <w:szCs w:val="28"/>
        </w:rPr>
      </w:pPr>
    </w:p>
    <w:p>
      <w:pPr>
        <w:pStyle w:val="2"/>
        <w:rPr>
          <w:rFonts w:ascii="Times New Roman" w:hAnsi="Times New Roman" w:eastAsia="仿宋" w:cs="Times New Roman"/>
          <w:sz w:val="28"/>
          <w:szCs w:val="28"/>
        </w:rPr>
      </w:pPr>
    </w:p>
    <w:p>
      <w:pPr>
        <w:pStyle w:val="2"/>
        <w:rPr>
          <w:rFonts w:ascii="Times New Roman" w:hAnsi="Times New Roman" w:eastAsia="仿宋" w:cs="Times New Roman"/>
          <w:sz w:val="28"/>
          <w:szCs w:val="28"/>
        </w:rPr>
      </w:pPr>
    </w:p>
    <w:p>
      <w:pPr>
        <w:jc w:val="left"/>
        <w:textAlignment w:val="baseline"/>
        <w:rPr>
          <w:rFonts w:ascii="Times New Roman" w:hAnsi="Times New Roman" w:eastAsia="仿宋" w:cs="Times New Roman"/>
          <w:sz w:val="28"/>
          <w:szCs w:val="28"/>
        </w:rPr>
      </w:pPr>
      <w:r>
        <w:rPr>
          <w:rFonts w:ascii="Times New Roman" w:hAnsi="Times New Roman" w:eastAsia="仿宋" w:cs="Times New Roman"/>
          <w:sz w:val="28"/>
          <w:szCs w:val="28"/>
        </w:rPr>
        <w:t>附参加评审会议人员名单</w:t>
      </w:r>
    </w:p>
    <w:p>
      <w:pPr>
        <w:jc w:val="center"/>
        <w:textAlignment w:val="baseline"/>
        <w:rPr>
          <w:rFonts w:ascii="仿宋" w:hAnsi="仿宋" w:eastAsia="仿宋" w:cs="Times New Roman"/>
          <w:b/>
          <w:bCs/>
          <w:spacing w:val="-20"/>
          <w:sz w:val="28"/>
          <w:szCs w:val="28"/>
        </w:rPr>
      </w:pPr>
      <w:r>
        <w:rPr>
          <w:rFonts w:ascii="仿宋" w:hAnsi="仿宋" w:eastAsia="仿宋" w:cs="Times New Roman"/>
          <w:b/>
          <w:bCs/>
          <w:spacing w:val="-20"/>
          <w:sz w:val="28"/>
          <w:szCs w:val="28"/>
        </w:rPr>
        <w:t>《新疆拜城县</w:t>
      </w:r>
      <w:r>
        <w:rPr>
          <w:rFonts w:hint="eastAsia" w:ascii="仿宋" w:hAnsi="仿宋" w:eastAsia="仿宋" w:cs="Times New Roman"/>
          <w:b/>
          <w:bCs/>
          <w:spacing w:val="-20"/>
          <w:sz w:val="28"/>
          <w:szCs w:val="28"/>
        </w:rPr>
        <w:t>拜城矿区阿尔格敏露天</w:t>
      </w:r>
      <w:r>
        <w:rPr>
          <w:rFonts w:ascii="仿宋" w:hAnsi="仿宋" w:eastAsia="仿宋" w:cs="Times New Roman"/>
          <w:b/>
          <w:bCs/>
          <w:spacing w:val="-20"/>
          <w:sz w:val="28"/>
          <w:szCs w:val="28"/>
        </w:rPr>
        <w:t>煤矿2020年储量年度报告》</w:t>
      </w:r>
    </w:p>
    <w:p>
      <w:pPr>
        <w:jc w:val="center"/>
        <w:textAlignment w:val="baseline"/>
        <w:rPr>
          <w:rFonts w:ascii="仿宋" w:hAnsi="仿宋" w:eastAsia="仿宋" w:cs="Times New Roman"/>
          <w:b/>
          <w:bCs/>
          <w:sz w:val="28"/>
          <w:szCs w:val="28"/>
        </w:rPr>
      </w:pPr>
      <w:bookmarkStart w:id="1" w:name="_GoBack"/>
      <w:bookmarkEnd w:id="1"/>
      <w:r>
        <w:rPr>
          <w:rFonts w:ascii="仿宋" w:hAnsi="仿宋" w:eastAsia="仿宋" w:cs="Times New Roman"/>
          <w:b/>
          <w:bCs/>
          <w:sz w:val="28"/>
          <w:szCs w:val="28"/>
        </w:rPr>
        <w:t>评审专家组名单</w:t>
      </w:r>
    </w:p>
    <w:p>
      <w:pPr>
        <w:spacing w:line="520" w:lineRule="exact"/>
        <w:jc w:val="center"/>
        <w:textAlignment w:val="baseline"/>
        <w:rPr>
          <w:rFonts w:ascii="仿宋" w:hAnsi="仿宋" w:eastAsia="仿宋" w:cs="Times New Roman"/>
          <w:b/>
          <w:spacing w:val="-20"/>
          <w:sz w:val="28"/>
          <w:szCs w:val="28"/>
        </w:rPr>
      </w:pPr>
    </w:p>
    <w:tbl>
      <w:tblPr>
        <w:tblStyle w:val="5"/>
        <w:tblW w:w="5220" w:type="pct"/>
        <w:jc w:val="center"/>
        <w:tblLayout w:type="autofit"/>
        <w:tblCellMar>
          <w:top w:w="0" w:type="dxa"/>
          <w:left w:w="108" w:type="dxa"/>
          <w:bottom w:w="0" w:type="dxa"/>
          <w:right w:w="108" w:type="dxa"/>
        </w:tblCellMar>
      </w:tblPr>
      <w:tblGrid>
        <w:gridCol w:w="2222"/>
        <w:gridCol w:w="3895"/>
        <w:gridCol w:w="2780"/>
      </w:tblGrid>
      <w:tr>
        <w:tblPrEx>
          <w:tblCellMar>
            <w:top w:w="0" w:type="dxa"/>
            <w:left w:w="108" w:type="dxa"/>
            <w:bottom w:w="0" w:type="dxa"/>
            <w:right w:w="108" w:type="dxa"/>
          </w:tblCellMar>
        </w:tblPrEx>
        <w:trPr>
          <w:trHeight w:val="398" w:hRule="atLeast"/>
          <w:jc w:val="center"/>
        </w:trPr>
        <w:tc>
          <w:tcPr>
            <w:tcW w:w="1249" w:type="pct"/>
            <w:tcBorders>
              <w:top w:val="single" w:color="auto" w:sz="6" w:space="0"/>
              <w:left w:val="single" w:color="auto" w:sz="6" w:space="0"/>
              <w:bottom w:val="single" w:color="auto" w:sz="6" w:space="0"/>
              <w:right w:val="single" w:color="auto" w:sz="6" w:space="0"/>
              <w:tl2br w:val="nil"/>
              <w:tr2bl w:val="nil"/>
            </w:tcBorders>
            <w:vAlign w:val="center"/>
          </w:tcPr>
          <w:p>
            <w:pPr>
              <w:tabs>
                <w:tab w:val="left" w:pos="1035"/>
              </w:tabs>
              <w:jc w:val="center"/>
              <w:textAlignment w:val="baseline"/>
              <w:rPr>
                <w:rFonts w:ascii="仿宋" w:hAnsi="仿宋" w:eastAsia="仿宋" w:cs="Times New Roman"/>
                <w:b/>
                <w:sz w:val="28"/>
                <w:szCs w:val="28"/>
              </w:rPr>
            </w:pPr>
            <w:r>
              <w:rPr>
                <w:rFonts w:ascii="仿宋" w:hAnsi="仿宋" w:eastAsia="仿宋" w:cs="Times New Roman"/>
                <w:b/>
                <w:sz w:val="28"/>
                <w:szCs w:val="28"/>
              </w:rPr>
              <w:t>姓名</w:t>
            </w:r>
          </w:p>
        </w:tc>
        <w:tc>
          <w:tcPr>
            <w:tcW w:w="2189" w:type="pct"/>
            <w:tcBorders>
              <w:top w:val="single" w:color="auto" w:sz="6" w:space="0"/>
              <w:left w:val="single" w:color="auto" w:sz="6" w:space="0"/>
              <w:bottom w:val="single" w:color="auto" w:sz="6" w:space="0"/>
              <w:right w:val="single" w:color="auto" w:sz="6" w:space="0"/>
              <w:tl2br w:val="nil"/>
              <w:tr2bl w:val="nil"/>
            </w:tcBorders>
            <w:vAlign w:val="center"/>
          </w:tcPr>
          <w:p>
            <w:pPr>
              <w:jc w:val="center"/>
              <w:textAlignment w:val="baseline"/>
              <w:rPr>
                <w:rFonts w:ascii="仿宋" w:hAnsi="仿宋" w:eastAsia="仿宋" w:cs="Times New Roman"/>
                <w:b/>
                <w:sz w:val="28"/>
                <w:szCs w:val="28"/>
              </w:rPr>
            </w:pPr>
            <w:r>
              <w:rPr>
                <w:rFonts w:ascii="仿宋" w:hAnsi="仿宋" w:eastAsia="仿宋" w:cs="Times New Roman"/>
                <w:b/>
                <w:sz w:val="28"/>
                <w:szCs w:val="28"/>
              </w:rPr>
              <w:t>单位</w:t>
            </w:r>
          </w:p>
        </w:tc>
        <w:tc>
          <w:tcPr>
            <w:tcW w:w="1562" w:type="pct"/>
            <w:tcBorders>
              <w:top w:val="single" w:color="auto" w:sz="6" w:space="0"/>
              <w:left w:val="single" w:color="auto" w:sz="6" w:space="0"/>
              <w:bottom w:val="single" w:color="auto" w:sz="6" w:space="0"/>
              <w:right w:val="single" w:color="auto" w:sz="6" w:space="0"/>
              <w:tl2br w:val="nil"/>
              <w:tr2bl w:val="nil"/>
            </w:tcBorders>
            <w:vAlign w:val="center"/>
          </w:tcPr>
          <w:p>
            <w:pPr>
              <w:jc w:val="center"/>
              <w:textAlignment w:val="baseline"/>
              <w:rPr>
                <w:rFonts w:ascii="仿宋" w:hAnsi="仿宋" w:eastAsia="仿宋" w:cs="Times New Roman"/>
                <w:b/>
                <w:sz w:val="28"/>
                <w:szCs w:val="28"/>
              </w:rPr>
            </w:pPr>
            <w:r>
              <w:rPr>
                <w:rFonts w:ascii="仿宋" w:hAnsi="仿宋" w:eastAsia="仿宋" w:cs="Times New Roman"/>
                <w:b/>
                <w:sz w:val="28"/>
                <w:szCs w:val="28"/>
              </w:rPr>
              <w:t>职称/职称</w:t>
            </w:r>
          </w:p>
        </w:tc>
      </w:tr>
      <w:tr>
        <w:tblPrEx>
          <w:tblCellMar>
            <w:top w:w="0" w:type="dxa"/>
            <w:left w:w="108" w:type="dxa"/>
            <w:bottom w:w="0" w:type="dxa"/>
            <w:right w:w="108" w:type="dxa"/>
          </w:tblCellMar>
        </w:tblPrEx>
        <w:trPr>
          <w:trHeight w:val="692" w:hRule="atLeast"/>
          <w:jc w:val="center"/>
        </w:trPr>
        <w:tc>
          <w:tcPr>
            <w:tcW w:w="1249" w:type="pct"/>
            <w:tcBorders>
              <w:top w:val="single" w:color="auto" w:sz="6" w:space="0"/>
              <w:left w:val="single" w:color="auto" w:sz="6" w:space="0"/>
              <w:bottom w:val="single" w:color="auto" w:sz="6" w:space="0"/>
              <w:right w:val="single" w:color="auto" w:sz="6" w:space="0"/>
              <w:tl2br w:val="nil"/>
              <w:tr2bl w:val="nil"/>
            </w:tcBorders>
            <w:vAlign w:val="center"/>
          </w:tcPr>
          <w:p>
            <w:pPr>
              <w:tabs>
                <w:tab w:val="left" w:pos="1035"/>
              </w:tabs>
              <w:jc w:val="center"/>
              <w:textAlignment w:val="baseline"/>
              <w:rPr>
                <w:rFonts w:ascii="仿宋" w:hAnsi="仿宋" w:eastAsia="仿宋" w:cs="Times New Roman"/>
                <w:sz w:val="28"/>
                <w:szCs w:val="28"/>
              </w:rPr>
            </w:pPr>
            <w:r>
              <w:rPr>
                <w:rFonts w:ascii="仿宋" w:hAnsi="仿宋" w:eastAsia="仿宋" w:cs="Times New Roman"/>
                <w:sz w:val="28"/>
                <w:szCs w:val="28"/>
              </w:rPr>
              <w:t>王庆明</w:t>
            </w:r>
          </w:p>
        </w:tc>
        <w:tc>
          <w:tcPr>
            <w:tcW w:w="2189" w:type="pct"/>
            <w:tcBorders>
              <w:top w:val="single" w:color="auto" w:sz="6" w:space="0"/>
              <w:left w:val="single" w:color="auto" w:sz="6" w:space="0"/>
              <w:bottom w:val="single" w:color="auto" w:sz="6" w:space="0"/>
              <w:right w:val="single" w:color="auto" w:sz="6" w:space="0"/>
              <w:tl2br w:val="nil"/>
              <w:tr2bl w:val="nil"/>
            </w:tcBorders>
            <w:vAlign w:val="center"/>
          </w:tcPr>
          <w:p>
            <w:pPr>
              <w:tabs>
                <w:tab w:val="left" w:pos="1035"/>
              </w:tabs>
              <w:jc w:val="center"/>
              <w:textAlignment w:val="baseline"/>
              <w:rPr>
                <w:rFonts w:ascii="仿宋" w:hAnsi="仿宋" w:eastAsia="仿宋" w:cs="Times New Roman"/>
                <w:sz w:val="28"/>
                <w:szCs w:val="28"/>
              </w:rPr>
            </w:pPr>
            <w:r>
              <w:rPr>
                <w:rFonts w:ascii="仿宋" w:hAnsi="仿宋" w:eastAsia="仿宋" w:cs="Times New Roman"/>
                <w:sz w:val="28"/>
                <w:szCs w:val="28"/>
              </w:rPr>
              <w:t>原自治区自然资源厅</w:t>
            </w:r>
          </w:p>
        </w:tc>
        <w:tc>
          <w:tcPr>
            <w:tcW w:w="1562" w:type="pct"/>
            <w:tcBorders>
              <w:top w:val="single" w:color="auto" w:sz="6" w:space="0"/>
              <w:left w:val="single" w:color="auto" w:sz="6" w:space="0"/>
              <w:bottom w:val="single" w:color="auto" w:sz="6" w:space="0"/>
              <w:right w:val="single" w:color="auto" w:sz="6" w:space="0"/>
              <w:tl2br w:val="nil"/>
              <w:tr2bl w:val="nil"/>
            </w:tcBorders>
            <w:vAlign w:val="center"/>
          </w:tcPr>
          <w:p>
            <w:pPr>
              <w:tabs>
                <w:tab w:val="left" w:pos="1035"/>
              </w:tabs>
              <w:jc w:val="center"/>
              <w:textAlignment w:val="baseline"/>
              <w:rPr>
                <w:rFonts w:ascii="仿宋" w:hAnsi="仿宋" w:eastAsia="仿宋" w:cs="Times New Roman"/>
                <w:sz w:val="28"/>
                <w:szCs w:val="28"/>
              </w:rPr>
            </w:pPr>
            <w:r>
              <w:rPr>
                <w:rFonts w:ascii="仿宋" w:hAnsi="仿宋" w:eastAsia="仿宋" w:cs="Times New Roman"/>
                <w:color w:val="000000"/>
                <w:kern w:val="0"/>
                <w:sz w:val="28"/>
                <w:szCs w:val="28"/>
              </w:rPr>
              <w:t>教授级高级工程师</w:t>
            </w:r>
          </w:p>
        </w:tc>
      </w:tr>
      <w:tr>
        <w:tblPrEx>
          <w:tblCellMar>
            <w:top w:w="0" w:type="dxa"/>
            <w:left w:w="108" w:type="dxa"/>
            <w:bottom w:w="0" w:type="dxa"/>
            <w:right w:w="108" w:type="dxa"/>
          </w:tblCellMar>
        </w:tblPrEx>
        <w:trPr>
          <w:trHeight w:val="692" w:hRule="atLeast"/>
          <w:jc w:val="center"/>
        </w:trPr>
        <w:tc>
          <w:tcPr>
            <w:tcW w:w="1249" w:type="pct"/>
            <w:tcBorders>
              <w:top w:val="single" w:color="auto" w:sz="6" w:space="0"/>
              <w:left w:val="single" w:color="auto" w:sz="6" w:space="0"/>
              <w:bottom w:val="single" w:color="auto" w:sz="6" w:space="0"/>
              <w:right w:val="single" w:color="auto" w:sz="6" w:space="0"/>
              <w:tl2br w:val="nil"/>
              <w:tr2bl w:val="nil"/>
            </w:tcBorders>
            <w:vAlign w:val="center"/>
          </w:tcPr>
          <w:p>
            <w:pPr>
              <w:tabs>
                <w:tab w:val="left" w:pos="1035"/>
              </w:tabs>
              <w:jc w:val="center"/>
              <w:textAlignment w:val="baseline"/>
              <w:rPr>
                <w:rFonts w:ascii="仿宋" w:hAnsi="仿宋" w:eastAsia="仿宋" w:cs="Times New Roman"/>
                <w:sz w:val="28"/>
                <w:szCs w:val="28"/>
              </w:rPr>
            </w:pPr>
            <w:r>
              <w:rPr>
                <w:rFonts w:ascii="仿宋" w:hAnsi="仿宋" w:eastAsia="仿宋" w:cs="Times New Roman"/>
                <w:sz w:val="28"/>
                <w:szCs w:val="28"/>
              </w:rPr>
              <w:t>程遂欣</w:t>
            </w:r>
          </w:p>
        </w:tc>
        <w:tc>
          <w:tcPr>
            <w:tcW w:w="2189" w:type="pct"/>
            <w:tcBorders>
              <w:top w:val="single" w:color="auto" w:sz="6" w:space="0"/>
              <w:left w:val="single" w:color="auto" w:sz="6" w:space="0"/>
              <w:bottom w:val="single" w:color="auto" w:sz="6" w:space="0"/>
              <w:right w:val="single" w:color="auto" w:sz="6" w:space="0"/>
              <w:tl2br w:val="nil"/>
              <w:tr2bl w:val="nil"/>
            </w:tcBorders>
            <w:vAlign w:val="center"/>
          </w:tcPr>
          <w:p>
            <w:pPr>
              <w:tabs>
                <w:tab w:val="left" w:pos="1035"/>
              </w:tabs>
              <w:jc w:val="center"/>
              <w:textAlignment w:val="baseline"/>
              <w:rPr>
                <w:rFonts w:ascii="仿宋" w:hAnsi="仿宋" w:eastAsia="仿宋" w:cs="Times New Roman"/>
                <w:sz w:val="28"/>
                <w:szCs w:val="28"/>
              </w:rPr>
            </w:pPr>
            <w:r>
              <w:rPr>
                <w:rFonts w:ascii="仿宋" w:hAnsi="仿宋" w:eastAsia="仿宋" w:cs="Times New Roman"/>
                <w:sz w:val="28"/>
                <w:szCs w:val="28"/>
              </w:rPr>
              <w:t>原新疆地勘局第九地质大队</w:t>
            </w:r>
          </w:p>
        </w:tc>
        <w:tc>
          <w:tcPr>
            <w:tcW w:w="1562" w:type="pct"/>
            <w:tcBorders>
              <w:top w:val="single" w:color="auto" w:sz="6" w:space="0"/>
              <w:left w:val="single" w:color="auto" w:sz="6" w:space="0"/>
              <w:bottom w:val="single" w:color="auto" w:sz="6" w:space="0"/>
              <w:right w:val="single" w:color="auto" w:sz="6" w:space="0"/>
              <w:tl2br w:val="nil"/>
              <w:tr2bl w:val="nil"/>
            </w:tcBorders>
            <w:vAlign w:val="center"/>
          </w:tcPr>
          <w:p>
            <w:pPr>
              <w:tabs>
                <w:tab w:val="left" w:pos="1035"/>
              </w:tabs>
              <w:jc w:val="center"/>
              <w:textAlignment w:val="baseline"/>
              <w:rPr>
                <w:rFonts w:ascii="仿宋" w:hAnsi="仿宋" w:eastAsia="仿宋" w:cs="Times New Roman"/>
                <w:sz w:val="28"/>
                <w:szCs w:val="28"/>
              </w:rPr>
            </w:pPr>
            <w:r>
              <w:rPr>
                <w:rFonts w:ascii="仿宋" w:hAnsi="仿宋" w:eastAsia="仿宋" w:cs="Times New Roman"/>
                <w:color w:val="000000"/>
                <w:kern w:val="0"/>
                <w:sz w:val="28"/>
                <w:szCs w:val="28"/>
              </w:rPr>
              <w:t>高级工程师</w:t>
            </w:r>
          </w:p>
        </w:tc>
      </w:tr>
      <w:tr>
        <w:tblPrEx>
          <w:tblCellMar>
            <w:top w:w="0" w:type="dxa"/>
            <w:left w:w="108" w:type="dxa"/>
            <w:bottom w:w="0" w:type="dxa"/>
            <w:right w:w="108" w:type="dxa"/>
          </w:tblCellMar>
        </w:tblPrEx>
        <w:trPr>
          <w:trHeight w:val="701" w:hRule="atLeast"/>
          <w:jc w:val="center"/>
        </w:trPr>
        <w:tc>
          <w:tcPr>
            <w:tcW w:w="1249" w:type="pct"/>
            <w:tcBorders>
              <w:top w:val="single" w:color="auto" w:sz="6" w:space="0"/>
              <w:left w:val="single" w:color="auto" w:sz="6" w:space="0"/>
              <w:bottom w:val="single" w:color="auto" w:sz="6" w:space="0"/>
              <w:right w:val="single" w:color="auto" w:sz="6" w:space="0"/>
              <w:tl2br w:val="nil"/>
              <w:tr2bl w:val="nil"/>
            </w:tcBorders>
            <w:vAlign w:val="center"/>
          </w:tcPr>
          <w:p>
            <w:pPr>
              <w:tabs>
                <w:tab w:val="left" w:pos="1035"/>
              </w:tabs>
              <w:jc w:val="center"/>
              <w:textAlignment w:val="baseline"/>
              <w:rPr>
                <w:rFonts w:ascii="仿宋" w:hAnsi="仿宋" w:eastAsia="仿宋" w:cs="Times New Roman"/>
                <w:sz w:val="28"/>
                <w:szCs w:val="28"/>
              </w:rPr>
            </w:pPr>
            <w:r>
              <w:rPr>
                <w:rFonts w:ascii="仿宋" w:hAnsi="仿宋" w:eastAsia="仿宋" w:cs="Times New Roman"/>
                <w:sz w:val="28"/>
                <w:szCs w:val="28"/>
              </w:rPr>
              <w:t>张俊文</w:t>
            </w:r>
          </w:p>
        </w:tc>
        <w:tc>
          <w:tcPr>
            <w:tcW w:w="2189" w:type="pct"/>
            <w:tcBorders>
              <w:top w:val="single" w:color="auto" w:sz="6" w:space="0"/>
              <w:left w:val="single" w:color="auto" w:sz="6" w:space="0"/>
              <w:bottom w:val="single" w:color="auto" w:sz="6" w:space="0"/>
              <w:right w:val="single" w:color="auto" w:sz="6" w:space="0"/>
              <w:tl2br w:val="nil"/>
              <w:tr2bl w:val="nil"/>
            </w:tcBorders>
            <w:vAlign w:val="center"/>
          </w:tcPr>
          <w:p>
            <w:pPr>
              <w:tabs>
                <w:tab w:val="left" w:pos="1035"/>
              </w:tabs>
              <w:jc w:val="center"/>
              <w:textAlignment w:val="baseline"/>
              <w:rPr>
                <w:rFonts w:ascii="仿宋" w:hAnsi="仿宋" w:eastAsia="仿宋" w:cs="Times New Roman"/>
                <w:sz w:val="28"/>
                <w:szCs w:val="28"/>
              </w:rPr>
            </w:pPr>
            <w:r>
              <w:rPr>
                <w:rFonts w:ascii="仿宋" w:hAnsi="仿宋" w:eastAsia="仿宋" w:cs="Times New Roman"/>
                <w:sz w:val="28"/>
                <w:szCs w:val="28"/>
              </w:rPr>
              <w:t>中煤科工集团武汉设计研究院</w:t>
            </w:r>
          </w:p>
        </w:tc>
        <w:tc>
          <w:tcPr>
            <w:tcW w:w="1562" w:type="pct"/>
            <w:tcBorders>
              <w:top w:val="single" w:color="auto" w:sz="6" w:space="0"/>
              <w:left w:val="single" w:color="auto" w:sz="6" w:space="0"/>
              <w:bottom w:val="single" w:color="auto" w:sz="6" w:space="0"/>
              <w:right w:val="single" w:color="auto" w:sz="6" w:space="0"/>
              <w:tl2br w:val="nil"/>
              <w:tr2bl w:val="nil"/>
            </w:tcBorders>
            <w:vAlign w:val="center"/>
          </w:tcPr>
          <w:p>
            <w:pPr>
              <w:tabs>
                <w:tab w:val="left" w:pos="1035"/>
              </w:tabs>
              <w:jc w:val="center"/>
              <w:textAlignment w:val="baseline"/>
              <w:rPr>
                <w:rFonts w:ascii="仿宋" w:hAnsi="仿宋" w:eastAsia="仿宋" w:cs="Times New Roman"/>
                <w:sz w:val="28"/>
                <w:szCs w:val="28"/>
              </w:rPr>
            </w:pPr>
            <w:r>
              <w:rPr>
                <w:rFonts w:ascii="仿宋" w:hAnsi="仿宋" w:eastAsia="仿宋" w:cs="Times New Roman"/>
                <w:color w:val="000000"/>
                <w:kern w:val="0"/>
                <w:sz w:val="28"/>
                <w:szCs w:val="28"/>
              </w:rPr>
              <w:t>教授级高级工程师</w:t>
            </w:r>
          </w:p>
        </w:tc>
      </w:tr>
    </w:tbl>
    <w:p>
      <w:pPr>
        <w:jc w:val="left"/>
        <w:textAlignment w:val="baseline"/>
        <w:rPr>
          <w:rFonts w:ascii="仿宋" w:hAnsi="仿宋" w:eastAsia="仿宋" w:cs="Times New Roman"/>
          <w:sz w:val="28"/>
          <w:szCs w:val="28"/>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42022"/>
    <w:rsid w:val="0001236F"/>
    <w:rsid w:val="00022FE8"/>
    <w:rsid w:val="00045022"/>
    <w:rsid w:val="00060917"/>
    <w:rsid w:val="000640E3"/>
    <w:rsid w:val="000A1995"/>
    <w:rsid w:val="001B4072"/>
    <w:rsid w:val="001B55C8"/>
    <w:rsid w:val="001C5BA8"/>
    <w:rsid w:val="002020BA"/>
    <w:rsid w:val="00203958"/>
    <w:rsid w:val="002619FF"/>
    <w:rsid w:val="002E6BA8"/>
    <w:rsid w:val="00304C81"/>
    <w:rsid w:val="003608FD"/>
    <w:rsid w:val="00360C13"/>
    <w:rsid w:val="0037130F"/>
    <w:rsid w:val="00384BA7"/>
    <w:rsid w:val="003865A7"/>
    <w:rsid w:val="00392740"/>
    <w:rsid w:val="003A311F"/>
    <w:rsid w:val="003B7B5B"/>
    <w:rsid w:val="003E7794"/>
    <w:rsid w:val="004462EF"/>
    <w:rsid w:val="00472531"/>
    <w:rsid w:val="004C2250"/>
    <w:rsid w:val="004E42D1"/>
    <w:rsid w:val="004E4830"/>
    <w:rsid w:val="004F03B6"/>
    <w:rsid w:val="00511285"/>
    <w:rsid w:val="00574F98"/>
    <w:rsid w:val="005C219D"/>
    <w:rsid w:val="005C2ADC"/>
    <w:rsid w:val="00627E7F"/>
    <w:rsid w:val="006463FD"/>
    <w:rsid w:val="006A21A3"/>
    <w:rsid w:val="006B1AFD"/>
    <w:rsid w:val="006D6CF9"/>
    <w:rsid w:val="006E74B1"/>
    <w:rsid w:val="007307EB"/>
    <w:rsid w:val="00753459"/>
    <w:rsid w:val="00757579"/>
    <w:rsid w:val="007625F6"/>
    <w:rsid w:val="0077182D"/>
    <w:rsid w:val="007A3EC5"/>
    <w:rsid w:val="007D1681"/>
    <w:rsid w:val="008614E6"/>
    <w:rsid w:val="008745E1"/>
    <w:rsid w:val="008829A3"/>
    <w:rsid w:val="008F0DED"/>
    <w:rsid w:val="008F3267"/>
    <w:rsid w:val="009848B2"/>
    <w:rsid w:val="009D6C17"/>
    <w:rsid w:val="00A37314"/>
    <w:rsid w:val="00A42022"/>
    <w:rsid w:val="00A43E6F"/>
    <w:rsid w:val="00A94454"/>
    <w:rsid w:val="00AA12EF"/>
    <w:rsid w:val="00AA5793"/>
    <w:rsid w:val="00AB4067"/>
    <w:rsid w:val="00B04CAA"/>
    <w:rsid w:val="00B172A3"/>
    <w:rsid w:val="00B503B2"/>
    <w:rsid w:val="00B516D5"/>
    <w:rsid w:val="00B767B0"/>
    <w:rsid w:val="00BB2116"/>
    <w:rsid w:val="00BB3FD6"/>
    <w:rsid w:val="00BB6E47"/>
    <w:rsid w:val="00BF20AC"/>
    <w:rsid w:val="00C75F6A"/>
    <w:rsid w:val="00C90CFC"/>
    <w:rsid w:val="00C9553C"/>
    <w:rsid w:val="00CA7BE0"/>
    <w:rsid w:val="00CB4F7A"/>
    <w:rsid w:val="00D946BD"/>
    <w:rsid w:val="00E24985"/>
    <w:rsid w:val="00E452A3"/>
    <w:rsid w:val="00E65F26"/>
    <w:rsid w:val="00E94162"/>
    <w:rsid w:val="00E95EFD"/>
    <w:rsid w:val="00ED4B48"/>
    <w:rsid w:val="00EF271E"/>
    <w:rsid w:val="00F41A09"/>
    <w:rsid w:val="00F86069"/>
    <w:rsid w:val="00FB39FC"/>
    <w:rsid w:val="00FD1C87"/>
    <w:rsid w:val="00FE532F"/>
    <w:rsid w:val="00FE5EBD"/>
    <w:rsid w:val="08396812"/>
    <w:rsid w:val="0F456CFE"/>
    <w:rsid w:val="0F793A4C"/>
    <w:rsid w:val="17EF4291"/>
    <w:rsid w:val="18A77CF0"/>
    <w:rsid w:val="1D3018ED"/>
    <w:rsid w:val="211F25DE"/>
    <w:rsid w:val="21803EC0"/>
    <w:rsid w:val="29326CA9"/>
    <w:rsid w:val="30933F36"/>
    <w:rsid w:val="34803116"/>
    <w:rsid w:val="352D7A31"/>
    <w:rsid w:val="356E34D3"/>
    <w:rsid w:val="373204C0"/>
    <w:rsid w:val="38DF2FCC"/>
    <w:rsid w:val="3A6D55ED"/>
    <w:rsid w:val="3AAE72C4"/>
    <w:rsid w:val="3F086203"/>
    <w:rsid w:val="499A2873"/>
    <w:rsid w:val="50A07BA6"/>
    <w:rsid w:val="5296288E"/>
    <w:rsid w:val="529A7A47"/>
    <w:rsid w:val="52EF39FC"/>
    <w:rsid w:val="6A017B1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820288-D74C-48B2-B816-BB62C31DF5B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3243</Words>
  <Characters>1912</Characters>
  <Lines>15</Lines>
  <Paragraphs>10</Paragraphs>
  <TotalTime>0</TotalTime>
  <ScaleCrop>false</ScaleCrop>
  <LinksUpToDate>false</LinksUpToDate>
  <CharactersWithSpaces>5145</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2021-07-07T04:55:00Z</dcterms:created>
  <dc:creator>苏 木头</dc:creator>
  <cp:lastModifiedBy>lenovo</cp:lastModifiedBy>
  <dcterms:modified xsi:type="dcterms:W3CDTF">2021-07-13T02:50:34Z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26F8ECAC9C294729A66DE076A5C207D7</vt:lpwstr>
  </property>
</Properties>
</file>