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DE684">
      <w:pPr>
        <w:pStyle w:val="5"/>
        <w:spacing w:line="332" w:lineRule="auto"/>
      </w:pPr>
    </w:p>
    <w:p w14:paraId="375296F4">
      <w:pPr>
        <w:pStyle w:val="5"/>
        <w:spacing w:line="333" w:lineRule="auto"/>
      </w:pPr>
    </w:p>
    <w:p w14:paraId="66E9B0E8">
      <w:pPr>
        <w:spacing w:before="130" w:line="246" w:lineRule="auto"/>
        <w:rPr>
          <w:rFonts w:ascii="宋体" w:hAnsi="宋体" w:eastAsia="宋体" w:cs="宋体"/>
          <w:b/>
          <w:bCs/>
          <w:spacing w:val="-28"/>
          <w:sz w:val="40"/>
          <w:szCs w:val="40"/>
        </w:rPr>
      </w:pPr>
    </w:p>
    <w:p w14:paraId="54E7452C">
      <w:pPr>
        <w:kinsoku/>
        <w:autoSpaceDE/>
        <w:autoSpaceDN/>
        <w:adjustRightInd/>
        <w:snapToGrid/>
        <w:spacing w:line="800" w:lineRule="exact"/>
        <w:ind w:right="-50" w:rightChars="-24" w:firstLine="360"/>
        <w:jc w:val="center"/>
        <w:textAlignment w:val="auto"/>
        <w:rPr>
          <w:rFonts w:hint="eastAsia" w:ascii="仿宋" w:hAnsi="仿宋" w:eastAsia="仿宋" w:cs="Calibri"/>
          <w:b/>
          <w:snapToGrid/>
          <w:color w:val="auto"/>
          <w:w w:val="90"/>
          <w:kern w:val="0"/>
          <w:sz w:val="36"/>
          <w:szCs w:val="36"/>
          <w:lang w:eastAsia="zh-CN"/>
        </w:rPr>
      </w:pPr>
      <w:r>
        <w:rPr>
          <w:rFonts w:hint="eastAsia" w:ascii="仿宋" w:hAnsi="仿宋" w:eastAsia="仿宋" w:cs="Calibri"/>
          <w:b/>
          <w:snapToGrid/>
          <w:color w:val="auto"/>
          <w:w w:val="90"/>
          <w:kern w:val="0"/>
          <w:sz w:val="36"/>
          <w:szCs w:val="36"/>
          <w:lang w:eastAsia="zh-CN"/>
        </w:rPr>
        <w:t>关于对《奇台县苏吉泉黄金开发有限公司新疆奇台苏吉泉金矿矿产资源开发利用与生态保护修复方案》</w:t>
      </w:r>
    </w:p>
    <w:p w14:paraId="681D95A0">
      <w:pPr>
        <w:pStyle w:val="5"/>
        <w:spacing w:line="364" w:lineRule="auto"/>
      </w:pPr>
      <w:bookmarkStart w:id="0" w:name="_GoBack"/>
      <w:bookmarkEnd w:id="0"/>
    </w:p>
    <w:p w14:paraId="273475C1">
      <w:pPr>
        <w:kinsoku/>
        <w:autoSpaceDE/>
        <w:autoSpaceDN/>
        <w:adjustRightInd/>
        <w:snapToGrid/>
        <w:spacing w:line="240" w:lineRule="auto"/>
        <w:ind w:right="-50" w:rightChars="-24" w:firstLine="357"/>
        <w:jc w:val="center"/>
        <w:textAlignment w:val="auto"/>
        <w:rPr>
          <w:rFonts w:hint="eastAsia" w:ascii="仿宋" w:hAnsi="仿宋" w:eastAsia="仿宋" w:cs="Calibri"/>
          <w:b/>
          <w:snapToGrid/>
          <w:color w:val="auto"/>
          <w:kern w:val="0"/>
          <w:sz w:val="84"/>
          <w:szCs w:val="84"/>
          <w:lang w:eastAsia="zh-CN"/>
        </w:rPr>
      </w:pPr>
      <w:r>
        <w:rPr>
          <w:rFonts w:hint="eastAsia" w:ascii="仿宋" w:hAnsi="仿宋" w:eastAsia="仿宋" w:cs="Calibri"/>
          <w:b/>
          <w:snapToGrid/>
          <w:color w:val="auto"/>
          <w:kern w:val="0"/>
          <w:sz w:val="84"/>
          <w:szCs w:val="84"/>
          <w:lang w:eastAsia="zh-CN"/>
        </w:rPr>
        <w:t>专家意见的认定</w:t>
      </w:r>
    </w:p>
    <w:p w14:paraId="38FB8822">
      <w:pPr>
        <w:pStyle w:val="5"/>
        <w:spacing w:line="242" w:lineRule="auto"/>
      </w:pPr>
    </w:p>
    <w:p w14:paraId="01C22996">
      <w:pPr>
        <w:pStyle w:val="5"/>
        <w:spacing w:line="242" w:lineRule="auto"/>
      </w:pPr>
    </w:p>
    <w:p w14:paraId="0B0E3A04">
      <w:pPr>
        <w:pStyle w:val="5"/>
        <w:spacing w:line="242" w:lineRule="auto"/>
      </w:pPr>
    </w:p>
    <w:p w14:paraId="18805F9A">
      <w:pPr>
        <w:pStyle w:val="5"/>
        <w:spacing w:line="242" w:lineRule="auto"/>
      </w:pPr>
    </w:p>
    <w:p w14:paraId="4C0A9838">
      <w:pPr>
        <w:pStyle w:val="5"/>
        <w:spacing w:line="242" w:lineRule="auto"/>
      </w:pPr>
    </w:p>
    <w:p w14:paraId="1C05C43E">
      <w:pPr>
        <w:pStyle w:val="5"/>
        <w:spacing w:line="242" w:lineRule="auto"/>
      </w:pPr>
    </w:p>
    <w:p w14:paraId="4B8091B0">
      <w:pPr>
        <w:pStyle w:val="5"/>
        <w:spacing w:line="242" w:lineRule="auto"/>
      </w:pPr>
    </w:p>
    <w:p w14:paraId="208BBAF3">
      <w:pPr>
        <w:pStyle w:val="5"/>
        <w:spacing w:line="243" w:lineRule="auto"/>
      </w:pPr>
    </w:p>
    <w:p w14:paraId="36009E53">
      <w:pPr>
        <w:pStyle w:val="5"/>
        <w:spacing w:line="243" w:lineRule="auto"/>
      </w:pPr>
    </w:p>
    <w:p w14:paraId="2DFD0415">
      <w:pPr>
        <w:pStyle w:val="5"/>
        <w:spacing w:line="243" w:lineRule="auto"/>
      </w:pPr>
    </w:p>
    <w:p w14:paraId="41EAED49">
      <w:pPr>
        <w:pStyle w:val="5"/>
        <w:spacing w:line="243" w:lineRule="auto"/>
      </w:pPr>
    </w:p>
    <w:p w14:paraId="541F2D80">
      <w:pPr>
        <w:pStyle w:val="5"/>
        <w:spacing w:line="243" w:lineRule="auto"/>
      </w:pPr>
    </w:p>
    <w:p w14:paraId="5049B225">
      <w:pPr>
        <w:pStyle w:val="5"/>
        <w:spacing w:line="243" w:lineRule="auto"/>
      </w:pPr>
    </w:p>
    <w:p w14:paraId="147371C8">
      <w:pPr>
        <w:pStyle w:val="5"/>
        <w:spacing w:line="243" w:lineRule="auto"/>
      </w:pPr>
    </w:p>
    <w:p w14:paraId="4EA1B170">
      <w:pPr>
        <w:pStyle w:val="5"/>
        <w:spacing w:line="243" w:lineRule="auto"/>
      </w:pPr>
    </w:p>
    <w:p w14:paraId="4212BB1E">
      <w:pPr>
        <w:pStyle w:val="5"/>
        <w:spacing w:line="243" w:lineRule="auto"/>
      </w:pPr>
    </w:p>
    <w:p w14:paraId="1D57DFB4">
      <w:pPr>
        <w:pStyle w:val="5"/>
        <w:spacing w:line="243" w:lineRule="auto"/>
      </w:pPr>
    </w:p>
    <w:p w14:paraId="1B9AFAAA">
      <w:pPr>
        <w:pStyle w:val="5"/>
        <w:spacing w:line="243" w:lineRule="auto"/>
      </w:pPr>
    </w:p>
    <w:p w14:paraId="22852FDF">
      <w:pPr>
        <w:pStyle w:val="5"/>
        <w:spacing w:line="243" w:lineRule="auto"/>
      </w:pPr>
    </w:p>
    <w:p w14:paraId="62C12168">
      <w:pPr>
        <w:pStyle w:val="5"/>
        <w:spacing w:line="243" w:lineRule="auto"/>
      </w:pPr>
    </w:p>
    <w:p w14:paraId="03F3C330">
      <w:pPr>
        <w:pStyle w:val="5"/>
        <w:spacing w:line="243" w:lineRule="auto"/>
      </w:pPr>
    </w:p>
    <w:p w14:paraId="4C144470">
      <w:pPr>
        <w:pStyle w:val="5"/>
        <w:spacing w:line="243" w:lineRule="auto"/>
      </w:pPr>
    </w:p>
    <w:p w14:paraId="50BB78D4">
      <w:pPr>
        <w:pStyle w:val="5"/>
        <w:spacing w:line="243" w:lineRule="auto"/>
      </w:pPr>
    </w:p>
    <w:p w14:paraId="4DBEACF2">
      <w:pPr>
        <w:pStyle w:val="5"/>
        <w:spacing w:line="243" w:lineRule="auto"/>
      </w:pPr>
    </w:p>
    <w:p w14:paraId="22B77682">
      <w:pPr>
        <w:pStyle w:val="5"/>
        <w:spacing w:line="243" w:lineRule="auto"/>
      </w:pPr>
    </w:p>
    <w:p w14:paraId="4BC95102">
      <w:pPr>
        <w:pStyle w:val="5"/>
        <w:spacing w:line="243" w:lineRule="auto"/>
      </w:pPr>
    </w:p>
    <w:p w14:paraId="1680E12A">
      <w:pPr>
        <w:pStyle w:val="5"/>
        <w:spacing w:line="243" w:lineRule="auto"/>
      </w:pPr>
    </w:p>
    <w:p w14:paraId="3BE8F64D">
      <w:pPr>
        <w:pStyle w:val="5"/>
        <w:spacing w:line="243" w:lineRule="auto"/>
      </w:pPr>
    </w:p>
    <w:p w14:paraId="1ECA398F">
      <w:pPr>
        <w:pStyle w:val="5"/>
        <w:spacing w:line="243" w:lineRule="auto"/>
      </w:pPr>
    </w:p>
    <w:p w14:paraId="0F8ADAFA">
      <w:pPr>
        <w:pStyle w:val="5"/>
        <w:spacing w:line="243" w:lineRule="auto"/>
      </w:pPr>
    </w:p>
    <w:p w14:paraId="3AE3A44B">
      <w:pPr>
        <w:kinsoku/>
        <w:autoSpaceDE/>
        <w:autoSpaceDN/>
        <w:adjustRightInd/>
        <w:snapToGrid/>
        <w:spacing w:line="240" w:lineRule="auto"/>
        <w:jc w:val="center"/>
        <w:textAlignment w:val="auto"/>
        <w:rPr>
          <w:rFonts w:hint="eastAsia" w:ascii="仿宋" w:hAnsi="仿宋" w:eastAsia="仿宋" w:cs="Calibri"/>
          <w:b/>
          <w:snapToGrid/>
          <w:kern w:val="0"/>
          <w:sz w:val="32"/>
          <w:szCs w:val="22"/>
          <w:lang w:eastAsia="zh-CN"/>
        </w:rPr>
      </w:pPr>
      <w:r>
        <w:rPr>
          <w:rFonts w:hint="eastAsia" w:ascii="仿宋" w:hAnsi="仿宋" w:eastAsia="仿宋" w:cs="Calibri"/>
          <w:b/>
          <w:snapToGrid/>
          <w:kern w:val="0"/>
          <w:sz w:val="32"/>
          <w:szCs w:val="22"/>
          <w:lang w:eastAsia="zh-CN"/>
        </w:rPr>
        <w:t>新疆维吾尔自治区自然资源厅</w:t>
      </w:r>
    </w:p>
    <w:p w14:paraId="403B9D7C">
      <w:pPr>
        <w:kinsoku/>
        <w:autoSpaceDE/>
        <w:autoSpaceDN/>
        <w:adjustRightInd/>
        <w:snapToGrid/>
        <w:spacing w:line="240" w:lineRule="auto"/>
        <w:ind w:firstLine="2798" w:firstLineChars="871"/>
        <w:jc w:val="both"/>
        <w:textAlignment w:val="auto"/>
        <w:rPr>
          <w:rFonts w:hint="default" w:ascii="仿宋" w:hAnsi="仿宋" w:eastAsia="仿宋" w:cs="Calibri"/>
          <w:b/>
          <w:snapToGrid/>
          <w:kern w:val="0"/>
          <w:sz w:val="32"/>
          <w:szCs w:val="22"/>
          <w:lang w:val="en-US" w:eastAsia="zh-CN"/>
        </w:rPr>
        <w:sectPr>
          <w:pgSz w:w="11907" w:h="16840"/>
          <w:pgMar w:top="1431" w:right="1142" w:bottom="0" w:left="1702" w:header="0" w:footer="0" w:gutter="0"/>
          <w:cols w:space="720" w:num="1"/>
        </w:sectPr>
      </w:pPr>
      <w:r>
        <w:rPr>
          <w:rFonts w:hint="eastAsia" w:ascii="仿宋" w:hAnsi="仿宋" w:eastAsia="仿宋" w:cs="Calibri"/>
          <w:b/>
          <w:snapToGrid/>
          <w:kern w:val="0"/>
          <w:sz w:val="32"/>
          <w:szCs w:val="22"/>
          <w:lang w:eastAsia="zh-CN"/>
        </w:rPr>
        <w:t>二○二</w:t>
      </w:r>
      <w:r>
        <w:rPr>
          <w:rFonts w:hint="eastAsia" w:ascii="仿宋" w:hAnsi="仿宋" w:eastAsia="仿宋" w:cs="Calibri"/>
          <w:b/>
          <w:snapToGrid/>
          <w:kern w:val="0"/>
          <w:sz w:val="32"/>
          <w:szCs w:val="22"/>
          <w:lang w:val="en-US" w:eastAsia="zh-CN"/>
        </w:rPr>
        <w:t>四</w:t>
      </w:r>
      <w:r>
        <w:rPr>
          <w:rFonts w:hint="eastAsia" w:ascii="仿宋" w:hAnsi="仿宋" w:eastAsia="仿宋" w:cs="Calibri"/>
          <w:b/>
          <w:snapToGrid/>
          <w:kern w:val="0"/>
          <w:sz w:val="32"/>
          <w:szCs w:val="22"/>
          <w:lang w:eastAsia="zh-CN"/>
        </w:rPr>
        <w:t>年</w:t>
      </w:r>
      <w:r>
        <w:rPr>
          <w:rFonts w:hint="eastAsia" w:ascii="仿宋" w:hAnsi="仿宋" w:eastAsia="仿宋" w:cs="Calibri"/>
          <w:b/>
          <w:snapToGrid/>
          <w:kern w:val="0"/>
          <w:sz w:val="32"/>
          <w:szCs w:val="22"/>
          <w:lang w:val="en-US" w:eastAsia="zh-CN"/>
        </w:rPr>
        <w:t>十一</w:t>
      </w:r>
      <w:r>
        <w:rPr>
          <w:rFonts w:hint="eastAsia" w:ascii="仿宋" w:hAnsi="仿宋" w:eastAsia="仿宋" w:cs="Calibri"/>
          <w:b/>
          <w:snapToGrid/>
          <w:kern w:val="0"/>
          <w:sz w:val="32"/>
          <w:szCs w:val="22"/>
          <w:lang w:eastAsia="zh-CN"/>
        </w:rPr>
        <w:t>月四</w:t>
      </w:r>
    </w:p>
    <w:p w14:paraId="1902F872">
      <w:pPr>
        <w:pStyle w:val="5"/>
        <w:rPr>
          <w:color w:val="auto"/>
        </w:rPr>
      </w:pPr>
    </w:p>
    <w:sectPr>
      <w:footerReference r:id="rId5" w:type="default"/>
      <w:pgSz w:w="11907" w:h="16840"/>
      <w:pgMar w:top="1431" w:right="1395" w:bottom="1950" w:left="1394" w:header="0" w:footer="178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69593">
    <w:pPr>
      <w:pStyle w:val="5"/>
      <w:spacing w:line="184" w:lineRule="auto"/>
      <w:ind w:left="4659"/>
      <w:rPr>
        <w:sz w:val="18"/>
        <w:szCs w:val="18"/>
      </w:rPr>
    </w:pPr>
    <w:r>
      <w:rPr>
        <w:spacing w:val="-10"/>
        <w:sz w:val="18"/>
        <w:szCs w:val="18"/>
      </w:rPr>
      <w:t>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ZWZjNDIyMzRhN2VjZDQ0ZmZkNGI4NDk2ZWU0NWJlZjcifQ=="/>
  </w:docVars>
  <w:rsids>
    <w:rsidRoot w:val="00000000"/>
    <w:rsid w:val="00F705B3"/>
    <w:rsid w:val="05877D68"/>
    <w:rsid w:val="07B0770E"/>
    <w:rsid w:val="0BE300B2"/>
    <w:rsid w:val="0E9438E5"/>
    <w:rsid w:val="0FD44283"/>
    <w:rsid w:val="121A05A5"/>
    <w:rsid w:val="12F72695"/>
    <w:rsid w:val="136E0BA9"/>
    <w:rsid w:val="15211C4B"/>
    <w:rsid w:val="15C727F2"/>
    <w:rsid w:val="16113A6D"/>
    <w:rsid w:val="1AB82A4F"/>
    <w:rsid w:val="1F403551"/>
    <w:rsid w:val="1F8B4890"/>
    <w:rsid w:val="20104D96"/>
    <w:rsid w:val="2604539D"/>
    <w:rsid w:val="2A506E02"/>
    <w:rsid w:val="31C3435E"/>
    <w:rsid w:val="322A7F39"/>
    <w:rsid w:val="36A209E6"/>
    <w:rsid w:val="38934A8A"/>
    <w:rsid w:val="39B06F76"/>
    <w:rsid w:val="3A9B19D4"/>
    <w:rsid w:val="3AD338CB"/>
    <w:rsid w:val="3B93568C"/>
    <w:rsid w:val="3D532A3A"/>
    <w:rsid w:val="3E2D4CB4"/>
    <w:rsid w:val="3E3839DE"/>
    <w:rsid w:val="3ECA156E"/>
    <w:rsid w:val="3FEE6A4A"/>
    <w:rsid w:val="40C96B6F"/>
    <w:rsid w:val="43AC6A00"/>
    <w:rsid w:val="4A873352"/>
    <w:rsid w:val="4AF97A1B"/>
    <w:rsid w:val="4FE13ED5"/>
    <w:rsid w:val="52A44127"/>
    <w:rsid w:val="54FE1085"/>
    <w:rsid w:val="56582A17"/>
    <w:rsid w:val="56FB1D20"/>
    <w:rsid w:val="58823D7B"/>
    <w:rsid w:val="58B96FEC"/>
    <w:rsid w:val="5903310E"/>
    <w:rsid w:val="5AAB1D0A"/>
    <w:rsid w:val="5DA0236E"/>
    <w:rsid w:val="64E339D3"/>
    <w:rsid w:val="66524D8D"/>
    <w:rsid w:val="6BC26511"/>
    <w:rsid w:val="6DC3327E"/>
    <w:rsid w:val="6FA0300D"/>
    <w:rsid w:val="70311EB7"/>
    <w:rsid w:val="73D90FFB"/>
    <w:rsid w:val="793A6280"/>
    <w:rsid w:val="7A796251"/>
    <w:rsid w:val="7A9B2D4F"/>
    <w:rsid w:val="7D0E5A5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qFormat="1"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8">
    <w:name w:val="Default Paragraph Font"/>
    <w:semiHidden/>
    <w:qFormat/>
    <w:uiPriority w:val="0"/>
  </w:style>
  <w:style w:type="table" w:default="1" w:styleId="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4"/>
    <w:qFormat/>
    <w:uiPriority w:val="99"/>
    <w:pPr>
      <w:ind w:firstLine="420"/>
    </w:pPr>
    <w:rPr>
      <w:lang w:val="en-US"/>
    </w:rPr>
  </w:style>
  <w:style w:type="paragraph" w:styleId="3">
    <w:name w:val="Body Text Indent"/>
    <w:basedOn w:val="1"/>
    <w:next w:val="1"/>
    <w:qFormat/>
    <w:uiPriority w:val="0"/>
    <w:pPr>
      <w:ind w:firstLine="560"/>
    </w:pPr>
    <w:rPr>
      <w:kern w:val="13"/>
      <w:sz w:val="28"/>
    </w:rPr>
  </w:style>
  <w:style w:type="paragraph" w:styleId="4">
    <w:name w:val="List Continue 4"/>
    <w:basedOn w:val="1"/>
    <w:next w:val="1"/>
    <w:qFormat/>
    <w:uiPriority w:val="0"/>
    <w:pPr>
      <w:spacing w:after="120"/>
      <w:ind w:left="1680" w:firstLine="480"/>
      <w:jc w:val="both"/>
    </w:pPr>
    <w:rPr>
      <w:rFonts w:ascii="宋体"/>
    </w:rPr>
  </w:style>
  <w:style w:type="paragraph" w:styleId="5">
    <w:name w:val="Body Text"/>
    <w:basedOn w:val="1"/>
    <w:semiHidden/>
    <w:qFormat/>
    <w:uiPriority w:val="0"/>
    <w:rPr>
      <w:rFonts w:ascii="Arial" w:hAnsi="Arial" w:eastAsia="Arial" w:cs="Arial"/>
      <w:sz w:val="21"/>
      <w:szCs w:val="21"/>
      <w:lang w:val="en-US" w:eastAsia="en-US" w:bidi="ar-SA"/>
    </w:rPr>
  </w:style>
  <w:style w:type="paragraph" w:styleId="6">
    <w:name w:val="Body Text 2"/>
    <w:basedOn w:val="1"/>
    <w:qFormat/>
    <w:uiPriority w:val="99"/>
    <w:pPr>
      <w:widowControl w:val="0"/>
      <w:spacing w:after="120" w:line="480" w:lineRule="auto"/>
      <w:ind w:firstLine="0"/>
      <w:jc w:val="both"/>
    </w:pPr>
    <w:rPr>
      <w:rFonts w:cs="Times New Roman"/>
      <w:sz w:val="20"/>
      <w:szCs w:val="24"/>
    </w:r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0"/>
      <w:szCs w:val="20"/>
      <w:lang w:val="en-US" w:eastAsia="en-US" w:bidi="ar-SA"/>
    </w:rPr>
  </w:style>
  <w:style w:type="paragraph" w:customStyle="1" w:styleId="11">
    <w:name w:val="样式1"/>
    <w:basedOn w:val="1"/>
    <w:next w:val="1"/>
    <w:qFormat/>
    <w:uiPriority w:val="99"/>
    <w:pPr>
      <w:widowControl w:val="0"/>
      <w:spacing w:line="500" w:lineRule="exact"/>
      <w:ind w:firstLine="200" w:firstLineChars="200"/>
      <w:jc w:val="both"/>
    </w:pPr>
    <w:rPr>
      <w:rFonts w:eastAsia="华文中宋" w:cs="Times New Roman"/>
      <w:sz w:val="24"/>
      <w:szCs w:val="20"/>
      <w:lang w:eastAsia="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7855</Words>
  <Characters>8797</Characters>
  <TotalTime>1</TotalTime>
  <ScaleCrop>false</ScaleCrop>
  <LinksUpToDate>false</LinksUpToDate>
  <CharactersWithSpaces>8901</CharactersWithSpaces>
  <Application>WPS Office_12.1.0.18334_F1E327BC-269C-435d-A152-05C5408002CA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2023-09-04T17:42:00Z</dcterms:created>
  <dc:creator>游明华(办公室)</dc:creator>
  <cp:lastModifiedBy>婉荣</cp:lastModifiedBy>
  <cp:lastPrinted>2024-11-18T03:00:00Z</cp:lastPrinted>
  <dcterms:modified xsi:type="dcterms:W3CDTF">2024-11-20T04:18:55Z</dcterms:modified>
  <dc:title>关于对《托克逊县新理念矿业有限责任公司新疆托克逊县阿夏布拉克(玻璃用)白云岩矿矿产资源开发利用与生态保护修复方案》</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2024-11-14T22:20:00Z</vt:filetime>
  </property>
  <property fmtid="{D5CDD505-2E9C-101B-9397-08002B2CF9AE}" pid="4" name="KSOProductBuildVer">
    <vt:lpwstr>2052-12.1.0.18334</vt:lpwstr>
  </property>
  <property fmtid="{D5CDD505-2E9C-101B-9397-08002B2CF9AE}" pid="5" name="ICV">
    <vt:lpwstr>15FF6FB4AACA42FE8B1E76A708602E17_13</vt:lpwstr>
  </property>
</Properties>
</file>