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ascii="Times New Roman" w:hAnsi="Times New Roman" w:eastAsia="仿宋_GB2312" w:cs="Times New Roman"/>
          <w:color w:val="auto"/>
          <w:sz w:val="32"/>
          <w:szCs w:val="44"/>
        </w:rPr>
      </w:pPr>
      <w:bookmarkStart w:id="0" w:name="_GoBack"/>
      <w:bookmarkEnd w:id="0"/>
      <w:r>
        <w:rPr>
          <w:rFonts w:hint="eastAsia" w:ascii="Times New Roman" w:hAnsi="Times New Roman" w:eastAsia="黑体" w:cs="黑体"/>
          <w:color w:val="auto"/>
          <w:sz w:val="32"/>
          <w:szCs w:val="44"/>
        </w:rPr>
        <w:t>附件</w:t>
      </w:r>
    </w:p>
    <w:p>
      <w:pPr>
        <w:adjustRightInd w:val="0"/>
        <w:snapToGrid w:val="0"/>
        <w:jc w:val="left"/>
        <w:rPr>
          <w:rFonts w:ascii="Times New Roman" w:hAnsi="Times New Roman" w:eastAsia="仿宋_GB2312" w:cs="Times New Roman"/>
          <w:color w:val="auto"/>
          <w:sz w:val="32"/>
          <w:szCs w:val="44"/>
        </w:rPr>
      </w:pPr>
    </w:p>
    <w:p>
      <w:pPr>
        <w:adjustRightInd w:val="0"/>
        <w:snapToGrid w:val="0"/>
        <w:spacing w:before="240"/>
        <w:jc w:val="center"/>
        <w:rPr>
          <w:rFonts w:ascii="Times New Roman" w:hAnsi="Times New Roman" w:eastAsia="华文中宋" w:cs="Times New Roman"/>
          <w:b/>
          <w:color w:val="auto"/>
          <w:sz w:val="44"/>
          <w:szCs w:val="44"/>
        </w:rPr>
      </w:pPr>
      <w:r>
        <w:rPr>
          <w:rFonts w:ascii="Times New Roman" w:hAnsi="Times New Roman" w:eastAsia="华文中宋" w:cs="Times New Roman"/>
          <w:b/>
          <w:color w:val="auto"/>
          <w:sz w:val="44"/>
          <w:szCs w:val="44"/>
        </w:rPr>
        <w:t>第二届全国技工院校教师职业能力大赛方案</w:t>
      </w:r>
    </w:p>
    <w:p>
      <w:pPr>
        <w:adjustRightInd w:val="0"/>
        <w:rPr>
          <w:rFonts w:ascii="Times New Roman" w:hAnsi="Times New Roman" w:eastAsia="黑体" w:cs="Times New Roman"/>
          <w:color w:val="auto"/>
          <w:sz w:val="32"/>
          <w:szCs w:val="32"/>
        </w:rPr>
      </w:pPr>
    </w:p>
    <w:p>
      <w:pPr>
        <w:adjustRightInd w:val="0"/>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一、大赛时间和地点</w:t>
      </w:r>
    </w:p>
    <w:p>
      <w:pPr>
        <w:adjustRightInd w:val="0"/>
        <w:ind w:firstLine="643" w:firstLineChars="200"/>
        <w:rPr>
          <w:rFonts w:ascii="Times New Roman" w:hAnsi="Times New Roman" w:eastAsia="楷体_GB2312" w:cs="Times New Roman"/>
          <w:b/>
          <w:color w:val="auto"/>
          <w:sz w:val="32"/>
          <w:szCs w:val="32"/>
        </w:rPr>
      </w:pPr>
      <w:r>
        <w:rPr>
          <w:rFonts w:ascii="Times New Roman" w:hAnsi="Times New Roman" w:eastAsia="楷体_GB2312" w:cs="Times New Roman"/>
          <w:b/>
          <w:color w:val="auto"/>
          <w:sz w:val="32"/>
          <w:szCs w:val="32"/>
        </w:rPr>
        <w:t>（一）时间</w:t>
      </w:r>
      <w:r>
        <w:rPr>
          <w:rFonts w:hint="eastAsia" w:ascii="Times New Roman" w:hAnsi="Times New Roman" w:eastAsia="楷体_GB2312" w:cs="Times New Roman"/>
          <w:b/>
          <w:color w:val="auto"/>
          <w:sz w:val="32"/>
          <w:szCs w:val="32"/>
        </w:rPr>
        <w:t>：</w:t>
      </w:r>
      <w:r>
        <w:rPr>
          <w:rFonts w:ascii="Times New Roman" w:hAnsi="Times New Roman" w:eastAsia="仿宋_GB2312" w:cs="Times New Roman"/>
          <w:bCs/>
          <w:color w:val="auto"/>
          <w:sz w:val="32"/>
          <w:szCs w:val="32"/>
        </w:rPr>
        <w:t>2020年11月</w:t>
      </w:r>
    </w:p>
    <w:p>
      <w:pPr>
        <w:adjustRightInd w:val="0"/>
        <w:ind w:firstLine="643" w:firstLineChars="200"/>
        <w:rPr>
          <w:rFonts w:ascii="Times New Roman" w:hAnsi="Times New Roman" w:eastAsia="楷体_GB2312" w:cs="Times New Roman"/>
          <w:b/>
          <w:color w:val="auto"/>
          <w:sz w:val="32"/>
          <w:szCs w:val="32"/>
        </w:rPr>
      </w:pPr>
      <w:r>
        <w:rPr>
          <w:rFonts w:ascii="Times New Roman" w:hAnsi="Times New Roman" w:eastAsia="楷体_GB2312" w:cs="Times New Roman"/>
          <w:b/>
          <w:color w:val="auto"/>
          <w:sz w:val="32"/>
          <w:szCs w:val="32"/>
        </w:rPr>
        <w:t>（二）地点</w:t>
      </w:r>
      <w:r>
        <w:rPr>
          <w:rFonts w:hint="eastAsia" w:ascii="Times New Roman" w:hAnsi="Times New Roman" w:eastAsia="楷体_GB2312" w:cs="Times New Roman"/>
          <w:b/>
          <w:color w:val="auto"/>
          <w:sz w:val="32"/>
          <w:szCs w:val="32"/>
        </w:rPr>
        <w:t>：</w:t>
      </w:r>
      <w:r>
        <w:rPr>
          <w:rFonts w:hint="eastAsia" w:ascii="Times New Roman" w:hAnsi="Times New Roman" w:eastAsia="仿宋_GB2312" w:cs="Times New Roman"/>
          <w:color w:val="auto"/>
          <w:sz w:val="32"/>
          <w:szCs w:val="32"/>
        </w:rPr>
        <w:t>杭州萧山技师学院</w:t>
      </w:r>
    </w:p>
    <w:p>
      <w:pPr>
        <w:adjustRightInd w:val="0"/>
        <w:ind w:firstLine="640" w:firstLineChars="200"/>
        <w:rPr>
          <w:rFonts w:ascii="Times New Roman" w:hAnsi="Times New Roman" w:eastAsia="仿宋_GB2312" w:cs="仿宋_GB2312"/>
          <w:color w:val="auto"/>
          <w:sz w:val="32"/>
          <w:szCs w:val="32"/>
        </w:rPr>
      </w:pPr>
      <w:r>
        <w:rPr>
          <w:rFonts w:hint="eastAsia" w:ascii="Times New Roman" w:hAnsi="Times New Roman" w:eastAsia="黑体" w:cs="Times New Roman"/>
          <w:color w:val="auto"/>
          <w:sz w:val="32"/>
          <w:szCs w:val="32"/>
          <w:lang w:eastAsia="zh-CN"/>
        </w:rPr>
        <w:t>二</w:t>
      </w:r>
      <w:r>
        <w:rPr>
          <w:rFonts w:hint="eastAsia" w:ascii="Times New Roman" w:hAnsi="Times New Roman" w:eastAsia="黑体" w:cs="Times New Roman"/>
          <w:color w:val="auto"/>
          <w:sz w:val="32"/>
          <w:szCs w:val="32"/>
        </w:rPr>
        <w:t>、大赛主题</w:t>
      </w:r>
    </w:p>
    <w:p>
      <w:pPr>
        <w:adjustRightInd w:val="0"/>
        <w:ind w:firstLine="640" w:firstLineChars="200"/>
        <w:rPr>
          <w:rFonts w:ascii="Times New Roman" w:hAnsi="Times New Roman" w:eastAsia="仿宋_GB2312" w:cs="仿宋_GB2312"/>
          <w:color w:val="auto"/>
          <w:sz w:val="32"/>
          <w:szCs w:val="32"/>
        </w:rPr>
      </w:pPr>
      <w:r>
        <w:rPr>
          <w:rFonts w:hint="eastAsia" w:ascii="Times New Roman" w:hAnsi="Times New Roman" w:eastAsia="仿宋_GB2312" w:cs="仿宋_GB2312"/>
          <w:color w:val="auto"/>
          <w:sz w:val="32"/>
          <w:szCs w:val="32"/>
        </w:rPr>
        <w:t>德才双馨展风采、工学一体育英才</w:t>
      </w:r>
    </w:p>
    <w:p>
      <w:pPr>
        <w:adjustRightInd w:val="0"/>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三</w:t>
      </w:r>
      <w:r>
        <w:rPr>
          <w:rFonts w:ascii="Times New Roman" w:hAnsi="Times New Roman" w:eastAsia="黑体" w:cs="Times New Roman"/>
          <w:color w:val="auto"/>
          <w:sz w:val="32"/>
          <w:szCs w:val="32"/>
        </w:rPr>
        <w:t>、组织</w:t>
      </w:r>
      <w:r>
        <w:rPr>
          <w:rFonts w:hint="eastAsia" w:ascii="Times New Roman" w:hAnsi="Times New Roman" w:eastAsia="黑体" w:cs="Times New Roman"/>
          <w:color w:val="auto"/>
          <w:sz w:val="32"/>
          <w:szCs w:val="32"/>
        </w:rPr>
        <w:t>单位和机构</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（一）主办</w:t>
      </w:r>
      <w:r>
        <w:rPr>
          <w:rFonts w:hint="eastAsia" w:ascii="Times New Roman" w:hAnsi="Times New Roman" w:eastAsia="楷体_GB2312" w:cs="Times New Roman"/>
          <w:b/>
          <w:color w:val="auto"/>
          <w:sz w:val="32"/>
          <w:szCs w:val="32"/>
        </w:rPr>
        <w:t>、</w:t>
      </w:r>
      <w:r>
        <w:rPr>
          <w:rFonts w:ascii="Times New Roman" w:hAnsi="Times New Roman" w:eastAsia="楷体_GB2312" w:cs="Times New Roman"/>
          <w:b/>
          <w:color w:val="auto"/>
          <w:sz w:val="32"/>
          <w:szCs w:val="32"/>
        </w:rPr>
        <w:t>承办</w:t>
      </w:r>
      <w:r>
        <w:rPr>
          <w:rFonts w:hint="eastAsia" w:ascii="Times New Roman" w:hAnsi="Times New Roman" w:eastAsia="楷体_GB2312" w:cs="Times New Roman"/>
          <w:b/>
          <w:color w:val="auto"/>
          <w:sz w:val="32"/>
          <w:szCs w:val="32"/>
        </w:rPr>
        <w:t>、协办</w:t>
      </w:r>
      <w:r>
        <w:rPr>
          <w:rFonts w:ascii="Times New Roman" w:hAnsi="Times New Roman" w:eastAsia="楷体_GB2312" w:cs="Times New Roman"/>
          <w:b/>
          <w:color w:val="auto"/>
          <w:sz w:val="32"/>
          <w:szCs w:val="32"/>
        </w:rPr>
        <w:t>单位</w:t>
      </w:r>
      <w:r>
        <w:rPr>
          <w:rFonts w:hint="eastAsia" w:ascii="Times New Roman" w:hAnsi="Times New Roman" w:eastAsia="楷体_GB2312" w:cs="Times New Roman"/>
          <w:b/>
          <w:color w:val="auto"/>
          <w:sz w:val="32"/>
          <w:szCs w:val="32"/>
        </w:rPr>
        <w:t>。</w:t>
      </w:r>
      <w:r>
        <w:rPr>
          <w:rFonts w:hint="eastAsia" w:ascii="Times New Roman" w:hAnsi="Times New Roman" w:eastAsia="仿宋_GB2312" w:cs="Times New Roman"/>
          <w:color w:val="auto"/>
          <w:sz w:val="32"/>
          <w:szCs w:val="32"/>
        </w:rPr>
        <w:t>本次大赛由</w:t>
      </w:r>
      <w:r>
        <w:rPr>
          <w:rFonts w:ascii="Times New Roman" w:hAnsi="Times New Roman" w:eastAsia="仿宋_GB2312" w:cs="Times New Roman"/>
          <w:color w:val="auto"/>
          <w:sz w:val="32"/>
          <w:szCs w:val="32"/>
        </w:rPr>
        <w:t>人力资源社会保障部</w:t>
      </w:r>
      <w:r>
        <w:rPr>
          <w:rFonts w:hint="eastAsia" w:ascii="Times New Roman" w:hAnsi="Times New Roman" w:eastAsia="仿宋_GB2312" w:cs="Times New Roman"/>
          <w:color w:val="auto"/>
          <w:sz w:val="32"/>
          <w:szCs w:val="32"/>
        </w:rPr>
        <w:t>主办，</w:t>
      </w:r>
      <w:r>
        <w:rPr>
          <w:rFonts w:ascii="Times New Roman" w:hAnsi="Times New Roman" w:eastAsia="仿宋_GB2312" w:cs="Times New Roman"/>
          <w:color w:val="auto"/>
          <w:sz w:val="32"/>
          <w:szCs w:val="32"/>
        </w:rPr>
        <w:t>中国人力资源和社会保障出版集团</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浙江省人力资源和社会保障厅</w:t>
      </w:r>
      <w:r>
        <w:rPr>
          <w:rFonts w:hint="eastAsia" w:ascii="Times New Roman" w:hAnsi="Times New Roman" w:eastAsia="仿宋_GB2312" w:cs="Times New Roman"/>
          <w:color w:val="auto"/>
          <w:sz w:val="32"/>
          <w:szCs w:val="32"/>
        </w:rPr>
        <w:t>承办，杭州萧山技师学院协办。</w:t>
      </w:r>
    </w:p>
    <w:p>
      <w:pPr>
        <w:adjustRightInd w:val="0"/>
        <w:ind w:firstLine="643" w:firstLineChars="200"/>
        <w:rPr>
          <w:rFonts w:ascii="Times New Roman" w:hAnsi="Times New Roman" w:eastAsia="仿宋_GB2312" w:cs="Times New Roman"/>
          <w:color w:val="auto"/>
          <w:sz w:val="32"/>
          <w:szCs w:val="32"/>
        </w:rPr>
      </w:pPr>
      <w:r>
        <w:rPr>
          <w:rFonts w:hint="eastAsia" w:ascii="Times New Roman" w:hAnsi="Times New Roman" w:eastAsia="楷体_GB2312" w:cs="楷体_GB2312"/>
          <w:b/>
          <w:bCs/>
          <w:color w:val="auto"/>
          <w:sz w:val="32"/>
          <w:szCs w:val="32"/>
        </w:rPr>
        <w:t>（二）组织机构。</w:t>
      </w:r>
      <w:r>
        <w:rPr>
          <w:rFonts w:ascii="Times New Roman" w:hAnsi="Times New Roman" w:eastAsia="仿宋_GB2312" w:cs="Times New Roman"/>
          <w:color w:val="auto"/>
          <w:sz w:val="32"/>
          <w:szCs w:val="32"/>
        </w:rPr>
        <w:t>成立大赛工作领导小组，由人力资源社会保障部职业能力建设司主要负责同志任组长，人力资源社会保障部职业能力建设司、</w:t>
      </w:r>
      <w:r>
        <w:rPr>
          <w:rFonts w:ascii="Times New Roman" w:hAnsi="Times New Roman" w:eastAsia="仿宋_GB2312" w:cs="Times New Roman"/>
          <w:snapToGrid w:val="0"/>
          <w:color w:val="auto"/>
          <w:kern w:val="0"/>
          <w:sz w:val="32"/>
          <w:szCs w:val="32"/>
        </w:rPr>
        <w:t>中国人力资源和社会保障出版集团、浙江省人力资源和社会保障厅有关</w:t>
      </w:r>
      <w:r>
        <w:rPr>
          <w:rFonts w:ascii="Times New Roman" w:hAnsi="Times New Roman" w:eastAsia="仿宋_GB2312" w:cs="Times New Roman"/>
          <w:color w:val="auto"/>
          <w:sz w:val="32"/>
          <w:szCs w:val="32"/>
        </w:rPr>
        <w:t>负责同志任副组长。大赛工作办公室</w:t>
      </w:r>
      <w:r>
        <w:rPr>
          <w:rFonts w:hint="eastAsia" w:ascii="Times New Roman" w:hAnsi="Times New Roman" w:eastAsia="仿宋_GB2312" w:cs="Times New Roman"/>
          <w:color w:val="auto"/>
          <w:sz w:val="32"/>
          <w:szCs w:val="32"/>
        </w:rPr>
        <w:t>设在中国人力资源和社会保障出版集团</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承担</w:t>
      </w:r>
      <w:r>
        <w:rPr>
          <w:rFonts w:ascii="Times New Roman" w:hAnsi="Times New Roman" w:eastAsia="仿宋_GB2312" w:cs="Times New Roman"/>
          <w:color w:val="auto"/>
          <w:sz w:val="32"/>
          <w:szCs w:val="32"/>
        </w:rPr>
        <w:t>大赛的统筹协调和组织实施等工作。</w:t>
      </w:r>
    </w:p>
    <w:p>
      <w:pPr>
        <w:adjustRightInd w:val="0"/>
        <w:ind w:firstLine="640" w:firstLineChars="200"/>
        <w:rPr>
          <w:rFonts w:ascii="Times New Roman" w:hAnsi="Times New Roman" w:eastAsia="楷体_GB2312" w:cs="Times New Roman"/>
          <w:b/>
          <w:color w:val="auto"/>
          <w:sz w:val="32"/>
          <w:szCs w:val="32"/>
        </w:rPr>
      </w:pPr>
      <w:r>
        <w:rPr>
          <w:rFonts w:hint="eastAsia" w:ascii="Times New Roman" w:hAnsi="Times New Roman" w:eastAsia="黑体" w:cs="Times New Roman"/>
          <w:color w:val="auto"/>
          <w:sz w:val="32"/>
          <w:szCs w:val="32"/>
          <w:lang w:eastAsia="zh-CN"/>
        </w:rPr>
        <w:t>四</w:t>
      </w:r>
      <w:r>
        <w:rPr>
          <w:rFonts w:ascii="Times New Roman" w:hAnsi="Times New Roman" w:eastAsia="黑体" w:cs="Times New Roman"/>
          <w:color w:val="auto"/>
          <w:sz w:val="32"/>
          <w:szCs w:val="32"/>
        </w:rPr>
        <w:t>、参赛对象</w:t>
      </w:r>
    </w:p>
    <w:p>
      <w:pPr>
        <w:adjustRightInd w:val="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参赛选手须是技工院校在职教师，且未在往届全国技工院校教师职业能力大赛全国赛中获得三等奖及以上奖项。参赛选手由所在学校出具证明，各参赛省级人力资源社会保障部门负责初审，</w:t>
      </w:r>
      <w:r>
        <w:rPr>
          <w:rFonts w:hint="eastAsia" w:ascii="Times New Roman" w:hAnsi="Times New Roman" w:eastAsia="仿宋_GB2312" w:cs="Times New Roman"/>
          <w:color w:val="auto"/>
          <w:spacing w:val="-6"/>
          <w:sz w:val="32"/>
          <w:szCs w:val="32"/>
        </w:rPr>
        <w:t>大赛工作办公室负责复审。每个大赛类别每省份限报1名选手参赛。</w:t>
      </w:r>
    </w:p>
    <w:p>
      <w:pPr>
        <w:adjustRightInd w:val="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“三区三州”及52个未摘帽贫困县相关省份（具体为：广西、四川、贵州、云南、西藏、甘肃、青海、</w:t>
      </w:r>
      <w:r>
        <w:rPr>
          <w:rFonts w:hint="eastAsia" w:ascii="Times New Roman" w:hAnsi="Times New Roman" w:eastAsia="仿宋_GB2312" w:cs="Times New Roman"/>
          <w:color w:val="auto"/>
          <w:sz w:val="32"/>
          <w:szCs w:val="32"/>
          <w:lang w:eastAsia="zh-CN"/>
        </w:rPr>
        <w:t>宁夏、</w:t>
      </w:r>
      <w:r>
        <w:rPr>
          <w:rFonts w:hint="eastAsia" w:ascii="Times New Roman" w:hAnsi="Times New Roman" w:eastAsia="仿宋_GB2312" w:cs="Times New Roman"/>
          <w:color w:val="auto"/>
          <w:sz w:val="32"/>
          <w:szCs w:val="32"/>
        </w:rPr>
        <w:t>新疆、兵团）</w:t>
      </w:r>
      <w:r>
        <w:rPr>
          <w:rFonts w:hint="eastAsia" w:ascii="Times New Roman" w:hAnsi="Times New Roman" w:eastAsia="仿宋_GB2312" w:cs="仿宋_GB2312"/>
          <w:sz w:val="32"/>
          <w:szCs w:val="32"/>
          <w:lang w:val="en-US" w:eastAsia="zh-CN"/>
        </w:rPr>
        <w:t>增加1个参赛名额</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可</w:t>
      </w:r>
      <w:r>
        <w:rPr>
          <w:rFonts w:hint="eastAsia" w:ascii="Times New Roman" w:hAnsi="Times New Roman" w:eastAsia="仿宋_GB2312" w:cs="仿宋_GB2312"/>
          <w:sz w:val="32"/>
          <w:szCs w:val="32"/>
          <w:lang w:eastAsia="zh-CN"/>
        </w:rPr>
        <w:t>优先考虑在脱贫攻坚中作出突出贡献的教师或支教教师，</w:t>
      </w:r>
      <w:r>
        <w:rPr>
          <w:rFonts w:hint="eastAsia" w:ascii="Times New Roman" w:hAnsi="Times New Roman" w:eastAsia="仿宋_GB2312" w:cs="Times New Roman"/>
          <w:color w:val="auto"/>
          <w:sz w:val="32"/>
          <w:szCs w:val="32"/>
        </w:rPr>
        <w:t>不限</w:t>
      </w:r>
      <w:r>
        <w:rPr>
          <w:rFonts w:hint="eastAsia" w:ascii="Times New Roman" w:hAnsi="Times New Roman" w:eastAsia="仿宋_GB2312" w:cs="Times New Roman"/>
          <w:color w:val="auto"/>
          <w:sz w:val="32"/>
          <w:szCs w:val="32"/>
          <w:lang w:eastAsia="zh-CN"/>
        </w:rPr>
        <w:t>参</w:t>
      </w:r>
      <w:r>
        <w:rPr>
          <w:rFonts w:hint="eastAsia" w:ascii="Times New Roman" w:hAnsi="Times New Roman" w:eastAsia="仿宋_GB2312" w:cs="Times New Roman"/>
          <w:color w:val="auto"/>
          <w:sz w:val="32"/>
          <w:szCs w:val="32"/>
        </w:rPr>
        <w:t>赛类别。</w:t>
      </w:r>
    </w:p>
    <w:p>
      <w:pPr>
        <w:adjustRightInd w:val="0"/>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五</w:t>
      </w:r>
      <w:r>
        <w:rPr>
          <w:rFonts w:ascii="Times New Roman" w:hAnsi="Times New Roman" w:eastAsia="黑体" w:cs="Times New Roman"/>
          <w:color w:val="auto"/>
          <w:sz w:val="32"/>
          <w:szCs w:val="32"/>
        </w:rPr>
        <w:t>、大赛类别</w:t>
      </w:r>
    </w:p>
    <w:p>
      <w:pPr>
        <w:adjustRightInd w:val="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大赛设9大类别：（一）公共类；（二）机械类；（三）电工电子类；（四）信息类；（五）交通类；（六）服务类；（七）财经商贸类；（八）工业综合与农业类；（九）文化艺术与综合类。</w:t>
      </w:r>
    </w:p>
    <w:p>
      <w:pPr>
        <w:adjustRightInd w:val="0"/>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各类别所含专业（课程）见《大赛类别与专业（课程）对应关系表》（见附件1）。</w:t>
      </w:r>
    </w:p>
    <w:p>
      <w:pPr>
        <w:adjustRightInd w:val="0"/>
        <w:ind w:firstLine="640" w:firstLineChars="200"/>
        <w:rPr>
          <w:rFonts w:ascii="Times New Roman" w:hAnsi="Times New Roman" w:eastAsia="楷体_GB2312" w:cs="Times New Roman"/>
          <w:b/>
          <w:color w:val="auto"/>
          <w:sz w:val="32"/>
          <w:szCs w:val="32"/>
        </w:rPr>
      </w:pPr>
      <w:r>
        <w:rPr>
          <w:rFonts w:hint="eastAsia" w:ascii="Times New Roman" w:hAnsi="Times New Roman" w:eastAsia="黑体" w:cs="Times New Roman"/>
          <w:color w:val="auto"/>
          <w:sz w:val="32"/>
          <w:szCs w:val="32"/>
          <w:lang w:eastAsia="zh-CN"/>
        </w:rPr>
        <w:t>六</w:t>
      </w:r>
      <w:r>
        <w:rPr>
          <w:rFonts w:ascii="Times New Roman" w:hAnsi="Times New Roman" w:eastAsia="黑体" w:cs="Times New Roman"/>
          <w:color w:val="auto"/>
          <w:sz w:val="32"/>
          <w:szCs w:val="32"/>
        </w:rPr>
        <w:t>、大赛内容</w:t>
      </w:r>
    </w:p>
    <w:p>
      <w:pPr>
        <w:adjustRightInd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大赛内容包括教学设计、说课与答辩两部分</w:t>
      </w:r>
      <w:r>
        <w:rPr>
          <w:rFonts w:hint="eastAsia" w:ascii="Times New Roman" w:hAnsi="Times New Roman" w:eastAsia="仿宋_GB2312" w:cs="Times New Roman"/>
          <w:color w:val="auto"/>
          <w:sz w:val="32"/>
          <w:szCs w:val="32"/>
        </w:rPr>
        <w:t>（评审办法见附件</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教学设计：</w:t>
      </w:r>
      <w:r>
        <w:rPr>
          <w:rFonts w:ascii="Times New Roman" w:hAnsi="Times New Roman" w:eastAsia="仿宋_GB2312" w:cs="Times New Roman"/>
          <w:color w:val="auto"/>
          <w:sz w:val="32"/>
          <w:szCs w:val="32"/>
        </w:rPr>
        <w:t>可选取相对独立、完整的人文素质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职业活动或一体化课程学习任务的某一具有典型性的内容，以文本（教学设计参考模板见附件</w:t>
      </w:r>
      <w:r>
        <w:rPr>
          <w:rFonts w:hint="eastAsia" w:ascii="Times New Roman" w:hAnsi="Times New Roman" w:eastAsia="仿宋_GB2312" w:cs="Times New Roman"/>
          <w:color w:val="auto"/>
          <w:sz w:val="32"/>
          <w:szCs w:val="32"/>
        </w:rPr>
        <w:t>3</w:t>
      </w:r>
      <w:r>
        <w:rPr>
          <w:rFonts w:ascii="Times New Roman" w:hAnsi="Times New Roman" w:eastAsia="仿宋_GB2312" w:cs="Times New Roman"/>
          <w:color w:val="auto"/>
          <w:sz w:val="32"/>
          <w:szCs w:val="32"/>
        </w:rPr>
        <w:t>）及教学视频（时长不超过</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分钟）形式提交。</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仿宋_GB2312" w:cs="Times New Roman"/>
          <w:b/>
          <w:color w:val="auto"/>
          <w:sz w:val="32"/>
          <w:szCs w:val="32"/>
        </w:rPr>
        <w:t>说课与答辩：</w:t>
      </w:r>
      <w:r>
        <w:rPr>
          <w:rFonts w:ascii="Times New Roman" w:hAnsi="Times New Roman" w:eastAsia="仿宋_GB2312" w:cs="Times New Roman"/>
          <w:color w:val="auto"/>
          <w:sz w:val="32"/>
          <w:szCs w:val="32"/>
        </w:rPr>
        <w:t>以教学设计文本为基础，结合多媒体课件、教学视频进行现场说课与答辩，其中说课10分钟，答辩4分钟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评审专家对每位选手提</w:t>
      </w:r>
      <w:r>
        <w:rPr>
          <w:rFonts w:hint="eastAsia" w:ascii="Times New Roman" w:hAnsi="Times New Roman" w:eastAsia="仿宋_GB2312" w:cs="Times New Roman"/>
          <w:color w:val="auto"/>
          <w:sz w:val="32"/>
          <w:szCs w:val="32"/>
        </w:rPr>
        <w:t>专业类和教学类2类问题，提问时间不计入答辩时间。</w:t>
      </w:r>
    </w:p>
    <w:p>
      <w:pPr>
        <w:adjustRightInd w:val="0"/>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七</w:t>
      </w:r>
      <w:r>
        <w:rPr>
          <w:rFonts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rPr>
        <w:t>工作</w:t>
      </w:r>
      <w:r>
        <w:rPr>
          <w:rFonts w:ascii="Times New Roman" w:hAnsi="Times New Roman" w:eastAsia="黑体" w:cs="Times New Roman"/>
          <w:color w:val="auto"/>
          <w:sz w:val="32"/>
          <w:szCs w:val="32"/>
        </w:rPr>
        <w:t>安排</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w:t>
      </w:r>
      <w:r>
        <w:rPr>
          <w:rFonts w:hint="eastAsia" w:ascii="Times New Roman" w:hAnsi="Times New Roman" w:eastAsia="楷体_GB2312" w:cs="Times New Roman"/>
          <w:b/>
          <w:color w:val="auto"/>
          <w:sz w:val="32"/>
          <w:szCs w:val="32"/>
        </w:rPr>
        <w:t>安排部署工作</w:t>
      </w:r>
      <w:r>
        <w:rPr>
          <w:rFonts w:ascii="Times New Roman" w:hAnsi="Times New Roman" w:eastAsia="楷体_GB2312" w:cs="Times New Roman"/>
          <w:b/>
          <w:color w:val="auto"/>
          <w:sz w:val="32"/>
          <w:szCs w:val="32"/>
        </w:rPr>
        <w:t>（2020年</w:t>
      </w:r>
      <w:r>
        <w:rPr>
          <w:rFonts w:hint="eastAsia" w:ascii="Times New Roman" w:hAnsi="Times New Roman" w:eastAsia="楷体_GB2312" w:cs="Times New Roman"/>
          <w:b/>
          <w:color w:val="auto"/>
          <w:sz w:val="32"/>
          <w:szCs w:val="32"/>
        </w:rPr>
        <w:t>7</w:t>
      </w:r>
      <w:r>
        <w:rPr>
          <w:rFonts w:ascii="Times New Roman" w:hAnsi="Times New Roman" w:eastAsia="楷体_GB2312" w:cs="Times New Roman"/>
          <w:b/>
          <w:color w:val="auto"/>
          <w:sz w:val="32"/>
          <w:szCs w:val="32"/>
        </w:rPr>
        <w:t>月）。</w:t>
      </w:r>
      <w:r>
        <w:rPr>
          <w:rFonts w:ascii="Times New Roman" w:hAnsi="Times New Roman" w:eastAsia="仿宋_GB2312" w:cs="Times New Roman"/>
          <w:color w:val="auto"/>
          <w:sz w:val="32"/>
          <w:szCs w:val="32"/>
        </w:rPr>
        <w:t>印发大赛通知，</w:t>
      </w:r>
      <w:r>
        <w:rPr>
          <w:rFonts w:hint="eastAsia" w:ascii="Times New Roman" w:hAnsi="Times New Roman" w:eastAsia="仿宋_GB2312" w:cs="Times New Roman"/>
          <w:color w:val="auto"/>
          <w:sz w:val="32"/>
          <w:szCs w:val="32"/>
        </w:rPr>
        <w:t>组织各省级</w:t>
      </w:r>
      <w:r>
        <w:rPr>
          <w:rFonts w:ascii="Times New Roman" w:hAnsi="Times New Roman" w:eastAsia="仿宋_GB2312" w:cs="Times New Roman"/>
          <w:color w:val="auto"/>
          <w:sz w:val="32"/>
          <w:szCs w:val="32"/>
        </w:rPr>
        <w:t>人力资源社会保障</w:t>
      </w:r>
      <w:r>
        <w:rPr>
          <w:rFonts w:hint="eastAsia" w:ascii="Times New Roman" w:hAnsi="Times New Roman" w:eastAsia="仿宋_GB2312" w:cs="Times New Roman"/>
          <w:color w:val="auto"/>
          <w:sz w:val="32"/>
          <w:szCs w:val="32"/>
        </w:rPr>
        <w:t>部门有关同志参加</w:t>
      </w:r>
      <w:r>
        <w:rPr>
          <w:rFonts w:ascii="Times New Roman" w:hAnsi="Times New Roman" w:eastAsia="仿宋_GB2312" w:cs="Times New Roman"/>
          <w:color w:val="auto"/>
          <w:sz w:val="32"/>
          <w:szCs w:val="32"/>
        </w:rPr>
        <w:t>大赛工作部署会（具体通知另发），培训大赛组织流程和规则。</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w:t>
      </w:r>
      <w:r>
        <w:rPr>
          <w:rFonts w:hint="eastAsia" w:ascii="Times New Roman" w:hAnsi="Times New Roman" w:eastAsia="楷体_GB2312" w:cs="Times New Roman"/>
          <w:b/>
          <w:color w:val="auto"/>
          <w:sz w:val="32"/>
          <w:szCs w:val="32"/>
        </w:rPr>
        <w:t>省赛选拔选手</w:t>
      </w:r>
      <w:r>
        <w:rPr>
          <w:rFonts w:ascii="Times New Roman" w:hAnsi="Times New Roman" w:eastAsia="楷体_GB2312" w:cs="Times New Roman"/>
          <w:b/>
          <w:color w:val="auto"/>
          <w:sz w:val="32"/>
          <w:szCs w:val="32"/>
        </w:rPr>
        <w:t>（2020年</w:t>
      </w:r>
      <w:r>
        <w:rPr>
          <w:rFonts w:hint="eastAsia" w:ascii="Times New Roman" w:hAnsi="Times New Roman" w:eastAsia="楷体_GB2312" w:cs="Times New Roman"/>
          <w:b/>
          <w:color w:val="auto"/>
          <w:sz w:val="32"/>
          <w:szCs w:val="32"/>
        </w:rPr>
        <w:t>7—</w:t>
      </w:r>
      <w:r>
        <w:rPr>
          <w:rFonts w:hint="eastAsia" w:ascii="Times New Roman" w:hAnsi="Times New Roman" w:eastAsia="楷体_GB2312" w:cs="Times New Roman"/>
          <w:b/>
          <w:color w:val="auto"/>
          <w:sz w:val="32"/>
          <w:szCs w:val="32"/>
          <w:lang w:val="en-US" w:eastAsia="zh-CN"/>
        </w:rPr>
        <w:t>9</w:t>
      </w:r>
      <w:r>
        <w:rPr>
          <w:rFonts w:ascii="Times New Roman" w:hAnsi="Times New Roman" w:eastAsia="楷体_GB2312" w:cs="Times New Roman"/>
          <w:b/>
          <w:color w:val="auto"/>
          <w:sz w:val="32"/>
          <w:szCs w:val="32"/>
        </w:rPr>
        <w:t>月）。</w:t>
      </w:r>
      <w:r>
        <w:rPr>
          <w:rFonts w:ascii="Times New Roman" w:hAnsi="Times New Roman" w:eastAsia="仿宋_GB2312" w:cs="Times New Roman"/>
          <w:color w:val="auto"/>
          <w:sz w:val="32"/>
          <w:szCs w:val="32"/>
        </w:rPr>
        <w:t>各省级人力资源社会保障部门组织开展</w:t>
      </w:r>
      <w:r>
        <w:rPr>
          <w:rFonts w:hint="eastAsia" w:ascii="Times New Roman" w:hAnsi="Times New Roman" w:eastAsia="仿宋_GB2312" w:cs="Times New Roman"/>
          <w:color w:val="auto"/>
          <w:sz w:val="32"/>
          <w:szCs w:val="32"/>
        </w:rPr>
        <w:t>省级赛事</w:t>
      </w:r>
      <w:r>
        <w:rPr>
          <w:rFonts w:ascii="Times New Roman" w:hAnsi="Times New Roman" w:eastAsia="仿宋_GB2312" w:cs="Times New Roman"/>
          <w:color w:val="auto"/>
          <w:sz w:val="32"/>
          <w:szCs w:val="32"/>
        </w:rPr>
        <w:t>，确定</w:t>
      </w:r>
      <w:r>
        <w:rPr>
          <w:rFonts w:hint="eastAsia" w:ascii="Times New Roman" w:hAnsi="Times New Roman" w:eastAsia="仿宋_GB2312" w:cs="Times New Roman"/>
          <w:color w:val="auto"/>
          <w:sz w:val="32"/>
          <w:szCs w:val="32"/>
        </w:rPr>
        <w:t>大</w:t>
      </w:r>
      <w:r>
        <w:rPr>
          <w:rFonts w:ascii="Times New Roman" w:hAnsi="Times New Roman" w:eastAsia="仿宋_GB2312" w:cs="Times New Roman"/>
          <w:color w:val="auto"/>
          <w:sz w:val="32"/>
          <w:szCs w:val="32"/>
        </w:rPr>
        <w:t>赛参赛选手</w:t>
      </w:r>
      <w:r>
        <w:rPr>
          <w:rFonts w:hint="eastAsia" w:ascii="Times New Roman" w:hAnsi="Times New Roman" w:eastAsia="仿宋_GB2312" w:cs="Times New Roman"/>
          <w:color w:val="auto"/>
          <w:sz w:val="32"/>
          <w:szCs w:val="32"/>
        </w:rPr>
        <w:t>、作品，</w:t>
      </w:r>
      <w:r>
        <w:rPr>
          <w:rFonts w:ascii="Times New Roman" w:hAnsi="Times New Roman" w:eastAsia="仿宋_GB2312" w:cs="Times New Roman"/>
          <w:color w:val="auto"/>
          <w:sz w:val="32"/>
          <w:szCs w:val="32"/>
        </w:rPr>
        <w:t>并推荐评审专家人选</w:t>
      </w:r>
      <w:r>
        <w:rPr>
          <w:rFonts w:hint="eastAsia" w:ascii="Times New Roman" w:hAnsi="Times New Roman" w:eastAsia="仿宋_GB2312" w:cs="Times New Roman"/>
          <w:color w:val="auto"/>
          <w:sz w:val="32"/>
          <w:szCs w:val="32"/>
        </w:rPr>
        <w:t>（推荐办法见附件4）</w:t>
      </w:r>
      <w:r>
        <w:rPr>
          <w:rFonts w:ascii="Times New Roman" w:hAnsi="Times New Roman" w:eastAsia="仿宋_GB2312" w:cs="Times New Roman"/>
          <w:color w:val="auto"/>
          <w:sz w:val="32"/>
          <w:szCs w:val="32"/>
        </w:rPr>
        <w:t>，9月</w:t>
      </w:r>
      <w:r>
        <w:rPr>
          <w:rFonts w:hint="eastAsia" w:ascii="Times New Roman" w:hAnsi="Times New Roman" w:eastAsia="仿宋_GB2312" w:cs="Times New Roman"/>
          <w:color w:val="auto"/>
          <w:sz w:val="32"/>
          <w:szCs w:val="32"/>
          <w:lang w:val="en-US" w:eastAsia="zh-CN"/>
        </w:rPr>
        <w:t>30</w:t>
      </w:r>
      <w:r>
        <w:rPr>
          <w:rFonts w:ascii="Times New Roman" w:hAnsi="Times New Roman" w:eastAsia="仿宋_GB2312" w:cs="Times New Roman"/>
          <w:color w:val="auto"/>
          <w:sz w:val="32"/>
          <w:szCs w:val="32"/>
        </w:rPr>
        <w:t>日前提交参赛选手报名汇总表</w:t>
      </w:r>
      <w:r>
        <w:rPr>
          <w:rFonts w:hint="eastAsia" w:ascii="Times New Roman" w:hAnsi="Times New Roman" w:eastAsia="仿宋_GB2312" w:cs="Times New Roman"/>
          <w:color w:val="auto"/>
          <w:sz w:val="32"/>
          <w:szCs w:val="32"/>
          <w:lang w:eastAsia="zh-CN"/>
        </w:rPr>
        <w:t>，参赛选手的教学设计文本、教学视频、说课课件，以</w:t>
      </w:r>
      <w:r>
        <w:rPr>
          <w:rFonts w:ascii="Times New Roman" w:hAnsi="Times New Roman" w:eastAsia="仿宋_GB2312" w:cs="Times New Roman"/>
          <w:color w:val="auto"/>
          <w:sz w:val="32"/>
          <w:szCs w:val="32"/>
        </w:rPr>
        <w:t>及专家推荐表。</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（三）审核参赛作品（2020年10月）</w:t>
      </w:r>
      <w:r>
        <w:rPr>
          <w:rFonts w:ascii="Times New Roman" w:hAnsi="Times New Roman" w:eastAsia="楷体_GB2312" w:cs="Times New Roman"/>
          <w:color w:val="auto"/>
          <w:sz w:val="32"/>
          <w:szCs w:val="32"/>
        </w:rPr>
        <w:t>。</w:t>
      </w:r>
      <w:r>
        <w:rPr>
          <w:rFonts w:hint="eastAsia" w:ascii="Times New Roman" w:hAnsi="Times New Roman" w:eastAsia="仿宋_GB2312" w:cs="Times New Roman"/>
          <w:color w:val="auto"/>
          <w:sz w:val="32"/>
          <w:szCs w:val="32"/>
        </w:rPr>
        <w:t>大赛工作领导小组</w:t>
      </w:r>
      <w:r>
        <w:rPr>
          <w:rFonts w:ascii="Times New Roman" w:hAnsi="Times New Roman" w:eastAsia="仿宋_GB2312" w:cs="Times New Roman"/>
          <w:color w:val="auto"/>
          <w:sz w:val="32"/>
          <w:szCs w:val="32"/>
        </w:rPr>
        <w:t>对参赛作品进行规范性审核，进行脱密处理，</w:t>
      </w:r>
      <w:r>
        <w:rPr>
          <w:rFonts w:hint="eastAsia" w:ascii="Times New Roman" w:hAnsi="Times New Roman" w:eastAsia="仿宋_GB2312" w:cs="Times New Roman"/>
          <w:color w:val="auto"/>
          <w:sz w:val="32"/>
          <w:szCs w:val="32"/>
          <w:lang w:eastAsia="zh-CN"/>
        </w:rPr>
        <w:t>并</w:t>
      </w:r>
      <w:r>
        <w:rPr>
          <w:rFonts w:ascii="Times New Roman" w:hAnsi="Times New Roman" w:eastAsia="仿宋_GB2312" w:cs="Times New Roman"/>
          <w:color w:val="auto"/>
          <w:sz w:val="32"/>
          <w:szCs w:val="32"/>
        </w:rPr>
        <w:t>确定评审专家。</w:t>
      </w:r>
    </w:p>
    <w:p>
      <w:pPr>
        <w:adjustRightInd w:val="0"/>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（四）</w:t>
      </w:r>
      <w:r>
        <w:rPr>
          <w:rFonts w:hint="eastAsia" w:ascii="Times New Roman" w:hAnsi="Times New Roman" w:eastAsia="楷体_GB2312" w:cs="Times New Roman"/>
          <w:b/>
          <w:color w:val="auto"/>
          <w:sz w:val="32"/>
          <w:szCs w:val="32"/>
        </w:rPr>
        <w:t>举行大</w:t>
      </w:r>
      <w:r>
        <w:rPr>
          <w:rFonts w:ascii="Times New Roman" w:hAnsi="Times New Roman" w:eastAsia="楷体_GB2312" w:cs="Times New Roman"/>
          <w:b/>
          <w:color w:val="auto"/>
          <w:sz w:val="32"/>
          <w:szCs w:val="32"/>
        </w:rPr>
        <w:t>赛（2020年11月）。</w:t>
      </w:r>
      <w:r>
        <w:rPr>
          <w:rFonts w:hint="eastAsia" w:ascii="Times New Roman" w:hAnsi="Times New Roman" w:eastAsia="仿宋_GB2312" w:cs="Times New Roman"/>
          <w:color w:val="auto"/>
          <w:sz w:val="32"/>
          <w:szCs w:val="32"/>
        </w:rPr>
        <w:t>赛前</w:t>
      </w:r>
      <w:r>
        <w:rPr>
          <w:rFonts w:ascii="Times New Roman" w:hAnsi="Times New Roman" w:eastAsia="仿宋_GB2312" w:cs="Times New Roman"/>
          <w:color w:val="auto"/>
          <w:sz w:val="32"/>
          <w:szCs w:val="32"/>
        </w:rPr>
        <w:t>培训评审专家</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评审教学设计，组织教师</w:t>
      </w:r>
      <w:r>
        <w:rPr>
          <w:rFonts w:hint="eastAsia" w:ascii="Times New Roman" w:hAnsi="Times New Roman" w:eastAsia="仿宋_GB2312" w:cs="Times New Roman"/>
          <w:color w:val="auto"/>
          <w:sz w:val="32"/>
          <w:szCs w:val="32"/>
        </w:rPr>
        <w:t>现场</w:t>
      </w:r>
      <w:r>
        <w:rPr>
          <w:rFonts w:ascii="Times New Roman" w:hAnsi="Times New Roman" w:eastAsia="仿宋_GB2312" w:cs="Times New Roman"/>
          <w:color w:val="auto"/>
          <w:sz w:val="32"/>
          <w:szCs w:val="32"/>
        </w:rPr>
        <w:t>说课与答辩</w:t>
      </w:r>
      <w:r>
        <w:rPr>
          <w:rFonts w:hint="eastAsia" w:ascii="Times New Roman" w:hAnsi="Times New Roman" w:eastAsia="仿宋_GB2312" w:cs="Times New Roman"/>
          <w:color w:val="auto"/>
          <w:sz w:val="32"/>
          <w:szCs w:val="32"/>
        </w:rPr>
        <w:t>并进行</w:t>
      </w:r>
      <w:r>
        <w:rPr>
          <w:rFonts w:ascii="Times New Roman" w:hAnsi="Times New Roman" w:eastAsia="仿宋_GB2312" w:cs="Times New Roman"/>
          <w:color w:val="auto"/>
          <w:sz w:val="32"/>
          <w:szCs w:val="32"/>
        </w:rPr>
        <w:t>评审</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举行大赛闭幕式，为获奖选手颁奖。</w:t>
      </w:r>
    </w:p>
    <w:p>
      <w:pPr>
        <w:adjustRightInd w:val="0"/>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八</w:t>
      </w:r>
      <w:r>
        <w:rPr>
          <w:rFonts w:ascii="Times New Roman" w:hAnsi="Times New Roman" w:eastAsia="黑体" w:cs="Times New Roman"/>
          <w:color w:val="auto"/>
          <w:sz w:val="32"/>
          <w:szCs w:val="32"/>
        </w:rPr>
        <w:t>、奖项设置</w:t>
      </w:r>
    </w:p>
    <w:p>
      <w:pPr>
        <w:adjustRightInd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大赛设组织奖10个，每个</w:t>
      </w:r>
      <w:r>
        <w:rPr>
          <w:rFonts w:hint="eastAsia" w:ascii="Times New Roman" w:hAnsi="Times New Roman" w:eastAsia="仿宋_GB2312" w:cs="Times New Roman"/>
          <w:color w:val="auto"/>
          <w:sz w:val="32"/>
          <w:szCs w:val="32"/>
        </w:rPr>
        <w:t>大赛</w:t>
      </w:r>
      <w:r>
        <w:rPr>
          <w:rFonts w:ascii="Times New Roman" w:hAnsi="Times New Roman" w:eastAsia="仿宋_GB2312" w:cs="Times New Roman"/>
          <w:color w:val="auto"/>
          <w:sz w:val="32"/>
          <w:szCs w:val="32"/>
        </w:rPr>
        <w:t>类别设一等奖4人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二等奖8人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三等奖12人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优胜奖若干</w:t>
      </w:r>
      <w:r>
        <w:rPr>
          <w:rFonts w:hint="eastAsia" w:ascii="Times New Roman" w:hAnsi="Times New Roman" w:eastAsia="仿宋_GB2312" w:cs="Times New Roman"/>
          <w:color w:val="auto"/>
          <w:sz w:val="32"/>
          <w:szCs w:val="32"/>
        </w:rPr>
        <w:t>。获奖</w:t>
      </w:r>
      <w:r>
        <w:rPr>
          <w:rFonts w:ascii="Times New Roman" w:hAnsi="Times New Roman" w:eastAsia="仿宋_GB2312" w:cs="Times New Roman"/>
          <w:color w:val="auto"/>
          <w:sz w:val="32"/>
          <w:szCs w:val="32"/>
        </w:rPr>
        <w:t>证书由主办单位颁发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其中一、二、三等奖可作为参赛教师在评优评先、职称评审等方面的依据。</w:t>
      </w:r>
    </w:p>
    <w:p>
      <w:pPr>
        <w:adjustRightInd w:val="0"/>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九</w:t>
      </w:r>
      <w:r>
        <w:rPr>
          <w:rFonts w:ascii="Times New Roman" w:hAnsi="Times New Roman" w:eastAsia="黑体" w:cs="Times New Roman"/>
          <w:color w:val="auto"/>
          <w:sz w:val="32"/>
          <w:szCs w:val="32"/>
        </w:rPr>
        <w:t>、注意事项</w:t>
      </w:r>
    </w:p>
    <w:p>
      <w:pPr>
        <w:adjustRightInd w:val="0"/>
        <w:ind w:firstLine="640" w:firstLineChars="200"/>
        <w:rPr>
          <w:rFonts w:ascii="Times New Roman" w:hAnsi="Times New Roman" w:eastAsia="黑体" w:cs="Times New Roman"/>
          <w:color w:val="auto"/>
          <w:sz w:val="32"/>
          <w:szCs w:val="32"/>
        </w:rPr>
      </w:pPr>
      <w:r>
        <w:rPr>
          <w:rFonts w:hint="eastAsia" w:ascii="Times New Roman" w:hAnsi="Times New Roman" w:eastAsia="仿宋_GB2312"/>
          <w:color w:val="auto"/>
          <w:sz w:val="32"/>
          <w:szCs w:val="32"/>
        </w:rPr>
        <w:t>（一）</w:t>
      </w:r>
      <w:r>
        <w:rPr>
          <w:rFonts w:ascii="Times New Roman" w:hAnsi="Times New Roman" w:eastAsia="仿宋_GB2312"/>
          <w:color w:val="auto"/>
          <w:sz w:val="32"/>
          <w:szCs w:val="32"/>
        </w:rPr>
        <w:t>参赛作品须为原创，资料引用应注明出处。如引发知识产权异议和纠纷，责任由参赛选手承担</w:t>
      </w:r>
      <w:r>
        <w:rPr>
          <w:rFonts w:hint="eastAsia" w:ascii="Times New Roman" w:hAnsi="Times New Roman" w:eastAsia="仿宋_GB2312"/>
          <w:color w:val="auto"/>
          <w:sz w:val="32"/>
          <w:szCs w:val="32"/>
        </w:rPr>
        <w:t>，同时将取消所获荣誉</w:t>
      </w:r>
      <w:r>
        <w:rPr>
          <w:rFonts w:ascii="Times New Roman" w:hAnsi="Times New Roman" w:eastAsia="仿宋_GB2312"/>
          <w:color w:val="auto"/>
          <w:sz w:val="32"/>
          <w:szCs w:val="32"/>
        </w:rPr>
        <w:t>。</w:t>
      </w:r>
    </w:p>
    <w:p>
      <w:pPr>
        <w:adjustRightInd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二</w:t>
      </w:r>
      <w:r>
        <w:rPr>
          <w:rFonts w:ascii="Times New Roman" w:hAnsi="Times New Roman" w:eastAsia="仿宋_GB2312" w:cs="Times New Roman"/>
          <w:color w:val="auto"/>
          <w:sz w:val="32"/>
          <w:szCs w:val="32"/>
        </w:rPr>
        <w:t>）本次大赛的报名和电子版资料报送均通过技工教育网（</w:t>
      </w:r>
      <w:r>
        <w:rPr>
          <w:rFonts w:ascii="Times New Roman" w:hAnsi="Times New Roman"/>
          <w:color w:val="auto"/>
        </w:rPr>
        <w:fldChar w:fldCharType="begin"/>
      </w:r>
      <w:r>
        <w:rPr>
          <w:rFonts w:ascii="Times New Roman" w:hAnsi="Times New Roman"/>
          <w:color w:val="auto"/>
        </w:rPr>
        <w:instrText xml:space="preserve"> HYPERLINK "http://jg.class.com.cn" </w:instrText>
      </w:r>
      <w:r>
        <w:rPr>
          <w:rFonts w:ascii="Times New Roman" w:hAnsi="Times New Roman"/>
          <w:color w:val="auto"/>
        </w:rPr>
        <w:fldChar w:fldCharType="separate"/>
      </w:r>
      <w:r>
        <w:rPr>
          <w:rStyle w:val="11"/>
          <w:rFonts w:ascii="Times New Roman" w:hAnsi="Times New Roman" w:eastAsia="仿宋_GB2312" w:cs="Times New Roman"/>
          <w:color w:val="auto"/>
          <w:sz w:val="32"/>
          <w:szCs w:val="32"/>
          <w:u w:val="none"/>
        </w:rPr>
        <w:t>http://jg.class.com.cn</w:t>
      </w:r>
      <w:r>
        <w:rPr>
          <w:rStyle w:val="11"/>
          <w:rFonts w:ascii="Times New Roman" w:hAnsi="Times New Roman" w:eastAsia="仿宋_GB2312" w:cs="Times New Roman"/>
          <w:color w:val="auto"/>
          <w:sz w:val="32"/>
          <w:szCs w:val="32"/>
          <w:u w:val="none"/>
        </w:rPr>
        <w:fldChar w:fldCharType="end"/>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进行</w:t>
      </w:r>
      <w:r>
        <w:rPr>
          <w:rFonts w:ascii="Times New Roman" w:hAnsi="Times New Roman" w:eastAsia="仿宋_GB2312" w:cs="Times New Roman"/>
          <w:color w:val="auto"/>
          <w:sz w:val="32"/>
          <w:szCs w:val="32"/>
        </w:rPr>
        <w:t>，各省</w:t>
      </w:r>
      <w:r>
        <w:rPr>
          <w:rFonts w:hint="eastAsia" w:ascii="Times New Roman" w:hAnsi="Times New Roman" w:eastAsia="仿宋_GB2312" w:cs="Times New Roman"/>
          <w:color w:val="auto"/>
          <w:sz w:val="32"/>
          <w:szCs w:val="32"/>
        </w:rPr>
        <w:t>级人力资源社会保障部门</w:t>
      </w:r>
      <w:r>
        <w:rPr>
          <w:rFonts w:ascii="Times New Roman" w:hAnsi="Times New Roman" w:eastAsia="仿宋_GB2312" w:cs="Times New Roman"/>
          <w:color w:val="auto"/>
          <w:sz w:val="32"/>
          <w:szCs w:val="32"/>
        </w:rPr>
        <w:t>指定专人负责本省参赛队的网上报名和资料上传工作，不接受个人直接报名和资料上传。</w:t>
      </w:r>
      <w:r>
        <w:rPr>
          <w:rFonts w:hint="eastAsia" w:ascii="Times New Roman" w:hAnsi="Times New Roman" w:eastAsia="仿宋_GB2312" w:cs="Times New Roman"/>
          <w:color w:val="auto"/>
          <w:sz w:val="32"/>
          <w:szCs w:val="32"/>
        </w:rPr>
        <w:t>进行网上报名和电子版资料报送的同时需将一份完整的盖章纸质参赛材料邮寄至大赛工作办公室。</w:t>
      </w:r>
    </w:p>
    <w:p>
      <w:pPr>
        <w:adjustRightInd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三</w:t>
      </w:r>
      <w:r>
        <w:rPr>
          <w:rFonts w:ascii="Times New Roman" w:hAnsi="Times New Roman" w:eastAsia="仿宋_GB2312" w:cs="Times New Roman"/>
          <w:color w:val="auto"/>
          <w:sz w:val="32"/>
          <w:szCs w:val="32"/>
        </w:rPr>
        <w:t>）除报名表、汇总表、教学设计封面和电子材料文件名外，其他参赛材料（教学设计内页、</w:t>
      </w:r>
      <w:r>
        <w:rPr>
          <w:rFonts w:hint="eastAsia" w:ascii="Times New Roman" w:hAnsi="Times New Roman" w:eastAsia="仿宋_GB2312" w:cs="Times New Roman"/>
          <w:color w:val="auto"/>
          <w:sz w:val="32"/>
          <w:szCs w:val="32"/>
        </w:rPr>
        <w:t>说课课件</w:t>
      </w:r>
      <w:r>
        <w:rPr>
          <w:rFonts w:ascii="Times New Roman" w:hAnsi="Times New Roman" w:eastAsia="仿宋_GB2312" w:cs="Times New Roman"/>
          <w:color w:val="auto"/>
          <w:sz w:val="32"/>
          <w:szCs w:val="32"/>
        </w:rPr>
        <w:t>正文、视频正文）的内容不得出现省、市、学校和参赛教师与学生的任何身份信息。如出现相关信息的泄</w:t>
      </w:r>
      <w:r>
        <w:rPr>
          <w:rFonts w:hint="eastAsia" w:ascii="Times New Roman" w:hAnsi="Times New Roman" w:eastAsia="仿宋_GB2312" w:cs="Times New Roman"/>
          <w:color w:val="auto"/>
          <w:sz w:val="32"/>
          <w:szCs w:val="32"/>
          <w:lang w:eastAsia="zh-CN"/>
        </w:rPr>
        <w:t>露</w:t>
      </w:r>
      <w:r>
        <w:rPr>
          <w:rFonts w:ascii="Times New Roman" w:hAnsi="Times New Roman" w:eastAsia="仿宋_GB2312" w:cs="Times New Roman"/>
          <w:color w:val="auto"/>
          <w:sz w:val="32"/>
          <w:szCs w:val="32"/>
        </w:rPr>
        <w:t>，将</w:t>
      </w:r>
      <w:r>
        <w:rPr>
          <w:rFonts w:hint="eastAsia" w:ascii="Times New Roman" w:hAnsi="Times New Roman" w:eastAsia="仿宋_GB2312" w:cs="Times New Roman"/>
          <w:color w:val="auto"/>
          <w:sz w:val="32"/>
          <w:szCs w:val="32"/>
        </w:rPr>
        <w:t>被</w:t>
      </w:r>
      <w:r>
        <w:rPr>
          <w:rFonts w:ascii="Times New Roman" w:hAnsi="Times New Roman" w:eastAsia="仿宋_GB2312" w:cs="Times New Roman"/>
          <w:color w:val="auto"/>
          <w:sz w:val="32"/>
          <w:szCs w:val="32"/>
        </w:rPr>
        <w:t>取消参赛资格。</w:t>
      </w:r>
    </w:p>
    <w:p>
      <w:pPr>
        <w:adjustRightInd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四</w:t>
      </w:r>
      <w:r>
        <w:rPr>
          <w:rFonts w:ascii="Times New Roman" w:hAnsi="Times New Roman" w:eastAsia="仿宋_GB2312" w:cs="Times New Roman"/>
          <w:color w:val="auto"/>
          <w:sz w:val="32"/>
          <w:szCs w:val="32"/>
        </w:rPr>
        <w:t>）参赛作品基于的教材应符合以下要求：公共课教材</w:t>
      </w:r>
      <w:r>
        <w:rPr>
          <w:rFonts w:hint="eastAsia" w:ascii="Times New Roman" w:hAnsi="Times New Roman" w:eastAsia="仿宋_GB2312" w:cs="Times New Roman"/>
          <w:color w:val="auto"/>
          <w:sz w:val="32"/>
          <w:szCs w:val="32"/>
        </w:rPr>
        <w:t>应从</w:t>
      </w:r>
      <w:r>
        <w:rPr>
          <w:rFonts w:ascii="Times New Roman" w:hAnsi="Times New Roman" w:eastAsia="仿宋_GB2312" w:cs="Times New Roman"/>
          <w:color w:val="auto"/>
          <w:sz w:val="32"/>
          <w:szCs w:val="32"/>
        </w:rPr>
        <w:t>《人力资源社会保障部技工教育规划教材选用目录》（</w:t>
      </w:r>
      <w:r>
        <w:rPr>
          <w:rFonts w:hint="eastAsia" w:ascii="Times New Roman" w:hAnsi="Times New Roman" w:eastAsia="仿宋_GB2312" w:cs="Times New Roman"/>
          <w:color w:val="auto"/>
          <w:sz w:val="32"/>
          <w:szCs w:val="32"/>
        </w:rPr>
        <w:t>可在技工教育网下载，</w:t>
      </w:r>
      <w:r>
        <w:rPr>
          <w:rFonts w:ascii="Times New Roman" w:hAnsi="Times New Roman" w:eastAsia="仿宋_GB2312" w:cs="Times New Roman"/>
          <w:color w:val="auto"/>
          <w:sz w:val="32"/>
          <w:szCs w:val="32"/>
        </w:rPr>
        <w:t>以下简称《目录》）</w:t>
      </w:r>
      <w:r>
        <w:rPr>
          <w:rFonts w:hint="eastAsia" w:ascii="Times New Roman" w:hAnsi="Times New Roman" w:eastAsia="仿宋_GB2312" w:cs="Times New Roman"/>
          <w:color w:val="auto"/>
          <w:sz w:val="32"/>
          <w:szCs w:val="32"/>
        </w:rPr>
        <w:t>选取</w:t>
      </w:r>
      <w:r>
        <w:rPr>
          <w:rFonts w:ascii="Times New Roman" w:hAnsi="Times New Roman" w:eastAsia="仿宋_GB2312" w:cs="Times New Roman"/>
          <w:color w:val="auto"/>
          <w:sz w:val="32"/>
          <w:szCs w:val="32"/>
        </w:rPr>
        <w:t>，专业课优先选择《目录》中教材。</w:t>
      </w:r>
    </w:p>
    <w:p>
      <w:pPr>
        <w:adjustRightInd w:val="0"/>
        <w:ind w:firstLine="64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五</w:t>
      </w:r>
      <w:r>
        <w:rPr>
          <w:rFonts w:ascii="Times New Roman" w:hAnsi="Times New Roman" w:eastAsia="仿宋_GB2312" w:cs="Times New Roman"/>
          <w:color w:val="auto"/>
          <w:sz w:val="32"/>
          <w:szCs w:val="32"/>
        </w:rPr>
        <w:t>）参赛</w:t>
      </w:r>
      <w:r>
        <w:rPr>
          <w:rFonts w:hint="eastAsia" w:ascii="Times New Roman" w:hAnsi="Times New Roman" w:eastAsia="仿宋_GB2312" w:cs="Times New Roman"/>
          <w:color w:val="auto"/>
          <w:sz w:val="32"/>
          <w:szCs w:val="32"/>
        </w:rPr>
        <w:t>所</w:t>
      </w:r>
      <w:r>
        <w:rPr>
          <w:rFonts w:ascii="Times New Roman" w:hAnsi="Times New Roman" w:eastAsia="仿宋_GB2312" w:cs="Times New Roman"/>
          <w:color w:val="auto"/>
          <w:sz w:val="32"/>
          <w:szCs w:val="32"/>
        </w:rPr>
        <w:t>提交的电子材料，须采用指定文件格式</w:t>
      </w:r>
      <w:r>
        <w:rPr>
          <w:rFonts w:hint="eastAsia" w:ascii="Times New Roman" w:hAnsi="Times New Roman" w:eastAsia="仿宋_GB2312" w:cs="Times New Roman"/>
          <w:color w:val="auto"/>
          <w:sz w:val="32"/>
          <w:szCs w:val="32"/>
        </w:rPr>
        <w:t>，具体要求如下：提交的文字</w:t>
      </w:r>
      <w:r>
        <w:rPr>
          <w:rFonts w:ascii="Times New Roman" w:hAnsi="Times New Roman" w:eastAsia="仿宋_GB2312" w:cs="Times New Roman"/>
          <w:color w:val="auto"/>
          <w:sz w:val="32"/>
          <w:szCs w:val="32"/>
        </w:rPr>
        <w:t>文稿和</w:t>
      </w:r>
      <w:r>
        <w:rPr>
          <w:rFonts w:hint="eastAsia" w:ascii="Times New Roman" w:hAnsi="Times New Roman" w:eastAsia="仿宋_GB2312" w:cs="Times New Roman"/>
          <w:color w:val="auto"/>
          <w:sz w:val="32"/>
          <w:szCs w:val="32"/>
        </w:rPr>
        <w:t>说课课件须采用</w:t>
      </w:r>
      <w:r>
        <w:rPr>
          <w:rFonts w:ascii="Times New Roman" w:hAnsi="Times New Roman" w:eastAsia="仿宋_GB2312" w:cs="Times New Roman"/>
          <w:color w:val="auto"/>
          <w:sz w:val="32"/>
          <w:szCs w:val="32"/>
        </w:rPr>
        <w:t>WPS 2016或</w:t>
      </w:r>
      <w:r>
        <w:rPr>
          <w:rFonts w:hint="eastAsia" w:ascii="Times New Roman" w:hAnsi="Times New Roman" w:eastAsia="仿宋_GB2312" w:cs="Times New Roman"/>
          <w:color w:val="auto"/>
          <w:sz w:val="32"/>
          <w:szCs w:val="32"/>
        </w:rPr>
        <w:t>O</w:t>
      </w:r>
      <w:r>
        <w:rPr>
          <w:rFonts w:ascii="Times New Roman" w:hAnsi="Times New Roman" w:eastAsia="仿宋_GB2312" w:cs="Times New Roman"/>
          <w:color w:val="auto"/>
          <w:sz w:val="32"/>
          <w:szCs w:val="32"/>
        </w:rPr>
        <w:t>ffice 2010及以上版本</w:t>
      </w:r>
      <w:r>
        <w:rPr>
          <w:rFonts w:hint="eastAsia" w:ascii="Times New Roman" w:hAnsi="Times New Roman" w:eastAsia="仿宋_GB2312" w:cs="Times New Roman"/>
          <w:color w:val="auto"/>
          <w:sz w:val="32"/>
          <w:szCs w:val="32"/>
        </w:rPr>
        <w:t>。说课课件中使用的图片、视频、动画等素材均须采用嵌入方式，不得使用外部链接。提交的视频文件</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须采用</w:t>
      </w:r>
      <w:r>
        <w:rPr>
          <w:rFonts w:hint="eastAsia" w:ascii="Times New Roman" w:hAnsi="Times New Roman" w:eastAsia="仿宋_GB2312" w:cs="Times New Roman"/>
          <w:color w:val="auto"/>
          <w:sz w:val="32"/>
          <w:szCs w:val="32"/>
        </w:rPr>
        <w:t>MP</w:t>
      </w:r>
      <w:r>
        <w:rPr>
          <w:rFonts w:ascii="Times New Roman" w:hAnsi="Times New Roman" w:eastAsia="仿宋_GB2312" w:cs="Times New Roman"/>
          <w:color w:val="auto"/>
          <w:sz w:val="32"/>
          <w:szCs w:val="32"/>
        </w:rPr>
        <w:t>4格式，视频文件大小不超过300MB，并须进行病毒查杀，以免影响正常比赛。</w:t>
      </w:r>
    </w:p>
    <w:p>
      <w:pPr>
        <w:adjustRightInd w:val="0"/>
        <w:ind w:firstLine="645"/>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（六）视频录制工作可根据各地新冠肺炎疫情防控要求进行开展，参赛材料提交截止时间前不具备现场授课条件的，可采用课堂无学生或者师生在线教学的方式录制。</w:t>
      </w:r>
    </w:p>
    <w:p>
      <w:pPr>
        <w:adjustRightInd w:val="0"/>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（七）大赛所有作品，包括教学设计、多媒体课件、</w:t>
      </w:r>
      <w:r>
        <w:rPr>
          <w:rFonts w:hint="eastAsia" w:ascii="Times New Roman" w:hAnsi="Times New Roman" w:eastAsia="仿宋_GB2312" w:cs="Times New Roman"/>
          <w:color w:val="auto"/>
          <w:sz w:val="32"/>
          <w:szCs w:val="32"/>
        </w:rPr>
        <w:t>教学</w:t>
      </w:r>
      <w:r>
        <w:rPr>
          <w:rFonts w:ascii="Times New Roman" w:hAnsi="Times New Roman" w:eastAsia="仿宋_GB2312" w:cs="Times New Roman"/>
          <w:color w:val="auto"/>
          <w:sz w:val="32"/>
          <w:szCs w:val="32"/>
        </w:rPr>
        <w:t>视频等，将通过技工教育网进行公益性分享</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其中优秀作品将汇集成册进行出版。</w:t>
      </w:r>
    </w:p>
    <w:p>
      <w:pPr>
        <w:ind w:firstLine="640" w:firstLineChars="200"/>
        <w:rPr>
          <w:rFonts w:ascii="Times New Roman" w:hAnsi="Times New Roman" w:eastAsia="仿宋_GB2312"/>
          <w:color w:val="auto"/>
          <w:sz w:val="32"/>
          <w:szCs w:val="32"/>
        </w:rPr>
      </w:pPr>
      <w:r>
        <w:rPr>
          <w:rFonts w:hint="eastAsia" w:ascii="Times New Roman" w:hAnsi="Times New Roman" w:eastAsia="仿宋_GB2312"/>
          <w:color w:val="auto"/>
          <w:sz w:val="32"/>
          <w:szCs w:val="32"/>
        </w:rPr>
        <w:t>（八）</w:t>
      </w:r>
      <w:r>
        <w:rPr>
          <w:rFonts w:hint="eastAsia" w:ascii="Times New Roman" w:hAnsi="Times New Roman" w:eastAsia="仿宋_GB2312"/>
          <w:color w:val="auto"/>
          <w:sz w:val="32"/>
          <w:szCs w:val="32"/>
          <w:lang w:eastAsia="zh-CN"/>
        </w:rPr>
        <w:t>如有</w:t>
      </w:r>
      <w:r>
        <w:rPr>
          <w:rFonts w:ascii="Times New Roman" w:hAnsi="Times New Roman" w:eastAsia="仿宋_GB2312"/>
          <w:color w:val="auto"/>
          <w:sz w:val="32"/>
          <w:szCs w:val="32"/>
        </w:rPr>
        <w:t>需调整事项或</w:t>
      </w:r>
      <w:r>
        <w:rPr>
          <w:rFonts w:hint="eastAsia" w:ascii="Times New Roman" w:hAnsi="Times New Roman" w:eastAsia="仿宋_GB2312"/>
          <w:color w:val="auto"/>
          <w:sz w:val="32"/>
          <w:szCs w:val="32"/>
        </w:rPr>
        <w:t>其他</w:t>
      </w:r>
      <w:r>
        <w:rPr>
          <w:rFonts w:ascii="Times New Roman" w:hAnsi="Times New Roman" w:eastAsia="仿宋_GB2312"/>
          <w:color w:val="auto"/>
          <w:sz w:val="32"/>
          <w:szCs w:val="32"/>
        </w:rPr>
        <w:t>未尽事宜，由</w:t>
      </w:r>
      <w:r>
        <w:rPr>
          <w:rFonts w:hint="eastAsia" w:ascii="Times New Roman" w:hAnsi="Times New Roman" w:eastAsia="仿宋_GB2312"/>
          <w:color w:val="auto"/>
          <w:sz w:val="32"/>
          <w:szCs w:val="32"/>
        </w:rPr>
        <w:t>大赛</w:t>
      </w:r>
      <w:r>
        <w:rPr>
          <w:rFonts w:ascii="Times New Roman" w:hAnsi="Times New Roman" w:eastAsia="仿宋_GB2312"/>
          <w:color w:val="auto"/>
          <w:sz w:val="32"/>
          <w:szCs w:val="32"/>
        </w:rPr>
        <w:t>主办单位另行通知。</w:t>
      </w:r>
    </w:p>
    <w:p>
      <w:pPr>
        <w:ind w:firstLine="640" w:firstLineChars="200"/>
        <w:rPr>
          <w:rFonts w:ascii="Times New Roman" w:hAnsi="Times New Roman" w:eastAsia="仿宋_GB2312"/>
          <w:color w:val="auto"/>
          <w:sz w:val="32"/>
          <w:szCs w:val="32"/>
        </w:rPr>
      </w:pPr>
    </w:p>
    <w:p>
      <w:pPr>
        <w:adjustRightInd w:val="0"/>
        <w:ind w:left="1598" w:leftChars="304" w:hanging="960" w:hangingChars="3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附件：1.第二届全国技工院校教师职业能力大赛类别与专业（课程）对应关系表</w:t>
      </w:r>
    </w:p>
    <w:p>
      <w:pPr>
        <w:adjustRightInd w:val="0"/>
        <w:ind w:firstLine="1600" w:firstLineChars="5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2.第二届全国技工院校教师职业能力大赛评审办法</w:t>
      </w:r>
    </w:p>
    <w:p>
      <w:pPr>
        <w:adjustRightInd w:val="0"/>
        <w:ind w:left="1916" w:leftChars="760" w:hanging="320" w:hangingChars="1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3.第二届全国技工院校教师职业能力大赛教学设计</w:t>
      </w:r>
    </w:p>
    <w:p>
      <w:pPr>
        <w:adjustRightInd w:val="0"/>
        <w:ind w:firstLine="1820" w:firstLineChars="56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参考模板</w:t>
      </w:r>
      <w:r>
        <w:rPr>
          <w:rFonts w:hint="eastAsia" w:ascii="Times New Roman" w:hAnsi="Times New Roman" w:eastAsia="仿宋_GB2312" w:cs="Times New Roman"/>
          <w:color w:val="auto"/>
          <w:sz w:val="32"/>
          <w:szCs w:val="32"/>
          <w:lang w:eastAsia="zh-CN"/>
        </w:rPr>
        <w:t>）</w:t>
      </w:r>
    </w:p>
    <w:p>
      <w:pPr>
        <w:adjustRightInd w:val="0"/>
        <w:ind w:firstLine="1600" w:firstLineChars="5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4.第二届全国技工院校教师职业能力大赛评审专家</w:t>
      </w:r>
    </w:p>
    <w:p>
      <w:pPr>
        <w:adjustRightInd w:val="0"/>
        <w:ind w:firstLine="1820" w:firstLineChars="569"/>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组织推荐办法</w:t>
      </w:r>
    </w:p>
    <w:p>
      <w:pPr>
        <w:adjustRightInd w:val="0"/>
        <w:snapToGrid w:val="0"/>
        <w:spacing w:line="560" w:lineRule="exact"/>
        <w:ind w:firstLine="640" w:firstLineChars="200"/>
        <w:rPr>
          <w:rFonts w:ascii="Times New Roman" w:hAnsi="Times New Roman" w:eastAsia="仿宋_GB2312" w:cs="Times New Roman"/>
          <w:color w:val="auto"/>
          <w:sz w:val="32"/>
          <w:szCs w:val="32"/>
        </w:rPr>
      </w:pPr>
    </w:p>
    <w:p>
      <w:pPr>
        <w:widowControl/>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br w:type="page"/>
      </w:r>
    </w:p>
    <w:p>
      <w:pPr>
        <w:widowControl/>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附件</w:t>
      </w:r>
      <w:r>
        <w:rPr>
          <w:rFonts w:ascii="Times New Roman" w:hAnsi="Times New Roman" w:eastAsia="黑体" w:cs="Times New Roman"/>
          <w:color w:val="auto"/>
          <w:sz w:val="32"/>
          <w:szCs w:val="32"/>
        </w:rPr>
        <w:t>1</w:t>
      </w:r>
    </w:p>
    <w:p>
      <w:pPr>
        <w:adjustRightInd w:val="0"/>
        <w:snapToGrid w:val="0"/>
        <w:spacing w:line="600" w:lineRule="exact"/>
        <w:jc w:val="center"/>
        <w:rPr>
          <w:rFonts w:ascii="Times New Roman" w:hAnsi="Times New Roman" w:eastAsia="华文中宋" w:cs="Times New Roman"/>
          <w:b/>
          <w:bCs/>
          <w:color w:val="auto"/>
          <w:sz w:val="44"/>
          <w:szCs w:val="32"/>
        </w:rPr>
      </w:pPr>
      <w:r>
        <w:rPr>
          <w:rFonts w:hint="eastAsia" w:ascii="Times New Roman" w:hAnsi="Times New Roman" w:eastAsia="华文中宋" w:cs="Times New Roman"/>
          <w:b/>
          <w:bCs/>
          <w:color w:val="auto"/>
          <w:sz w:val="44"/>
          <w:szCs w:val="32"/>
        </w:rPr>
        <w:t>第二届全国技工院校教师职业能力大赛</w:t>
      </w:r>
    </w:p>
    <w:p>
      <w:pPr>
        <w:adjustRightInd w:val="0"/>
        <w:snapToGrid w:val="0"/>
        <w:spacing w:line="600" w:lineRule="exact"/>
        <w:jc w:val="center"/>
        <w:rPr>
          <w:rFonts w:ascii="Times New Roman" w:hAnsi="Times New Roman" w:eastAsia="华文中宋" w:cs="Times New Roman"/>
          <w:b/>
          <w:bCs/>
          <w:color w:val="auto"/>
          <w:sz w:val="44"/>
          <w:szCs w:val="32"/>
        </w:rPr>
      </w:pPr>
      <w:r>
        <w:rPr>
          <w:rFonts w:hint="eastAsia" w:ascii="Times New Roman" w:hAnsi="Times New Roman" w:eastAsia="华文中宋" w:cs="Times New Roman"/>
          <w:b/>
          <w:bCs/>
          <w:color w:val="auto"/>
          <w:sz w:val="44"/>
          <w:szCs w:val="32"/>
        </w:rPr>
        <w:t>类别与专业（课程）对应关系表</w:t>
      </w:r>
    </w:p>
    <w:p>
      <w:pPr>
        <w:pStyle w:val="7"/>
        <w:snapToGrid w:val="0"/>
        <w:spacing w:after="181" w:afterLines="30"/>
        <w:ind w:firstLine="422" w:firstLineChars="200"/>
        <w:jc w:val="both"/>
        <w:rPr>
          <w:rFonts w:ascii="Times New Roman" w:hAnsi="Times New Roman"/>
          <w:color w:val="auto"/>
        </w:rPr>
      </w:pPr>
    </w:p>
    <w:p>
      <w:pPr>
        <w:pStyle w:val="7"/>
        <w:snapToGrid w:val="0"/>
        <w:spacing w:after="181" w:afterLines="30"/>
        <w:ind w:firstLine="422" w:firstLineChars="200"/>
        <w:jc w:val="both"/>
        <w:rPr>
          <w:rFonts w:ascii="Times New Roman" w:hAnsi="Times New Roman"/>
          <w:color w:val="auto"/>
        </w:rPr>
      </w:pPr>
      <w:r>
        <w:rPr>
          <w:rFonts w:hint="eastAsia" w:ascii="Times New Roman" w:hAnsi="Times New Roman"/>
          <w:color w:val="auto"/>
          <w:lang w:eastAsia="zh-CN"/>
        </w:rPr>
        <w:t>一、</w:t>
      </w:r>
      <w:r>
        <w:rPr>
          <w:rFonts w:hint="eastAsia" w:ascii="Times New Roman" w:hAnsi="Times New Roman"/>
          <w:color w:val="auto"/>
        </w:rPr>
        <w:t>公共</w:t>
      </w:r>
      <w:r>
        <w:rPr>
          <w:rFonts w:ascii="Times New Roman" w:hAnsi="Times New Roman"/>
          <w:color w:val="auto"/>
        </w:rPr>
        <w:t>类</w:t>
      </w:r>
    </w:p>
    <w:tbl>
      <w:tblPr>
        <w:tblStyle w:val="9"/>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0"/>
        <w:gridCol w:w="3266"/>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思想政治（德育）</w:t>
            </w:r>
          </w:p>
        </w:tc>
        <w:tc>
          <w:tcPr>
            <w:tcW w:w="326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语文</w:t>
            </w:r>
          </w:p>
        </w:tc>
        <w:tc>
          <w:tcPr>
            <w:tcW w:w="3157"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325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数学</w:t>
            </w:r>
          </w:p>
        </w:tc>
        <w:tc>
          <w:tcPr>
            <w:tcW w:w="326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英语</w:t>
            </w:r>
          </w:p>
        </w:tc>
        <w:tc>
          <w:tcPr>
            <w:tcW w:w="3157"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体育与健康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物理</w:t>
            </w:r>
          </w:p>
        </w:tc>
        <w:tc>
          <w:tcPr>
            <w:tcW w:w="326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szCs w:val="21"/>
              </w:rPr>
              <w:t>化学</w:t>
            </w:r>
          </w:p>
        </w:tc>
        <w:tc>
          <w:tcPr>
            <w:tcW w:w="3157"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劳动教育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vAlign w:val="center"/>
          </w:tcPr>
          <w:p>
            <w:pPr>
              <w:widowControl/>
              <w:adjustRightInd w:val="0"/>
              <w:snapToGrid w:val="0"/>
              <w:rPr>
                <w:rFonts w:ascii="Times New Roman" w:hAnsi="Times New Roman" w:cs="Times New Roman"/>
                <w:color w:val="auto"/>
                <w:szCs w:val="21"/>
              </w:rPr>
            </w:pPr>
            <w:r>
              <w:rPr>
                <w:rFonts w:ascii="Times New Roman" w:hAnsi="Times New Roman" w:cs="Times New Roman"/>
                <w:bCs/>
                <w:color w:val="auto"/>
                <w:kern w:val="0"/>
                <w:szCs w:val="21"/>
              </w:rPr>
              <w:t>通用职业素质课程</w:t>
            </w:r>
          </w:p>
        </w:tc>
        <w:tc>
          <w:tcPr>
            <w:tcW w:w="3266" w:type="dxa"/>
            <w:vAlign w:val="center"/>
          </w:tcPr>
          <w:p>
            <w:pPr>
              <w:widowControl/>
              <w:adjustRightInd w:val="0"/>
              <w:snapToGrid w:val="0"/>
              <w:rPr>
                <w:rFonts w:ascii="Times New Roman" w:hAnsi="Times New Roman" w:cs="Times New Roman"/>
                <w:color w:val="auto"/>
                <w:szCs w:val="21"/>
              </w:rPr>
            </w:pPr>
            <w:r>
              <w:rPr>
                <w:rFonts w:ascii="Times New Roman" w:hAnsi="Times New Roman" w:cs="Times New Roman"/>
                <w:bCs/>
                <w:color w:val="auto"/>
                <w:kern w:val="0"/>
                <w:szCs w:val="21"/>
              </w:rPr>
              <w:t>其他公共基础课</w:t>
            </w:r>
          </w:p>
        </w:tc>
        <w:tc>
          <w:tcPr>
            <w:tcW w:w="3157" w:type="dxa"/>
            <w:vAlign w:val="center"/>
          </w:tcPr>
          <w:p>
            <w:pPr>
              <w:widowControl/>
              <w:adjustRightInd w:val="0"/>
              <w:snapToGrid w:val="0"/>
              <w:rPr>
                <w:rFonts w:ascii="Times New Roman" w:hAnsi="Times New Roman" w:cs="Times New Roman"/>
                <w:bCs/>
                <w:color w:val="auto"/>
                <w:kern w:val="0"/>
                <w:szCs w:val="21"/>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二、</w:t>
      </w:r>
      <w:r>
        <w:rPr>
          <w:rFonts w:ascii="Times New Roman" w:hAnsi="Times New Roman"/>
          <w:color w:val="auto"/>
        </w:rPr>
        <w:fldChar w:fldCharType="begin"/>
      </w:r>
      <w:r>
        <w:rPr>
          <w:rFonts w:ascii="Times New Roman" w:hAnsi="Times New Roman"/>
          <w:color w:val="auto"/>
        </w:rPr>
        <w:instrText xml:space="preserve"> TOC \o "1-3" \u </w:instrText>
      </w:r>
      <w:r>
        <w:rPr>
          <w:rFonts w:ascii="Times New Roman" w:hAnsi="Times New Roman"/>
          <w:color w:val="auto"/>
        </w:rPr>
        <w:fldChar w:fldCharType="separate"/>
      </w:r>
      <w:r>
        <w:rPr>
          <w:rFonts w:ascii="Times New Roman" w:hAnsi="Times New Roman"/>
          <w:color w:val="auto"/>
        </w:rPr>
        <w:t>机械类</w:t>
      </w:r>
    </w:p>
    <w:tbl>
      <w:tblPr>
        <w:tblStyle w:val="9"/>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0"/>
        <w:gridCol w:w="3266"/>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0101  机床切削加工（车工）</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0102  机床切削加工（铣工）</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0103  机床切削加工（磨工）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0104  铸造成型</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0105  锻造成型</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0106  数控加工（数控车工）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0107  数控加工（数控铣工）</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0108  </w:t>
            </w:r>
            <w:r>
              <w:rPr>
                <w:rFonts w:ascii="Times New Roman" w:hAnsi="Times New Roman" w:cs="Times New Roman"/>
                <w:bCs/>
                <w:color w:val="auto"/>
                <w:spacing w:val="-6"/>
                <w:kern w:val="0"/>
                <w:szCs w:val="21"/>
              </w:rPr>
              <w:t>数控加工（加工中心操作工）</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0109  数控机床装配与维修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0110  数控编程</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0111  工量具制造与维修</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0112  机械设备维修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0113  煤矿机械维修</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0114  化工机械维修</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0115  机械装配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0116  机械设备装配与自动控制</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0117  模具制造</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0118  模具设计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0119  焊接加工</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0120  冷作钣金加工</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0121  制冷设备运用与维修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0122  数控电加工</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0123  机电设备安装与维修</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0124  机电产品检测技术应用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0125  金属热处理</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0126  汽车制造与装配</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0127  机电一体化技术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0128  多轴数控加工</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0129  计算机辅助设计与制造</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0130  3D打印技术应用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0131  金属材料分析与检测</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0132  新能源汽车制造与装配</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0133  飞机制造与装配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0134  产品检测与质量控制</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0135  工业机械自动化装调</w:t>
            </w:r>
          </w:p>
        </w:tc>
        <w:tc>
          <w:tcPr>
            <w:tcW w:w="3157" w:type="dxa"/>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0136  数字化设计与制造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50" w:type="dxa"/>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0137  智能制造技术应用</w:t>
            </w:r>
          </w:p>
        </w:tc>
        <w:tc>
          <w:tcPr>
            <w:tcW w:w="3266" w:type="dxa"/>
            <w:tcMar>
              <w:top w:w="0" w:type="dxa"/>
              <w:left w:w="108" w:type="dxa"/>
              <w:bottom w:w="0" w:type="dxa"/>
              <w:right w:w="0" w:type="dxa"/>
            </w:tcMar>
            <w:vAlign w:val="center"/>
          </w:tcPr>
          <w:p>
            <w:pPr>
              <w:widowControl/>
              <w:adjustRightInd w:val="0"/>
              <w:snapToGrid w:val="0"/>
              <w:rPr>
                <w:rFonts w:ascii="Times New Roman" w:hAnsi="Times New Roman" w:eastAsia="宋体" w:cs="Times New Roman"/>
                <w:color w:val="auto"/>
                <w:kern w:val="0"/>
                <w:szCs w:val="21"/>
                <w:lang w:val="zh-CN"/>
              </w:rPr>
            </w:pPr>
          </w:p>
        </w:tc>
        <w:tc>
          <w:tcPr>
            <w:tcW w:w="3157" w:type="dxa"/>
            <w:tcMar>
              <w:top w:w="0" w:type="dxa"/>
              <w:left w:w="108" w:type="dxa"/>
              <w:bottom w:w="0" w:type="dxa"/>
              <w:right w:w="0" w:type="dxa"/>
            </w:tcMar>
            <w:vAlign w:val="center"/>
          </w:tcPr>
          <w:p>
            <w:pPr>
              <w:widowControl/>
              <w:adjustRightInd w:val="0"/>
              <w:snapToGrid w:val="0"/>
              <w:rPr>
                <w:rFonts w:ascii="Times New Roman" w:hAnsi="Times New Roman" w:eastAsia="宋体" w:cs="Times New Roman"/>
                <w:color w:val="auto"/>
                <w:kern w:val="0"/>
                <w:szCs w:val="21"/>
                <w:lang w:val="zh-CN"/>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三、</w:t>
      </w:r>
      <w:r>
        <w:rPr>
          <w:rFonts w:ascii="Times New Roman" w:hAnsi="Times New Roman"/>
          <w:color w:val="auto"/>
        </w:rPr>
        <w:t>电工电子类</w:t>
      </w:r>
    </w:p>
    <w:tbl>
      <w:tblPr>
        <w:tblStyle w:val="9"/>
        <w:tblW w:w="9706" w:type="dxa"/>
        <w:jc w:val="center"/>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3256"/>
        <w:gridCol w:w="3260"/>
        <w:gridCol w:w="3190"/>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0201  变配电设备运行与维护</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0202  电机电器装配与维修</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0203  </w:t>
            </w:r>
            <w:r>
              <w:rPr>
                <w:rFonts w:ascii="Times New Roman" w:hAnsi="Times New Roman" w:cs="Times New Roman"/>
                <w:bCs/>
                <w:color w:val="auto"/>
                <w:spacing w:val="-11"/>
                <w:kern w:val="0"/>
                <w:szCs w:val="21"/>
              </w:rPr>
              <w:t>电气自动化设备安装与维修</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0204  煤矿电气设备维修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630" w:hanging="630" w:hangingChars="300"/>
              <w:rPr>
                <w:rFonts w:ascii="Times New Roman" w:hAnsi="Times New Roman" w:cs="Times New Roman"/>
                <w:bCs/>
                <w:color w:val="auto"/>
                <w:kern w:val="0"/>
                <w:szCs w:val="21"/>
              </w:rPr>
            </w:pPr>
            <w:r>
              <w:rPr>
                <w:rFonts w:ascii="Times New Roman" w:hAnsi="Times New Roman" w:cs="Times New Roman"/>
                <w:bCs/>
                <w:color w:val="auto"/>
                <w:kern w:val="0"/>
                <w:szCs w:val="21"/>
              </w:rPr>
              <w:t>0205  楼宇自动控制设备安装与维护</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left="630" w:hanging="630" w:hangingChars="300"/>
              <w:rPr>
                <w:rFonts w:ascii="Times New Roman" w:hAnsi="Times New Roman" w:cs="Times New Roman"/>
                <w:bCs/>
                <w:color w:val="auto"/>
                <w:kern w:val="0"/>
                <w:szCs w:val="21"/>
              </w:rPr>
            </w:pPr>
            <w:r>
              <w:rPr>
                <w:rFonts w:ascii="Times New Roman" w:hAnsi="Times New Roman" w:cs="Times New Roman"/>
                <w:bCs/>
                <w:color w:val="auto"/>
                <w:kern w:val="0"/>
                <w:szCs w:val="21"/>
              </w:rPr>
              <w:t>0206  工业自动化仪器仪表装配与维护</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0207  化工仪表及自动化</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0208  工业机器人应用与维护</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0209  电子技术应用</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0210  音像电子设备应用与维修</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0211  通信终端设备制造与维修</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0212  办公设备维修</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0213  光伏应用技术</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0214  工业网络技术</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0215  电线电缆制造技术</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0216  电梯工程技术</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0217  光电技术应用</w:t>
            </w: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0218  工业互联网与大数据应用</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23" w:hRule="atLeast"/>
          <w:jc w:val="center"/>
        </w:trPr>
        <w:tc>
          <w:tcPr>
            <w:tcW w:w="325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0219  服务机器人应用与维护</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p>
        </w:tc>
        <w:tc>
          <w:tcPr>
            <w:tcW w:w="319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bCs/>
                <w:color w:val="auto"/>
                <w:kern w:val="0"/>
                <w:szCs w:val="21"/>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四、</w:t>
      </w:r>
      <w:r>
        <w:rPr>
          <w:rFonts w:ascii="Times New Roman" w:hAnsi="Times New Roman"/>
          <w:color w:val="auto"/>
        </w:rPr>
        <w:t>信息类</w:t>
      </w:r>
    </w:p>
    <w:tbl>
      <w:tblPr>
        <w:tblStyle w:val="9"/>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260"/>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0301  计算机网络应用</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0302  计算机程序设计</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0303  计算机应用与维修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0304  计算机信息管理</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0305  计算机游戏制作</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0306  计算机动画制作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0307  计算机广告制作</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0308  多媒体制作</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0309  通信网络应用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0310  通信运营服务</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0311  网络安防系统安装与维护</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0312  计算机速录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0313  物联网应用技术</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0314  网络与信息安全</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0315  云计算技术应用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0316  工业互联网技术应用</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0317  虚拟现实技术应用</w:t>
            </w:r>
          </w:p>
        </w:tc>
        <w:tc>
          <w:tcPr>
            <w:tcW w:w="3185" w:type="dxa"/>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0318  人工智能技术应用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3256" w:type="dxa"/>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0319  数字媒体技术应用</w:t>
            </w:r>
          </w:p>
        </w:tc>
        <w:tc>
          <w:tcPr>
            <w:tcW w:w="3260" w:type="dxa"/>
            <w:vAlign w:val="center"/>
          </w:tcPr>
          <w:p>
            <w:pPr>
              <w:widowControl/>
              <w:adjustRightInd w:val="0"/>
              <w:snapToGrid w:val="0"/>
              <w:rPr>
                <w:rFonts w:ascii="Times New Roman" w:hAnsi="Times New Roman" w:eastAsia="宋体" w:cs="Times New Roman"/>
                <w:color w:val="auto"/>
                <w:kern w:val="0"/>
                <w:szCs w:val="21"/>
                <w:lang w:val="zh-CN"/>
              </w:rPr>
            </w:pPr>
          </w:p>
        </w:tc>
        <w:tc>
          <w:tcPr>
            <w:tcW w:w="3185" w:type="dxa"/>
            <w:vAlign w:val="center"/>
          </w:tcPr>
          <w:p>
            <w:pPr>
              <w:widowControl/>
              <w:adjustRightInd w:val="0"/>
              <w:snapToGrid w:val="0"/>
              <w:rPr>
                <w:rFonts w:ascii="Times New Roman" w:hAnsi="Times New Roman" w:eastAsia="宋体" w:cs="Times New Roman"/>
                <w:color w:val="auto"/>
                <w:kern w:val="0"/>
                <w:szCs w:val="21"/>
                <w:lang w:val="zh-CN"/>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五、</w:t>
      </w:r>
      <w:r>
        <w:rPr>
          <w:rFonts w:ascii="Times New Roman" w:hAnsi="Times New Roman"/>
          <w:color w:val="auto"/>
        </w:rPr>
        <w:t>交通类</w:t>
      </w:r>
    </w:p>
    <w:tbl>
      <w:tblPr>
        <w:tblStyle w:val="9"/>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3266"/>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0401  汽车驾驶</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0403  汽车维修</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0404  汽车电器维修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0405  汽车钣金与涂装</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0406  汽车装饰与美容</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0407  汽车检测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0409  工程机械运用与维修</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0410  公路施工与养护</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0411  桥梁施工与养护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0412  公路工程测量</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0413  筑路机械操作与维修</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等线" w:cs="Times New Roman"/>
                <w:color w:val="auto"/>
                <w:kern w:val="0"/>
                <w:szCs w:val="21"/>
              </w:rPr>
              <w:t xml:space="preserve">0414  </w:t>
            </w:r>
            <w:r>
              <w:rPr>
                <w:rFonts w:ascii="Times New Roman" w:hAnsi="Times New Roman" w:cs="Times New Roman"/>
                <w:bCs/>
                <w:color w:val="auto"/>
                <w:kern w:val="0"/>
                <w:szCs w:val="21"/>
              </w:rPr>
              <w:t>高速公路收费与监控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0415  现代物流</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0416  船舶驾驶</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0417  船舶轮机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0418  船舶建造与维修</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0419  港口与航道施工</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0420  水运业务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0421  港口机械操作与维护</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0423  铁道运输管理</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0424  电力机车运用与检修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0425  内燃机车运用与检修</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0426  铁路工程测量</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0427  铁路施工与养护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0428  电气化铁道供电</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0429  铁道信号</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 xml:space="preserve">0431  </w:t>
            </w:r>
            <w:r>
              <w:rPr>
                <w:rFonts w:ascii="Times New Roman" w:hAnsi="Times New Roman" w:cs="Times New Roman"/>
                <w:color w:val="auto"/>
                <w:spacing w:val="-6"/>
                <w:kern w:val="0"/>
                <w:szCs w:val="21"/>
              </w:rPr>
              <w:t>城市轨道交通运输与管理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 xml:space="preserve">0432  </w:t>
            </w:r>
            <w:r>
              <w:rPr>
                <w:rFonts w:ascii="Times New Roman" w:hAnsi="Times New Roman" w:cs="Times New Roman"/>
                <w:color w:val="auto"/>
                <w:spacing w:val="-11"/>
                <w:kern w:val="0"/>
                <w:szCs w:val="21"/>
              </w:rPr>
              <w:t>城市轨道交通车辆运用与检修</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0434  飞机维修</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0435  新能源汽车检测与维修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0436  汽车技术服务与营销</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0438  起重装卸机械操作与维修</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0439  无人机应用技术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0440  工程安全评价与管理</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0441  航空物流</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0442  交通运输安全检查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3261"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0443  道路智能交通技术应用</w:t>
            </w:r>
          </w:p>
        </w:tc>
        <w:tc>
          <w:tcPr>
            <w:tcW w:w="3266"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0444  智能网联汽车技术应用</w:t>
            </w:r>
          </w:p>
        </w:tc>
        <w:tc>
          <w:tcPr>
            <w:tcW w:w="3113" w:type="dxa"/>
            <w:shd w:val="clear" w:color="auto" w:fill="auto"/>
            <w:tcMar>
              <w:top w:w="0" w:type="dxa"/>
              <w:left w:w="108" w:type="dxa"/>
              <w:bottom w:w="0" w:type="dxa"/>
              <w:right w:w="0" w:type="dxa"/>
            </w:tcMar>
            <w:vAlign w:val="center"/>
          </w:tcPr>
          <w:p>
            <w:pPr>
              <w:widowControl/>
              <w:adjustRightInd w:val="0"/>
              <w:snapToGrid w:val="0"/>
              <w:rPr>
                <w:rFonts w:ascii="Times New Roman" w:hAnsi="Times New Roman" w:eastAsia="宋体" w:cs="Times New Roman"/>
                <w:color w:val="auto"/>
                <w:kern w:val="0"/>
                <w:szCs w:val="21"/>
                <w:lang w:val="zh-CN"/>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六、</w:t>
      </w:r>
      <w:r>
        <w:rPr>
          <w:rFonts w:ascii="Times New Roman" w:hAnsi="Times New Roman"/>
          <w:color w:val="auto"/>
        </w:rPr>
        <w:t>服务类</w:t>
      </w:r>
    </w:p>
    <w:tbl>
      <w:tblPr>
        <w:tblStyle w:val="9"/>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6"/>
        <w:gridCol w:w="3260"/>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0402  交通客运服务</w:t>
            </w:r>
          </w:p>
        </w:tc>
        <w:tc>
          <w:tcPr>
            <w:tcW w:w="3260" w:type="dxa"/>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0422  邮轮乘务</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0430  铁路客运服务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0433  航空服务</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0501  烹饪（中式烹调）</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0502  烹饪（西式烹调）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0503  烹饪（中西式面点）</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0504  饭店（酒店）服务</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0505  导游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0506  商务礼仪服务</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0507  美容美发与造型（美发）</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0508  美容美发与造型（美容）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0509  美容美发与造型（化妆）</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0510  休闲体育服务</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0511  物业管理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0512  家政服务</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0513  公共营养保健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0514  保健按摩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0515  护理</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0516  会展服务与管理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0517  茶艺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0518  邮政业务</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0519  酒店管理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0520  旅游服务与管理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0521  老年服务与管理</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0522  健康服务与管理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0523  休闲服务与管理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0524  快递运营管理</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0525  保安</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0526  形象设计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0527  美容保健</w:t>
            </w:r>
          </w:p>
        </w:tc>
        <w:tc>
          <w:tcPr>
            <w:tcW w:w="3260" w:type="dxa"/>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bCs/>
                <w:color w:val="auto"/>
                <w:kern w:val="0"/>
                <w:szCs w:val="21"/>
              </w:rPr>
              <w:t>0528  康复保健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0529  健康与社会照护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0530  电子竞技运动服务与管理</w:t>
            </w:r>
          </w:p>
        </w:tc>
        <w:tc>
          <w:tcPr>
            <w:tcW w:w="3260"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0531  快递安全管理</w:t>
            </w:r>
          </w:p>
        </w:tc>
        <w:tc>
          <w:tcPr>
            <w:tcW w:w="3185" w:type="dxa"/>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0532  婚庆服务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256" w:type="dxa"/>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0533  健身指导与管理</w:t>
            </w:r>
          </w:p>
        </w:tc>
        <w:tc>
          <w:tcPr>
            <w:tcW w:w="3260" w:type="dxa"/>
            <w:vAlign w:val="center"/>
          </w:tcPr>
          <w:p>
            <w:pPr>
              <w:widowControl/>
              <w:adjustRightInd w:val="0"/>
              <w:snapToGrid w:val="0"/>
              <w:rPr>
                <w:rFonts w:ascii="Times New Roman" w:hAnsi="Times New Roman" w:eastAsia="宋体" w:cs="Times New Roman"/>
                <w:color w:val="auto"/>
                <w:kern w:val="0"/>
                <w:szCs w:val="21"/>
                <w:lang w:val="zh-CN"/>
              </w:rPr>
            </w:pPr>
            <w:r>
              <w:rPr>
                <w:rFonts w:ascii="Times New Roman" w:hAnsi="Times New Roman" w:eastAsia="宋体" w:cs="Times New Roman"/>
                <w:color w:val="auto"/>
                <w:kern w:val="0"/>
                <w:szCs w:val="21"/>
                <w:lang w:val="zh-CN"/>
              </w:rPr>
              <w:t>0534  烹调工艺与营养</w:t>
            </w:r>
          </w:p>
        </w:tc>
        <w:tc>
          <w:tcPr>
            <w:tcW w:w="3185" w:type="dxa"/>
            <w:vAlign w:val="center"/>
          </w:tcPr>
          <w:p>
            <w:pPr>
              <w:widowControl/>
              <w:adjustRightInd w:val="0"/>
              <w:snapToGrid w:val="0"/>
              <w:rPr>
                <w:rFonts w:ascii="Times New Roman" w:hAnsi="Times New Roman" w:eastAsia="宋体" w:cs="Times New Roman"/>
                <w:color w:val="auto"/>
                <w:kern w:val="0"/>
                <w:szCs w:val="21"/>
                <w:lang w:val="zh-CN"/>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七、</w:t>
      </w:r>
      <w:r>
        <w:rPr>
          <w:rFonts w:ascii="Times New Roman" w:hAnsi="Times New Roman"/>
          <w:color w:val="auto"/>
        </w:rPr>
        <w:t>财经商贸类</w:t>
      </w:r>
    </w:p>
    <w:tbl>
      <w:tblPr>
        <w:tblStyle w:val="9"/>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361"/>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5" w:type="dxa"/>
            <w:vAlign w:val="center"/>
          </w:tcPr>
          <w:p>
            <w:pPr>
              <w:adjustRightInd w:val="0"/>
              <w:snapToGrid w:val="0"/>
              <w:rPr>
                <w:rFonts w:ascii="Times New Roman" w:hAnsi="Times New Roman" w:cs="Times New Roman"/>
                <w:color w:val="auto"/>
                <w:szCs w:val="21"/>
              </w:rPr>
            </w:pPr>
            <w:r>
              <w:rPr>
                <w:rFonts w:ascii="Times New Roman" w:hAnsi="Times New Roman" w:cs="Times New Roman"/>
                <w:bCs/>
                <w:color w:val="auto"/>
                <w:kern w:val="0"/>
                <w:szCs w:val="21"/>
              </w:rPr>
              <w:t>0408  汽车营销</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color w:val="auto"/>
                <w:kern w:val="0"/>
                <w:szCs w:val="21"/>
              </w:rPr>
              <w:t>0437  汽车保险理赔与评估</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0601  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0602  商务文秘</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0603  电子商务</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0604  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0605  工商企业管理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0606  人力资源管理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0607  国际贸易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0608  商务外语</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0609  房地产经营与管理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0610  网络营销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0611  连锁经营与管理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0612  行政管理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0613  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1306  药品营销</w:t>
            </w:r>
          </w:p>
        </w:tc>
        <w:tc>
          <w:tcPr>
            <w:tcW w:w="3361" w:type="dxa"/>
            <w:vAlign w:val="center"/>
          </w:tcPr>
          <w:p>
            <w:pPr>
              <w:widowControl/>
              <w:adjustRightInd w:val="0"/>
              <w:snapToGrid w:val="0"/>
              <w:rPr>
                <w:rFonts w:ascii="Times New Roman" w:hAnsi="Times New Roman" w:cs="Times New Roman"/>
                <w:bCs/>
                <w:color w:val="auto"/>
                <w:kern w:val="0"/>
                <w:szCs w:val="21"/>
              </w:rPr>
            </w:pPr>
          </w:p>
        </w:tc>
        <w:tc>
          <w:tcPr>
            <w:tcW w:w="3185" w:type="dxa"/>
            <w:vAlign w:val="center"/>
          </w:tcPr>
          <w:p>
            <w:pPr>
              <w:widowControl/>
              <w:adjustRightInd w:val="0"/>
              <w:snapToGrid w:val="0"/>
              <w:rPr>
                <w:rFonts w:ascii="Times New Roman" w:hAnsi="Times New Roman" w:cs="Times New Roman"/>
                <w:bCs/>
                <w:color w:val="auto"/>
                <w:kern w:val="0"/>
                <w:szCs w:val="21"/>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八、</w:t>
      </w:r>
      <w:r>
        <w:rPr>
          <w:rFonts w:ascii="Times New Roman" w:hAnsi="Times New Roman"/>
          <w:color w:val="auto"/>
        </w:rPr>
        <w:t>工业综合与农业类</w:t>
      </w:r>
    </w:p>
    <w:tbl>
      <w:tblPr>
        <w:tblStyle w:val="9"/>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361"/>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0701  种植</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0702  现代农艺技术</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0703  果蔬花卉生产技术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0704  畜禽生产与疫病防治</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0705  畜牧兽医</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0706  水产养殖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0707  野生动物保护</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0708  农产品保鲜与加工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0709  棉花加工与检验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0710  现代林业技术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0711  园林技术</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0712  木材加工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0713  林产品加工</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0714  森林资源保护与管理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0715  森林采运工程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0716  农业机械使用与维护</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0717  农村能源开发与利用</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0718  农业与农村用水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0719  航海捕捞</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0720  中草药种植</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0721  农村电气技术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0722  农村经济综合管理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0723  农资连锁经营与管理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0724  农产品营销与储运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0725  茶叶生产与加工</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0726  生态农业技术</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0727  宠物医疗与护理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hint="eastAsia" w:ascii="Times New Roman" w:hAnsi="Times New Roman" w:eastAsia="宋体" w:cs="Times New Roman"/>
                <w:color w:val="auto"/>
                <w:kern w:val="0"/>
                <w:szCs w:val="21"/>
                <w:lang w:val="zh-CN"/>
              </w:rPr>
              <w:t>0</w:t>
            </w:r>
            <w:r>
              <w:rPr>
                <w:rFonts w:ascii="Times New Roman" w:hAnsi="Times New Roman" w:eastAsia="宋体" w:cs="Times New Roman"/>
                <w:color w:val="auto"/>
                <w:kern w:val="0"/>
                <w:szCs w:val="21"/>
                <w:lang w:val="zh-CN"/>
              </w:rPr>
              <w:t>728  农业经营与管理</w:t>
            </w:r>
            <w:r>
              <w:rPr>
                <w:rFonts w:hint="eastAsia" w:ascii="Times New Roman" w:hAnsi="Times New Roman" w:eastAsia="宋体" w:cs="Times New Roman"/>
                <w:color w:val="auto"/>
                <w:kern w:val="0"/>
                <w:szCs w:val="21"/>
                <w:lang w:val="zh-CN"/>
              </w:rPr>
              <w:t xml:space="preserve"> </w:t>
            </w:r>
          </w:p>
        </w:tc>
        <w:tc>
          <w:tcPr>
            <w:tcW w:w="3361" w:type="dxa"/>
            <w:vAlign w:val="center"/>
          </w:tcPr>
          <w:p>
            <w:pPr>
              <w:widowControl/>
              <w:adjustRightInd w:val="0"/>
              <w:snapToGrid w:val="0"/>
              <w:rPr>
                <w:rFonts w:ascii="Times New Roman" w:hAnsi="Times New Roman" w:cs="Times New Roman"/>
                <w:bCs/>
                <w:color w:val="auto"/>
                <w:kern w:val="0"/>
                <w:szCs w:val="21"/>
              </w:rPr>
            </w:pPr>
          </w:p>
        </w:tc>
        <w:tc>
          <w:tcPr>
            <w:tcW w:w="3185" w:type="dxa"/>
            <w:vAlign w:val="center"/>
          </w:tcPr>
          <w:p>
            <w:pPr>
              <w:widowControl/>
              <w:adjustRightInd w:val="0"/>
              <w:snapToGrid w:val="0"/>
              <w:rPr>
                <w:rFonts w:ascii="Times New Roman" w:hAnsi="Times New Roman" w:cs="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0801  矿物开采与处理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0802  煤矿技术（采煤）</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0803  </w:t>
            </w:r>
            <w:r>
              <w:rPr>
                <w:rFonts w:ascii="Times New Roman" w:hAnsi="Times New Roman" w:cs="Times New Roman"/>
                <w:bCs/>
                <w:color w:val="auto"/>
                <w:spacing w:val="-11"/>
                <w:kern w:val="0"/>
                <w:szCs w:val="21"/>
              </w:rPr>
              <w:t>煤矿技术（综合机械化采煤）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0804  </w:t>
            </w:r>
            <w:r>
              <w:rPr>
                <w:rFonts w:ascii="Times New Roman" w:hAnsi="Times New Roman" w:cs="Times New Roman"/>
                <w:bCs/>
                <w:color w:val="auto"/>
                <w:spacing w:val="-11"/>
                <w:kern w:val="0"/>
                <w:szCs w:val="21"/>
              </w:rPr>
              <w:t>煤矿技术（综合机械化掘进）</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0805  矿山测量</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0806  矿井通风与安全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0807  矿山机械操作与维修</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0808  矿山机电</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0809  钻探工程技术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0810  石油钻井</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0811  石油天然气开采</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0812  石油天然气储运与营销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0813  地质勘查</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0814  地图制图与地理信息系统</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0815  水利水电工程施工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0816  水文与水资源勘测</w:t>
            </w:r>
          </w:p>
        </w:tc>
        <w:tc>
          <w:tcPr>
            <w:tcW w:w="3361" w:type="dxa"/>
            <w:vAlign w:val="center"/>
          </w:tcPr>
          <w:p>
            <w:pPr>
              <w:widowControl/>
              <w:adjustRightInd w:val="0"/>
              <w:snapToGrid w:val="0"/>
              <w:ind w:left="630" w:hanging="630" w:hangingChars="300"/>
              <w:rPr>
                <w:rFonts w:ascii="Times New Roman" w:hAnsi="Times New Roman" w:cs="Times New Roman"/>
                <w:bCs/>
                <w:color w:val="auto"/>
                <w:kern w:val="0"/>
                <w:szCs w:val="21"/>
              </w:rPr>
            </w:pPr>
            <w:r>
              <w:rPr>
                <w:rFonts w:ascii="Times New Roman" w:hAnsi="Times New Roman" w:cs="Times New Roman"/>
                <w:bCs/>
                <w:color w:val="auto"/>
                <w:kern w:val="0"/>
                <w:szCs w:val="21"/>
              </w:rPr>
              <w:t>0817  发电厂及变电站电气设备安装与检修</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0818  </w:t>
            </w:r>
            <w:r>
              <w:rPr>
                <w:rFonts w:ascii="Times New Roman" w:hAnsi="Times New Roman" w:cs="Times New Roman"/>
                <w:bCs/>
                <w:color w:val="auto"/>
                <w:spacing w:val="-11"/>
                <w:kern w:val="0"/>
                <w:szCs w:val="21"/>
              </w:rPr>
              <w:t>输配电线路施工运行与检修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0819  供用电技术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0820  火电厂集控运行</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0821  </w:t>
            </w:r>
            <w:r>
              <w:rPr>
                <w:rFonts w:ascii="Times New Roman" w:hAnsi="Times New Roman" w:cs="Times New Roman"/>
                <w:bCs/>
                <w:color w:val="auto"/>
                <w:spacing w:val="-11"/>
                <w:kern w:val="0"/>
                <w:szCs w:val="21"/>
              </w:rPr>
              <w:t>火电厂热力设备运行与检修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0822  </w:t>
            </w:r>
            <w:r>
              <w:rPr>
                <w:rFonts w:ascii="Times New Roman" w:hAnsi="Times New Roman" w:cs="Times New Roman"/>
                <w:bCs/>
                <w:color w:val="auto"/>
                <w:spacing w:val="-11"/>
                <w:kern w:val="0"/>
                <w:szCs w:val="21"/>
              </w:rPr>
              <w:t>风电场机电设备运行与维护</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xml:space="preserve">0823  </w:t>
            </w:r>
            <w:r>
              <w:rPr>
                <w:rFonts w:ascii="Times New Roman" w:hAnsi="Times New Roman" w:cs="Times New Roman"/>
                <w:bCs/>
                <w:color w:val="auto"/>
                <w:spacing w:val="-6"/>
                <w:kern w:val="0"/>
                <w:szCs w:val="21"/>
              </w:rPr>
              <w:t>水电厂机电设备安装与运行</w:t>
            </w:r>
          </w:p>
        </w:tc>
        <w:tc>
          <w:tcPr>
            <w:tcW w:w="3185" w:type="dxa"/>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0824  储能材料制备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hint="eastAsia" w:ascii="Times New Roman" w:hAnsi="Times New Roman" w:cs="Times New Roman"/>
                <w:bCs/>
                <w:color w:val="auto"/>
                <w:kern w:val="0"/>
                <w:szCs w:val="21"/>
              </w:rPr>
              <w:t>0</w:t>
            </w:r>
            <w:r>
              <w:rPr>
                <w:rFonts w:ascii="Times New Roman" w:hAnsi="Times New Roman" w:cs="Times New Roman"/>
                <w:bCs/>
                <w:color w:val="auto"/>
                <w:kern w:val="0"/>
                <w:szCs w:val="21"/>
              </w:rPr>
              <w:t xml:space="preserve">825  </w:t>
            </w:r>
            <w:r>
              <w:rPr>
                <w:rFonts w:ascii="Times New Roman" w:hAnsi="Times New Roman" w:eastAsia="宋体" w:cs="Times New Roman"/>
                <w:color w:val="auto"/>
                <w:kern w:val="0"/>
                <w:szCs w:val="21"/>
                <w:lang w:val="zh-CN"/>
              </w:rPr>
              <w:t>核电设备安装与检修</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hint="eastAsia" w:ascii="Times New Roman" w:hAnsi="Times New Roman" w:cs="Times New Roman"/>
                <w:bCs/>
                <w:color w:val="auto"/>
                <w:kern w:val="0"/>
                <w:szCs w:val="21"/>
              </w:rPr>
              <w:t>0</w:t>
            </w:r>
            <w:r>
              <w:rPr>
                <w:rFonts w:ascii="Times New Roman" w:hAnsi="Times New Roman" w:cs="Times New Roman"/>
                <w:bCs/>
                <w:color w:val="auto"/>
                <w:kern w:val="0"/>
                <w:szCs w:val="21"/>
              </w:rPr>
              <w:t xml:space="preserve">826  </w:t>
            </w:r>
            <w:r>
              <w:rPr>
                <w:rFonts w:ascii="Times New Roman" w:hAnsi="Times New Roman" w:eastAsia="宋体" w:cs="Times New Roman"/>
                <w:color w:val="auto"/>
                <w:kern w:val="0"/>
                <w:szCs w:val="21"/>
                <w:lang w:val="zh-CN"/>
              </w:rPr>
              <w:t>氢能制备与应用</w:t>
            </w:r>
          </w:p>
        </w:tc>
        <w:tc>
          <w:tcPr>
            <w:tcW w:w="3185" w:type="dxa"/>
            <w:vAlign w:val="center"/>
          </w:tcPr>
          <w:p>
            <w:pPr>
              <w:widowControl/>
              <w:adjustRightInd w:val="0"/>
              <w:snapToGrid w:val="0"/>
              <w:rPr>
                <w:rFonts w:ascii="Times New Roman" w:hAnsi="Times New Roman" w:eastAsia="宋体" w:cs="Times New Roman"/>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0901  石油炼制</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0902  化工工艺</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0903  化工分析与检验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0904  精细化工</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0905  生物化工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0906  高分子材料加工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0907  煤化工</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0908  磷化工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0909  火炸药制造与应用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0910  花炮生产与管理</w:t>
            </w:r>
          </w:p>
        </w:tc>
        <w:tc>
          <w:tcPr>
            <w:tcW w:w="3361" w:type="dxa"/>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0911  化工安全管理</w:t>
            </w:r>
          </w:p>
        </w:tc>
        <w:tc>
          <w:tcPr>
            <w:tcW w:w="3185" w:type="dxa"/>
            <w:vAlign w:val="center"/>
          </w:tcPr>
          <w:p>
            <w:pPr>
              <w:widowControl/>
              <w:adjustRightInd w:val="0"/>
              <w:snapToGrid w:val="0"/>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1001  钢材轧制与表面处理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1002  钢铁冶炼</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1003  有色金属冶炼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1101  建筑设备安装</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1102  建筑施工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1103  建筑装饰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1104  建筑测量</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1105  工程监理</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1106  工程造价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1107  建筑工程管理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1108  市政工程施工</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1109  土建工程检测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1110  燃气热力运行与维护</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1111  消防工程技术</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1112  硅酸盐材料制品生产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1113  城市燃气输配与应用</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1114  给排水施工与运行</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1115  城市水务技术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1118  石材工艺</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1119  古建筑修缮与仿建</w:t>
            </w:r>
          </w:p>
        </w:tc>
        <w:tc>
          <w:tcPr>
            <w:tcW w:w="3185" w:type="dxa"/>
            <w:vAlign w:val="center"/>
          </w:tcPr>
          <w:p>
            <w:pPr>
              <w:widowControl/>
              <w:adjustRightInd w:val="0"/>
              <w:snapToGrid w:val="0"/>
              <w:rPr>
                <w:rFonts w:ascii="Times New Roman" w:hAnsi="Times New Roman" w:cs="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1201  印刷（图文信息处理）</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1202  印刷（印刷技术）</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1203  印刷（包装应用技术）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1204  纺织技术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1205  针织工艺</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1206  染整技术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1207  化纤生产技术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1208  服装制作与营销</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1209  服装养护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1213  制浆造纸工艺</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1214  食品加工与检验</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1215  粮食工程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1216  陶瓷工艺</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1218  食品营养与卫生</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1219  食品质量与安全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1220  制糖技术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1224  化妆品制造与营销</w:t>
            </w:r>
          </w:p>
        </w:tc>
        <w:tc>
          <w:tcPr>
            <w:tcW w:w="3185" w:type="dxa"/>
            <w:vAlign w:val="center"/>
          </w:tcPr>
          <w:p>
            <w:pPr>
              <w:widowControl/>
              <w:adjustRightInd w:val="0"/>
              <w:snapToGrid w:val="0"/>
              <w:rPr>
                <w:rFonts w:ascii="Times New Roman" w:hAnsi="Times New Roman" w:cs="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1301  中药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1302  药物制剂</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1303  化学制药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1304  生物制药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1305  药物分析与检验</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1307  口腔义齿制造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1308  眼视光技术</w:t>
            </w:r>
          </w:p>
        </w:tc>
        <w:tc>
          <w:tcPr>
            <w:tcW w:w="3361"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1309  医疗器械制造与维修</w:t>
            </w:r>
          </w:p>
        </w:tc>
        <w:tc>
          <w:tcPr>
            <w:tcW w:w="318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eastAsia="宋体" w:cs="Times New Roman"/>
                <w:color w:val="auto"/>
                <w:kern w:val="0"/>
                <w:szCs w:val="21"/>
                <w:lang w:val="zh-CN"/>
              </w:rPr>
              <w:t>1310  药品服务与管理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1502  环境保护与检测</w:t>
            </w:r>
          </w:p>
        </w:tc>
        <w:tc>
          <w:tcPr>
            <w:tcW w:w="3361" w:type="dxa"/>
            <w:vAlign w:val="center"/>
          </w:tcPr>
          <w:p>
            <w:pPr>
              <w:widowControl/>
              <w:adjustRightInd w:val="0"/>
              <w:snapToGrid w:val="0"/>
              <w:rPr>
                <w:rFonts w:ascii="Times New Roman" w:hAnsi="Times New Roman" w:cs="Times New Roman"/>
                <w:bCs/>
                <w:color w:val="auto"/>
                <w:kern w:val="0"/>
                <w:szCs w:val="21"/>
              </w:rPr>
            </w:pPr>
          </w:p>
        </w:tc>
        <w:tc>
          <w:tcPr>
            <w:tcW w:w="3185" w:type="dxa"/>
            <w:vAlign w:val="center"/>
          </w:tcPr>
          <w:p>
            <w:pPr>
              <w:widowControl/>
              <w:adjustRightInd w:val="0"/>
              <w:snapToGrid w:val="0"/>
              <w:rPr>
                <w:rFonts w:ascii="Times New Roman" w:hAnsi="Times New Roman" w:cs="Times New Roman"/>
                <w:color w:val="auto"/>
                <w:kern w:val="0"/>
                <w:szCs w:val="21"/>
              </w:rPr>
            </w:pPr>
          </w:p>
        </w:tc>
      </w:tr>
    </w:tbl>
    <w:p>
      <w:pPr>
        <w:pStyle w:val="7"/>
        <w:ind w:firstLine="422" w:firstLineChars="200"/>
        <w:jc w:val="both"/>
        <w:rPr>
          <w:rFonts w:ascii="Times New Roman" w:hAnsi="Times New Roman"/>
          <w:color w:val="auto"/>
        </w:rPr>
      </w:pPr>
      <w:r>
        <w:rPr>
          <w:rFonts w:hint="eastAsia" w:ascii="Times New Roman" w:hAnsi="Times New Roman"/>
          <w:color w:val="auto"/>
          <w:lang w:eastAsia="zh-CN"/>
        </w:rPr>
        <w:t>九、</w:t>
      </w:r>
      <w:r>
        <w:rPr>
          <w:rFonts w:ascii="Times New Roman" w:hAnsi="Times New Roman"/>
          <w:color w:val="auto"/>
        </w:rPr>
        <w:t>文化艺术与综合类</w:t>
      </w:r>
    </w:p>
    <w:tbl>
      <w:tblPr>
        <w:tblStyle w:val="9"/>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3402"/>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1116  建筑设计</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1117  建筑模型设计与制作</w:t>
            </w:r>
          </w:p>
        </w:tc>
        <w:tc>
          <w:tcPr>
            <w:tcW w:w="3144" w:type="dxa"/>
            <w:vAlign w:val="center"/>
          </w:tcPr>
          <w:p>
            <w:pPr>
              <w:widowControl/>
              <w:adjustRightInd w:val="0"/>
              <w:snapToGrid w:val="0"/>
              <w:rPr>
                <w:rFonts w:ascii="Times New Roman" w:hAnsi="Times New Roman" w:cs="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1210  服装设计与制作</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1211  皮革加工与设计</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1212  鞋制品设计与制作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1217  陶瓷美术</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1221  玩具设计与制造</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1222  家具设计与制作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1223  灯饰工艺与造型</w:t>
            </w:r>
          </w:p>
        </w:tc>
        <w:tc>
          <w:tcPr>
            <w:tcW w:w="3402" w:type="dxa"/>
            <w:vAlign w:val="center"/>
          </w:tcPr>
          <w:p>
            <w:pPr>
              <w:widowControl/>
              <w:adjustRightInd w:val="0"/>
              <w:snapToGrid w:val="0"/>
              <w:rPr>
                <w:rFonts w:ascii="Times New Roman" w:hAnsi="Times New Roman" w:cs="Times New Roman"/>
                <w:bCs/>
                <w:color w:val="auto"/>
                <w:kern w:val="0"/>
                <w:szCs w:val="21"/>
              </w:rPr>
            </w:pPr>
          </w:p>
        </w:tc>
        <w:tc>
          <w:tcPr>
            <w:tcW w:w="3144" w:type="dxa"/>
            <w:vAlign w:val="center"/>
          </w:tcPr>
          <w:p>
            <w:pPr>
              <w:widowControl/>
              <w:adjustRightInd w:val="0"/>
              <w:snapToGrid w:val="0"/>
              <w:rPr>
                <w:rFonts w:ascii="Times New Roman" w:hAnsi="Times New Roman" w:cs="Times New Roman"/>
                <w:bCs/>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1401  美术设计与制作</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1402  工艺美术</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1403  珠宝首饰设计与制作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1404  珠宝首饰鉴定与营销</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1405  室内设计</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1406  环境艺术设计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1407  工业设计</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1408  美术绘画</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1409  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1410  民族音乐与舞蹈</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1411  服装模特</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1412  演艺设备安装与调试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1413  新闻采编与制作</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1414  播音与主持</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1415  数字出版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1416  摄影摄像技术</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1417  文物修复与保护</w:t>
            </w: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1418  舞蹈表演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1419  影视表演与制作</w:t>
            </w:r>
          </w:p>
        </w:tc>
        <w:tc>
          <w:tcPr>
            <w:tcW w:w="3402"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1420  平面设计</w:t>
            </w:r>
          </w:p>
        </w:tc>
        <w:tc>
          <w:tcPr>
            <w:tcW w:w="3144" w:type="dxa"/>
            <w:vAlign w:val="center"/>
          </w:tcPr>
          <w:p>
            <w:pPr>
              <w:widowControl/>
              <w:adjustRightInd w:val="0"/>
              <w:snapToGrid w:val="0"/>
              <w:rPr>
                <w:rFonts w:ascii="Times New Roman" w:hAnsi="Times New Roman" w:cs="Times New Roman"/>
                <w:color w:val="auto"/>
                <w:kern w:val="0"/>
                <w:szCs w:val="21"/>
              </w:rPr>
            </w:pPr>
            <w:r>
              <w:rPr>
                <w:rFonts w:ascii="Times New Roman" w:hAnsi="Times New Roman" w:eastAsia="宋体" w:cs="Times New Roman"/>
                <w:color w:val="auto"/>
                <w:kern w:val="0"/>
                <w:szCs w:val="21"/>
                <w:lang w:val="zh-CN"/>
              </w:rPr>
              <w:t>1421  运动训练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hint="eastAsia" w:ascii="Times New Roman" w:hAnsi="Times New Roman" w:cs="Times New Roman"/>
                <w:bCs/>
                <w:color w:val="auto"/>
                <w:kern w:val="0"/>
                <w:szCs w:val="21"/>
              </w:rPr>
              <w:t>1</w:t>
            </w:r>
            <w:r>
              <w:rPr>
                <w:rFonts w:ascii="Times New Roman" w:hAnsi="Times New Roman" w:cs="Times New Roman"/>
                <w:bCs/>
                <w:color w:val="auto"/>
                <w:kern w:val="0"/>
                <w:szCs w:val="21"/>
              </w:rPr>
              <w:t xml:space="preserve">422  </w:t>
            </w:r>
            <w:r>
              <w:rPr>
                <w:rFonts w:ascii="Times New Roman" w:hAnsi="Times New Roman" w:eastAsia="宋体" w:cs="Times New Roman"/>
                <w:color w:val="auto"/>
                <w:kern w:val="0"/>
                <w:szCs w:val="21"/>
                <w:lang w:val="zh-CN"/>
              </w:rPr>
              <w:t>乐器制造与维修</w:t>
            </w:r>
          </w:p>
        </w:tc>
        <w:tc>
          <w:tcPr>
            <w:tcW w:w="3402" w:type="dxa"/>
            <w:vAlign w:val="center"/>
          </w:tcPr>
          <w:p>
            <w:pPr>
              <w:widowControl/>
              <w:adjustRightInd w:val="0"/>
              <w:snapToGrid w:val="0"/>
              <w:rPr>
                <w:rFonts w:ascii="Times New Roman" w:hAnsi="Times New Roman" w:cs="Times New Roman"/>
                <w:bCs/>
                <w:color w:val="auto"/>
                <w:kern w:val="0"/>
                <w:szCs w:val="21"/>
              </w:rPr>
            </w:pPr>
          </w:p>
        </w:tc>
        <w:tc>
          <w:tcPr>
            <w:tcW w:w="3144" w:type="dxa"/>
            <w:vAlign w:val="center"/>
          </w:tcPr>
          <w:p>
            <w:pPr>
              <w:widowControl/>
              <w:adjustRightInd w:val="0"/>
              <w:snapToGrid w:val="0"/>
              <w:rPr>
                <w:rFonts w:ascii="Times New Roman" w:hAnsi="Times New Roman" w:eastAsia="宋体" w:cs="Times New Roman"/>
                <w:color w:val="auto"/>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3155"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1501  幼儿教育</w:t>
            </w:r>
          </w:p>
        </w:tc>
        <w:tc>
          <w:tcPr>
            <w:tcW w:w="3402" w:type="dxa"/>
            <w:vAlign w:val="center"/>
          </w:tcPr>
          <w:p>
            <w:pPr>
              <w:widowControl/>
              <w:adjustRightInd w:val="0"/>
              <w:snapToGrid w:val="0"/>
              <w:rPr>
                <w:rFonts w:ascii="Times New Roman" w:hAnsi="Times New Roman" w:cs="Times New Roman"/>
                <w:bCs/>
                <w:color w:val="auto"/>
                <w:kern w:val="0"/>
                <w:szCs w:val="21"/>
              </w:rPr>
            </w:pPr>
          </w:p>
        </w:tc>
        <w:tc>
          <w:tcPr>
            <w:tcW w:w="3144" w:type="dxa"/>
            <w:vAlign w:val="center"/>
          </w:tcPr>
          <w:p>
            <w:pPr>
              <w:widowControl/>
              <w:adjustRightInd w:val="0"/>
              <w:snapToGrid w:val="0"/>
              <w:rPr>
                <w:rFonts w:ascii="Times New Roman" w:hAnsi="Times New Roman" w:cs="Times New Roman"/>
                <w:bCs/>
                <w:color w:val="auto"/>
                <w:kern w:val="0"/>
                <w:szCs w:val="21"/>
              </w:rPr>
            </w:pPr>
            <w:r>
              <w:rPr>
                <w:rFonts w:ascii="Times New Roman" w:hAnsi="Times New Roman" w:cs="Times New Roman"/>
                <w:bCs/>
                <w:color w:val="auto"/>
                <w:kern w:val="0"/>
                <w:szCs w:val="21"/>
              </w:rPr>
              <w:t>　</w:t>
            </w:r>
          </w:p>
        </w:tc>
      </w:tr>
    </w:tbl>
    <w:p>
      <w:pPr>
        <w:pStyle w:val="7"/>
        <w:jc w:val="both"/>
        <w:rPr>
          <w:rFonts w:ascii="Times New Roman" w:hAnsi="Times New Roman"/>
          <w:color w:val="auto"/>
        </w:rPr>
      </w:pPr>
      <w:r>
        <w:rPr>
          <w:rFonts w:ascii="Times New Roman" w:hAnsi="Times New Roman"/>
          <w:color w:val="auto"/>
        </w:rPr>
        <w:fldChar w:fldCharType="begin"/>
      </w:r>
      <w:r>
        <w:rPr>
          <w:rFonts w:ascii="Times New Roman" w:hAnsi="Times New Roman"/>
          <w:color w:val="auto"/>
        </w:rPr>
        <w:instrText xml:space="preserve"> TOC \o "1-3" \u </w:instrText>
      </w:r>
      <w:r>
        <w:rPr>
          <w:rFonts w:ascii="Times New Roman" w:hAnsi="Times New Roman"/>
          <w:color w:val="auto"/>
        </w:rPr>
        <w:fldChar w:fldCharType="separate"/>
      </w:r>
    </w:p>
    <w:p>
      <w:pPr>
        <w:spacing w:line="400" w:lineRule="exact"/>
        <w:rPr>
          <w:rFonts w:ascii="Times New Roman" w:hAnsi="Times New Roman" w:eastAsia="黑体" w:cs="Times New Roman"/>
          <w:bCs/>
          <w:color w:val="auto"/>
          <w:sz w:val="32"/>
          <w:szCs w:val="32"/>
        </w:rPr>
      </w:pPr>
      <w:r>
        <w:rPr>
          <w:rFonts w:ascii="Times New Roman" w:hAnsi="Times New Roman" w:cs="Times New Roman"/>
          <w:color w:val="auto"/>
          <w:szCs w:val="21"/>
        </w:rPr>
        <w:fldChar w:fldCharType="end"/>
      </w:r>
      <w:r>
        <w:rPr>
          <w:rFonts w:ascii="Times New Roman" w:hAnsi="Times New Roman" w:cs="Times New Roman"/>
          <w:color w:val="auto"/>
          <w:szCs w:val="21"/>
        </w:rPr>
        <w:fldChar w:fldCharType="end"/>
      </w:r>
      <w:r>
        <w:rPr>
          <w:rFonts w:hint="eastAsia" w:ascii="Times New Roman" w:hAnsi="Times New Roman" w:eastAsia="黑体" w:cs="黑体"/>
          <w:bCs/>
          <w:color w:val="auto"/>
          <w:sz w:val="32"/>
          <w:szCs w:val="32"/>
        </w:rPr>
        <w:t>附件</w:t>
      </w:r>
      <w:r>
        <w:rPr>
          <w:rFonts w:ascii="Times New Roman" w:hAnsi="Times New Roman" w:eastAsia="黑体" w:cs="Times New Roman"/>
          <w:bCs/>
          <w:color w:val="auto"/>
          <w:sz w:val="32"/>
          <w:szCs w:val="32"/>
        </w:rPr>
        <w:t>2</w:t>
      </w:r>
    </w:p>
    <w:p>
      <w:pPr>
        <w:adjustRightInd w:val="0"/>
        <w:snapToGrid w:val="0"/>
        <w:spacing w:line="600" w:lineRule="exact"/>
        <w:jc w:val="center"/>
        <w:rPr>
          <w:rFonts w:ascii="Times New Roman" w:hAnsi="Times New Roman" w:cs="Times New Roman"/>
          <w:b/>
          <w:bCs/>
          <w:color w:val="auto"/>
          <w:sz w:val="44"/>
          <w:szCs w:val="32"/>
        </w:rPr>
      </w:pPr>
    </w:p>
    <w:p>
      <w:pPr>
        <w:adjustRightInd w:val="0"/>
        <w:snapToGrid w:val="0"/>
        <w:spacing w:line="600" w:lineRule="exact"/>
        <w:jc w:val="center"/>
        <w:rPr>
          <w:rFonts w:ascii="Times New Roman" w:hAnsi="Times New Roman" w:eastAsia="华文中宋" w:cs="Times New Roman"/>
          <w:b/>
          <w:bCs/>
          <w:color w:val="auto"/>
          <w:sz w:val="44"/>
          <w:szCs w:val="32"/>
        </w:rPr>
      </w:pPr>
      <w:r>
        <w:rPr>
          <w:rFonts w:ascii="Times New Roman" w:hAnsi="Times New Roman" w:eastAsia="华文中宋" w:cs="Times New Roman"/>
          <w:b/>
          <w:bCs/>
          <w:color w:val="auto"/>
          <w:sz w:val="44"/>
          <w:szCs w:val="32"/>
        </w:rPr>
        <w:t>第二届全国技工院校教师</w:t>
      </w:r>
    </w:p>
    <w:p>
      <w:pPr>
        <w:adjustRightInd w:val="0"/>
        <w:snapToGrid w:val="0"/>
        <w:spacing w:line="600" w:lineRule="exact"/>
        <w:jc w:val="center"/>
        <w:rPr>
          <w:rFonts w:ascii="Times New Roman" w:hAnsi="Times New Roman" w:eastAsia="华文中宋" w:cs="Times New Roman"/>
          <w:b/>
          <w:bCs/>
          <w:color w:val="auto"/>
          <w:sz w:val="44"/>
          <w:szCs w:val="32"/>
        </w:rPr>
      </w:pPr>
      <w:r>
        <w:rPr>
          <w:rFonts w:ascii="Times New Roman" w:hAnsi="Times New Roman" w:eastAsia="华文中宋" w:cs="Times New Roman"/>
          <w:b/>
          <w:bCs/>
          <w:color w:val="auto"/>
          <w:sz w:val="44"/>
          <w:szCs w:val="32"/>
        </w:rPr>
        <w:t>职业能力大赛评审办法</w:t>
      </w:r>
    </w:p>
    <w:p>
      <w:pPr>
        <w:adjustRightInd w:val="0"/>
        <w:snapToGrid w:val="0"/>
        <w:spacing w:line="600" w:lineRule="exact"/>
        <w:rPr>
          <w:rFonts w:ascii="Times New Roman" w:hAnsi="Times New Roman" w:eastAsia="仿宋_GB2312" w:cs="Times New Roman"/>
          <w:color w:val="auto"/>
          <w:sz w:val="32"/>
          <w:szCs w:val="32"/>
        </w:rPr>
      </w:pP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第二届全国技工院校教师职业能力大赛评审工作包括教学设计评审</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说课与答辩评审两个环节。为确保评审</w:t>
      </w:r>
      <w:r>
        <w:rPr>
          <w:rFonts w:hint="eastAsia" w:ascii="Times New Roman" w:hAnsi="Times New Roman" w:eastAsia="仿宋_GB2312" w:cs="Times New Roman"/>
          <w:color w:val="auto"/>
          <w:sz w:val="32"/>
          <w:szCs w:val="32"/>
          <w:lang w:eastAsia="zh-CN"/>
        </w:rPr>
        <w:t>规范、</w:t>
      </w:r>
      <w:r>
        <w:rPr>
          <w:rFonts w:ascii="Times New Roman" w:hAnsi="Times New Roman" w:eastAsia="仿宋_GB2312" w:cs="Times New Roman"/>
          <w:color w:val="auto"/>
          <w:sz w:val="32"/>
          <w:szCs w:val="32"/>
        </w:rPr>
        <w:t>公平</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公正，特制定本办法。</w:t>
      </w:r>
    </w:p>
    <w:p>
      <w:pPr>
        <w:numPr>
          <w:ilvl w:val="0"/>
          <w:numId w:val="1"/>
        </w:numPr>
        <w:ind w:firstLine="640" w:firstLineChars="200"/>
        <w:rPr>
          <w:rFonts w:hint="eastAsia" w:ascii="Times New Roman" w:hAnsi="Times New Roman" w:eastAsia="黑体" w:cs="黑体"/>
          <w:color w:val="auto"/>
          <w:sz w:val="32"/>
          <w:szCs w:val="32"/>
          <w:lang w:eastAsia="zh-CN"/>
        </w:rPr>
      </w:pPr>
      <w:r>
        <w:rPr>
          <w:rFonts w:hint="eastAsia" w:ascii="Times New Roman" w:hAnsi="Times New Roman" w:eastAsia="黑体" w:cs="黑体"/>
          <w:color w:val="auto"/>
          <w:sz w:val="32"/>
          <w:szCs w:val="32"/>
        </w:rPr>
        <w:t>大赛评审和仲裁工作组</w:t>
      </w:r>
    </w:p>
    <w:p>
      <w:pPr>
        <w:numPr>
          <w:ilvl w:val="0"/>
          <w:numId w:val="0"/>
        </w:numPr>
        <w:ind w:firstLine="640" w:firstLineChars="200"/>
        <w:rPr>
          <w:rFonts w:ascii="Times New Roman" w:hAnsi="Times New Roman" w:eastAsia="黑体" w:cs="Times New Roman"/>
          <w:color w:val="auto"/>
          <w:sz w:val="32"/>
          <w:szCs w:val="32"/>
        </w:rPr>
      </w:pPr>
      <w:r>
        <w:rPr>
          <w:rFonts w:hint="eastAsia" w:ascii="Times New Roman" w:hAnsi="Times New Roman" w:eastAsia="仿宋_GB2312" w:cs="Times New Roman"/>
          <w:color w:val="auto"/>
          <w:sz w:val="32"/>
          <w:szCs w:val="32"/>
        </w:rPr>
        <w:t>大赛评审和仲裁工作组</w:t>
      </w:r>
      <w:r>
        <w:rPr>
          <w:rFonts w:ascii="Times New Roman" w:hAnsi="Times New Roman" w:eastAsia="仿宋_GB2312" w:cs="Times New Roman"/>
          <w:color w:val="auto"/>
          <w:sz w:val="32"/>
          <w:szCs w:val="32"/>
        </w:rPr>
        <w:t>设总专家组长1名、专家副组长2名</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仲裁组长1名、仲裁员2名，全面负责大赛评审和仲裁工作。</w:t>
      </w:r>
    </w:p>
    <w:p>
      <w:pPr>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二</w:t>
      </w:r>
      <w:r>
        <w:rPr>
          <w:rFonts w:ascii="Times New Roman" w:hAnsi="Times New Roman" w:eastAsia="黑体" w:cs="Times New Roman"/>
          <w:color w:val="auto"/>
          <w:sz w:val="32"/>
          <w:szCs w:val="32"/>
        </w:rPr>
        <w:t>、教学设计评审</w:t>
      </w:r>
    </w:p>
    <w:p>
      <w:pPr>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评委根据《第二届全国技工院校教师职业能力大赛评价表（教学设计评审）》对教学设计进行评审</w:t>
      </w:r>
      <w:r>
        <w:rPr>
          <w:rFonts w:ascii="Times New Roman" w:hAnsi="Times New Roman" w:eastAsia="仿宋_GB2312" w:cs="Times New Roman"/>
          <w:color w:val="auto"/>
          <w:sz w:val="32"/>
          <w:szCs w:val="32"/>
        </w:rPr>
        <w:t>，选手</w:t>
      </w:r>
      <w:r>
        <w:rPr>
          <w:rFonts w:hint="eastAsia" w:ascii="Times New Roman" w:hAnsi="Times New Roman" w:eastAsia="仿宋_GB2312" w:cs="Times New Roman"/>
          <w:color w:val="auto"/>
          <w:sz w:val="32"/>
          <w:szCs w:val="32"/>
        </w:rPr>
        <w:t>不需要</w:t>
      </w:r>
      <w:r>
        <w:rPr>
          <w:rFonts w:ascii="Times New Roman" w:hAnsi="Times New Roman" w:eastAsia="仿宋_GB2312" w:cs="Times New Roman"/>
          <w:color w:val="auto"/>
          <w:sz w:val="32"/>
          <w:szCs w:val="32"/>
        </w:rPr>
        <w:t>到现场。</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（一）评审专家组成。</w:t>
      </w:r>
      <w:r>
        <w:rPr>
          <w:rFonts w:ascii="Times New Roman" w:hAnsi="Times New Roman" w:eastAsia="仿宋_GB2312" w:cs="Times New Roman"/>
          <w:color w:val="auto"/>
          <w:sz w:val="32"/>
          <w:szCs w:val="32"/>
        </w:rPr>
        <w:t>由各参赛省级人力资源社会保障部门按照《第二届全国技工院校教师职业能力大赛评审专家组织推荐办法》的要求推荐本省份</w:t>
      </w:r>
      <w:r>
        <w:rPr>
          <w:rFonts w:hint="eastAsia" w:ascii="Times New Roman" w:hAnsi="Times New Roman" w:eastAsia="仿宋_GB2312" w:cs="Times New Roman"/>
          <w:color w:val="auto"/>
          <w:sz w:val="32"/>
          <w:szCs w:val="32"/>
        </w:rPr>
        <w:t>评审</w:t>
      </w:r>
      <w:r>
        <w:rPr>
          <w:rFonts w:ascii="Times New Roman" w:hAnsi="Times New Roman" w:eastAsia="仿宋_GB2312" w:cs="Times New Roman"/>
          <w:color w:val="auto"/>
          <w:sz w:val="32"/>
          <w:szCs w:val="32"/>
        </w:rPr>
        <w:t>专家，大赛工作办公室遴选，报大赛领导小组同意后，经培训参与评审工作。</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评审专家共</w:t>
      </w:r>
      <w:r>
        <w:rPr>
          <w:rFonts w:hint="eastAsia" w:ascii="Times New Roman" w:hAnsi="Times New Roman" w:eastAsia="仿宋_GB2312" w:cs="Times New Roman"/>
          <w:color w:val="auto"/>
          <w:sz w:val="32"/>
          <w:szCs w:val="32"/>
        </w:rPr>
        <w:t>63</w:t>
      </w:r>
      <w:r>
        <w:rPr>
          <w:rFonts w:ascii="Times New Roman" w:hAnsi="Times New Roman" w:eastAsia="仿宋_GB2312" w:cs="Times New Roman"/>
          <w:color w:val="auto"/>
          <w:sz w:val="32"/>
          <w:szCs w:val="32"/>
        </w:rPr>
        <w:t>人，按照大赛类别分</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组，每组由7位专家组成，其中组长1名。</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（二）评分</w:t>
      </w:r>
      <w:r>
        <w:rPr>
          <w:rFonts w:hint="eastAsia" w:ascii="Times New Roman" w:hAnsi="Times New Roman" w:eastAsia="楷体_GB2312" w:cs="Times New Roman"/>
          <w:b/>
          <w:color w:val="auto"/>
          <w:sz w:val="32"/>
          <w:szCs w:val="32"/>
          <w:lang w:eastAsia="zh-CN"/>
        </w:rPr>
        <w:t>成绩</w:t>
      </w:r>
      <w:r>
        <w:rPr>
          <w:rFonts w:ascii="Times New Roman" w:hAnsi="Times New Roman" w:eastAsia="楷体_GB2312" w:cs="Times New Roman"/>
          <w:b/>
          <w:color w:val="auto"/>
          <w:sz w:val="32"/>
          <w:szCs w:val="32"/>
        </w:rPr>
        <w:t>。</w:t>
      </w:r>
      <w:r>
        <w:rPr>
          <w:rFonts w:ascii="Times New Roman" w:hAnsi="Times New Roman" w:eastAsia="仿宋_GB2312" w:cs="Times New Roman"/>
          <w:color w:val="auto"/>
          <w:sz w:val="32"/>
          <w:szCs w:val="32"/>
        </w:rPr>
        <w:t>评分采取百分制，</w:t>
      </w:r>
      <w:r>
        <w:rPr>
          <w:rFonts w:hint="eastAsia" w:ascii="Times New Roman" w:hAnsi="Times New Roman" w:eastAsia="仿宋_GB2312" w:cs="Times New Roman"/>
          <w:color w:val="auto"/>
          <w:sz w:val="32"/>
          <w:szCs w:val="32"/>
        </w:rPr>
        <w:t>共</w:t>
      </w:r>
      <w:r>
        <w:rPr>
          <w:rFonts w:ascii="Times New Roman" w:hAnsi="Times New Roman" w:eastAsia="仿宋_GB2312" w:cs="Times New Roman"/>
          <w:color w:val="auto"/>
          <w:sz w:val="32"/>
          <w:szCs w:val="32"/>
        </w:rPr>
        <w:t>10项评价指标，每项评价指标满分均为10分。评审专家均须独立评审，对每份教学设计按照评价指标分别评分。每份教学设计的</w:t>
      </w:r>
      <w:r>
        <w:rPr>
          <w:rFonts w:hint="eastAsia" w:ascii="Times New Roman" w:hAnsi="Times New Roman" w:eastAsia="仿宋_GB2312" w:cs="Times New Roman"/>
          <w:color w:val="auto"/>
          <w:sz w:val="32"/>
          <w:szCs w:val="32"/>
          <w:lang w:eastAsia="zh-CN"/>
        </w:rPr>
        <w:t>最后成绩为</w:t>
      </w:r>
      <w:r>
        <w:rPr>
          <w:rFonts w:ascii="Times New Roman" w:hAnsi="Times New Roman" w:eastAsia="仿宋_GB2312" w:cs="Times New Roman"/>
          <w:color w:val="auto"/>
          <w:sz w:val="32"/>
          <w:szCs w:val="32"/>
        </w:rPr>
        <w:t>7位评审专家评分</w:t>
      </w:r>
      <w:r>
        <w:rPr>
          <w:rFonts w:hint="eastAsia" w:ascii="Times New Roman" w:hAnsi="Times New Roman" w:eastAsia="仿宋_GB2312" w:cs="Times New Roman"/>
          <w:color w:val="auto"/>
          <w:sz w:val="32"/>
          <w:szCs w:val="32"/>
          <w:lang w:eastAsia="zh-CN"/>
        </w:rPr>
        <w:t>汇总后的平均分</w:t>
      </w:r>
      <w:r>
        <w:rPr>
          <w:rFonts w:ascii="Times New Roman" w:hAnsi="Times New Roman" w:eastAsia="仿宋_GB2312" w:cs="Times New Roman"/>
          <w:color w:val="auto"/>
          <w:sz w:val="32"/>
          <w:szCs w:val="32"/>
        </w:rPr>
        <w:t>。</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三</w:t>
      </w:r>
      <w:r>
        <w:rPr>
          <w:rFonts w:ascii="Times New Roman" w:hAnsi="Times New Roman" w:eastAsia="楷体_GB2312" w:cs="Times New Roman"/>
          <w:b/>
          <w:color w:val="auto"/>
          <w:sz w:val="32"/>
          <w:szCs w:val="32"/>
        </w:rPr>
        <w:t>）评审</w:t>
      </w:r>
      <w:r>
        <w:rPr>
          <w:rFonts w:hint="eastAsia" w:ascii="Times New Roman" w:hAnsi="Times New Roman" w:eastAsia="楷体_GB2312" w:cs="Times New Roman"/>
          <w:b/>
          <w:color w:val="auto"/>
          <w:sz w:val="32"/>
          <w:szCs w:val="32"/>
          <w:lang w:eastAsia="zh-CN"/>
        </w:rPr>
        <w:t>原则</w:t>
      </w:r>
      <w:r>
        <w:rPr>
          <w:rFonts w:ascii="Times New Roman" w:hAnsi="Times New Roman" w:eastAsia="楷体_GB2312" w:cs="Times New Roman"/>
          <w:b/>
          <w:color w:val="auto"/>
          <w:sz w:val="32"/>
          <w:szCs w:val="32"/>
        </w:rPr>
        <w:t>。</w:t>
      </w:r>
      <w:r>
        <w:rPr>
          <w:rFonts w:ascii="Times New Roman" w:hAnsi="Times New Roman" w:eastAsia="仿宋_GB2312" w:cs="Times New Roman"/>
          <w:color w:val="auto"/>
          <w:sz w:val="32"/>
          <w:szCs w:val="32"/>
        </w:rPr>
        <w:t>参赛作品无政治性错误，能充分反映教学内容的价值，体现以学生为主体、以能力为本位的教学理念。提倡参赛作品在选题、案例选择、活动背景设置、活动过程设计等方面融入思政元素，弘扬社会主义核心价值观，培养家国情怀、工匠精神</w:t>
      </w:r>
      <w:r>
        <w:rPr>
          <w:rFonts w:hint="eastAsia" w:ascii="Times New Roman" w:hAnsi="Times New Roman" w:eastAsia="仿宋_GB2312" w:cs="Times New Roman"/>
          <w:color w:val="auto"/>
          <w:sz w:val="32"/>
          <w:szCs w:val="32"/>
        </w:rPr>
        <w:t>；将劳动教育纳入教学设计中，引导树立正确的劳动观，崇尚劳动、尊重劳动</w:t>
      </w:r>
      <w:r>
        <w:rPr>
          <w:rFonts w:ascii="Times New Roman" w:hAnsi="Times New Roman" w:eastAsia="仿宋_GB2312" w:cs="Times New Roman"/>
          <w:color w:val="auto"/>
          <w:sz w:val="32"/>
          <w:szCs w:val="32"/>
        </w:rPr>
        <w:t>。提倡参赛作品根据具体学情开展教学设计，体现学生在专业、兴趣和学力基础等方面的差别和特点。</w:t>
      </w:r>
    </w:p>
    <w:p>
      <w:pPr>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三</w:t>
      </w:r>
      <w:r>
        <w:rPr>
          <w:rFonts w:ascii="Times New Roman" w:hAnsi="Times New Roman" w:eastAsia="黑体" w:cs="Times New Roman"/>
          <w:color w:val="auto"/>
          <w:sz w:val="32"/>
          <w:szCs w:val="32"/>
        </w:rPr>
        <w:t>、说课与答辩评审</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参赛选手现场进行说课与答辩，评委</w:t>
      </w:r>
      <w:r>
        <w:rPr>
          <w:rFonts w:hint="eastAsia" w:ascii="Times New Roman" w:hAnsi="Times New Roman" w:eastAsia="仿宋_GB2312" w:cs="Times New Roman"/>
          <w:color w:val="auto"/>
          <w:sz w:val="32"/>
          <w:szCs w:val="32"/>
          <w:lang w:eastAsia="zh-CN"/>
        </w:rPr>
        <w:t>依据《第二届全国技工院校教师职业能力大赛评价表（说课与答辩评审）》</w:t>
      </w:r>
      <w:r>
        <w:rPr>
          <w:rFonts w:ascii="Times New Roman" w:hAnsi="Times New Roman" w:eastAsia="仿宋_GB2312" w:cs="Times New Roman"/>
          <w:color w:val="auto"/>
          <w:sz w:val="32"/>
          <w:szCs w:val="32"/>
        </w:rPr>
        <w:t>现场评分。</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（一）评审专家组成。</w:t>
      </w:r>
      <w:r>
        <w:rPr>
          <w:rFonts w:ascii="Times New Roman" w:hAnsi="Times New Roman" w:eastAsia="仿宋_GB2312" w:cs="Times New Roman"/>
          <w:color w:val="auto"/>
          <w:sz w:val="32"/>
          <w:szCs w:val="32"/>
        </w:rPr>
        <w:t>按照大赛类别分</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个项目组，每组由7位专家组成，其中组长1名，负责召集专家并协调现场答辩事宜。</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（二）评分</w:t>
      </w:r>
      <w:r>
        <w:rPr>
          <w:rFonts w:hint="eastAsia" w:ascii="Times New Roman" w:hAnsi="Times New Roman" w:eastAsia="楷体_GB2312" w:cs="Times New Roman"/>
          <w:b/>
          <w:color w:val="auto"/>
          <w:sz w:val="32"/>
          <w:szCs w:val="32"/>
          <w:lang w:eastAsia="zh-CN"/>
        </w:rPr>
        <w:t>成绩</w:t>
      </w:r>
      <w:r>
        <w:rPr>
          <w:rFonts w:ascii="Times New Roman" w:hAnsi="Times New Roman" w:eastAsia="楷体_GB2312" w:cs="Times New Roman"/>
          <w:b/>
          <w:color w:val="auto"/>
          <w:sz w:val="32"/>
          <w:szCs w:val="32"/>
        </w:rPr>
        <w:t>。</w:t>
      </w:r>
      <w:r>
        <w:rPr>
          <w:rFonts w:ascii="Times New Roman" w:hAnsi="Times New Roman" w:eastAsia="仿宋_GB2312" w:cs="Times New Roman"/>
          <w:color w:val="auto"/>
          <w:sz w:val="32"/>
          <w:szCs w:val="32"/>
        </w:rPr>
        <w:t>评分采取百分制，</w:t>
      </w:r>
      <w:r>
        <w:rPr>
          <w:rFonts w:hint="eastAsia" w:ascii="Times New Roman" w:hAnsi="Times New Roman" w:eastAsia="仿宋_GB2312" w:cs="Times New Roman"/>
          <w:color w:val="auto"/>
          <w:sz w:val="32"/>
          <w:szCs w:val="32"/>
        </w:rPr>
        <w:t>共</w:t>
      </w:r>
      <w:r>
        <w:rPr>
          <w:rFonts w:ascii="Times New Roman" w:hAnsi="Times New Roman" w:eastAsia="仿宋_GB2312" w:cs="Times New Roman"/>
          <w:color w:val="auto"/>
          <w:sz w:val="32"/>
          <w:szCs w:val="32"/>
        </w:rPr>
        <w:t>10项指标，每项评价指标满分均为10分。</w:t>
      </w:r>
      <w:r>
        <w:rPr>
          <w:rFonts w:hint="eastAsia" w:ascii="Times New Roman" w:hAnsi="Times New Roman" w:eastAsia="仿宋_GB2312" w:cs="Times New Roman"/>
          <w:color w:val="auto"/>
          <w:sz w:val="32"/>
          <w:szCs w:val="32"/>
          <w:lang w:val="en-US" w:eastAsia="zh-CN"/>
        </w:rPr>
        <w:t>7位评审</w:t>
      </w:r>
      <w:r>
        <w:rPr>
          <w:rFonts w:ascii="Times New Roman" w:hAnsi="Times New Roman" w:eastAsia="仿宋_GB2312" w:cs="Times New Roman"/>
          <w:color w:val="auto"/>
          <w:sz w:val="32"/>
          <w:szCs w:val="32"/>
        </w:rPr>
        <w:t>专家现场打分，去掉一个最高分和一个最低分，</w:t>
      </w:r>
      <w:r>
        <w:rPr>
          <w:rFonts w:hint="eastAsia" w:ascii="Times New Roman" w:hAnsi="Times New Roman" w:eastAsia="仿宋_GB2312" w:cs="Times New Roman"/>
          <w:color w:val="auto"/>
          <w:sz w:val="32"/>
          <w:szCs w:val="32"/>
        </w:rPr>
        <w:t>其</w:t>
      </w:r>
      <w:r>
        <w:rPr>
          <w:rFonts w:ascii="Times New Roman" w:hAnsi="Times New Roman" w:eastAsia="仿宋_GB2312" w:cs="Times New Roman"/>
          <w:color w:val="auto"/>
          <w:sz w:val="32"/>
          <w:szCs w:val="32"/>
        </w:rPr>
        <w:t>余</w:t>
      </w:r>
      <w:r>
        <w:rPr>
          <w:rFonts w:hint="eastAsia" w:ascii="Times New Roman" w:hAnsi="Times New Roman" w:eastAsia="仿宋_GB2312" w:cs="Times New Roman"/>
          <w:color w:val="auto"/>
          <w:sz w:val="32"/>
          <w:szCs w:val="32"/>
          <w:lang w:eastAsia="zh-CN"/>
        </w:rPr>
        <w:t>分数汇总后的</w:t>
      </w:r>
      <w:r>
        <w:rPr>
          <w:rFonts w:ascii="Times New Roman" w:hAnsi="Times New Roman" w:eastAsia="仿宋_GB2312" w:cs="Times New Roman"/>
          <w:color w:val="auto"/>
          <w:sz w:val="32"/>
          <w:szCs w:val="32"/>
        </w:rPr>
        <w:t>平均分为参赛选手的最后成绩。</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三</w:t>
      </w: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说课与</w:t>
      </w:r>
      <w:r>
        <w:rPr>
          <w:rFonts w:ascii="Times New Roman" w:hAnsi="Times New Roman" w:eastAsia="楷体_GB2312" w:cs="Times New Roman"/>
          <w:b/>
          <w:color w:val="auto"/>
          <w:sz w:val="32"/>
          <w:szCs w:val="32"/>
        </w:rPr>
        <w:t>答辩形式。</w:t>
      </w:r>
      <w:r>
        <w:rPr>
          <w:rFonts w:ascii="Times New Roman" w:hAnsi="Times New Roman" w:eastAsia="仿宋_GB2312" w:cs="Times New Roman"/>
          <w:color w:val="auto"/>
          <w:sz w:val="32"/>
          <w:szCs w:val="32"/>
        </w:rPr>
        <w:t>每位参赛选手说课与答辩的总时间为</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4分钟</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其中说课10分钟，从参赛选手以任何形式（包括语言、</w:t>
      </w:r>
      <w:r>
        <w:rPr>
          <w:rFonts w:hint="eastAsia" w:ascii="Times New Roman" w:hAnsi="Times New Roman" w:eastAsia="仿宋_GB2312" w:cs="Times New Roman"/>
          <w:color w:val="auto"/>
          <w:sz w:val="32"/>
          <w:szCs w:val="32"/>
        </w:rPr>
        <w:t>课件</w:t>
      </w:r>
      <w:r>
        <w:rPr>
          <w:rFonts w:ascii="Times New Roman" w:hAnsi="Times New Roman" w:eastAsia="仿宋_GB2312" w:cs="Times New Roman"/>
          <w:color w:val="auto"/>
          <w:sz w:val="32"/>
          <w:szCs w:val="32"/>
        </w:rPr>
        <w:t>、视频等）展示作品开始计时</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说课完毕，由专家进行提问</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专家提问结束后</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参赛选手作答时间为</w:t>
      </w:r>
      <w:r>
        <w:rPr>
          <w:rFonts w:hint="eastAsia" w:ascii="Times New Roman" w:hAnsi="Times New Roman" w:eastAsia="仿宋_GB2312" w:cs="Times New Roman"/>
          <w:color w:val="auto"/>
          <w:sz w:val="32"/>
          <w:szCs w:val="32"/>
        </w:rPr>
        <w:t>4</w:t>
      </w:r>
      <w:r>
        <w:rPr>
          <w:rFonts w:ascii="Times New Roman" w:hAnsi="Times New Roman" w:eastAsia="仿宋_GB2312" w:cs="Times New Roman"/>
          <w:color w:val="auto"/>
          <w:sz w:val="32"/>
          <w:szCs w:val="32"/>
        </w:rPr>
        <w:t>分钟。</w:t>
      </w:r>
    </w:p>
    <w:p>
      <w:pPr>
        <w:ind w:firstLine="643" w:firstLineChars="200"/>
        <w:rPr>
          <w:rFonts w:ascii="Times New Roman" w:hAnsi="Times New Roman" w:eastAsia="仿宋_GB2312" w:cs="Times New Roman"/>
          <w:color w:val="auto"/>
          <w:sz w:val="32"/>
          <w:szCs w:val="32"/>
        </w:rPr>
      </w:pPr>
      <w:r>
        <w:rPr>
          <w:rFonts w:ascii="Times New Roman" w:hAnsi="Times New Roman" w:eastAsia="楷体_GB2312" w:cs="Times New Roman"/>
          <w:b/>
          <w:color w:val="auto"/>
          <w:sz w:val="32"/>
          <w:szCs w:val="32"/>
        </w:rPr>
        <w:t>（</w:t>
      </w:r>
      <w:r>
        <w:rPr>
          <w:rFonts w:hint="eastAsia" w:ascii="Times New Roman" w:hAnsi="Times New Roman" w:eastAsia="楷体_GB2312" w:cs="Times New Roman"/>
          <w:b/>
          <w:color w:val="auto"/>
          <w:sz w:val="32"/>
          <w:szCs w:val="32"/>
          <w:lang w:eastAsia="zh-CN"/>
        </w:rPr>
        <w:t>四</w:t>
      </w:r>
      <w:r>
        <w:rPr>
          <w:rFonts w:ascii="Times New Roman" w:hAnsi="Times New Roman" w:eastAsia="楷体_GB2312" w:cs="Times New Roman"/>
          <w:b/>
          <w:color w:val="auto"/>
          <w:sz w:val="32"/>
          <w:szCs w:val="32"/>
        </w:rPr>
        <w:t>）评审</w:t>
      </w:r>
      <w:r>
        <w:rPr>
          <w:rFonts w:hint="eastAsia" w:ascii="Times New Roman" w:hAnsi="Times New Roman" w:eastAsia="楷体_GB2312" w:cs="Times New Roman"/>
          <w:b/>
          <w:color w:val="auto"/>
          <w:sz w:val="32"/>
          <w:szCs w:val="32"/>
          <w:lang w:eastAsia="zh-CN"/>
        </w:rPr>
        <w:t>原则</w:t>
      </w:r>
      <w:r>
        <w:rPr>
          <w:rFonts w:ascii="Times New Roman" w:hAnsi="Times New Roman" w:eastAsia="楷体_GB2312" w:cs="Times New Roman"/>
          <w:b/>
          <w:color w:val="auto"/>
          <w:sz w:val="32"/>
          <w:szCs w:val="32"/>
        </w:rPr>
        <w:t>。</w:t>
      </w:r>
      <w:r>
        <w:rPr>
          <w:rFonts w:ascii="Times New Roman" w:hAnsi="Times New Roman" w:eastAsia="仿宋_GB2312" w:cs="Times New Roman"/>
          <w:color w:val="auto"/>
          <w:sz w:val="32"/>
          <w:szCs w:val="32"/>
        </w:rPr>
        <w:t>选手的现场表达、</w:t>
      </w:r>
      <w:r>
        <w:rPr>
          <w:rFonts w:hint="eastAsia" w:ascii="Times New Roman" w:hAnsi="Times New Roman" w:eastAsia="仿宋_GB2312" w:cs="Times New Roman"/>
          <w:color w:val="auto"/>
          <w:sz w:val="32"/>
          <w:szCs w:val="32"/>
        </w:rPr>
        <w:t>说课课件</w:t>
      </w:r>
      <w:r>
        <w:rPr>
          <w:rFonts w:ascii="Times New Roman" w:hAnsi="Times New Roman" w:eastAsia="仿宋_GB2312" w:cs="Times New Roman"/>
          <w:color w:val="auto"/>
          <w:sz w:val="32"/>
          <w:szCs w:val="32"/>
        </w:rPr>
        <w:t>必须无政治性错误，能充分反映教学内容的价值，体现以学生为主体、以能力为本位的教学理念。</w:t>
      </w:r>
    </w:p>
    <w:p>
      <w:pPr>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三、成绩评定</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对每名选手按教学设计评审、说课与答辩评审各占50%的比重计算总</w:t>
      </w:r>
      <w:r>
        <w:rPr>
          <w:rFonts w:hint="eastAsia" w:ascii="Times New Roman" w:hAnsi="Times New Roman" w:eastAsia="仿宋_GB2312" w:cs="Times New Roman"/>
          <w:color w:val="auto"/>
          <w:sz w:val="32"/>
          <w:szCs w:val="32"/>
          <w:lang w:eastAsia="zh-CN"/>
        </w:rPr>
        <w:t>成绩</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9</w:t>
      </w:r>
      <w:r>
        <w:rPr>
          <w:rFonts w:ascii="Times New Roman" w:hAnsi="Times New Roman" w:eastAsia="仿宋_GB2312" w:cs="Times New Roman"/>
          <w:color w:val="auto"/>
          <w:sz w:val="32"/>
          <w:szCs w:val="32"/>
        </w:rPr>
        <w:t>个大赛类别根据总</w:t>
      </w:r>
      <w:r>
        <w:rPr>
          <w:rFonts w:hint="eastAsia" w:ascii="Times New Roman" w:hAnsi="Times New Roman" w:eastAsia="仿宋_GB2312" w:cs="Times New Roman"/>
          <w:color w:val="auto"/>
          <w:sz w:val="32"/>
          <w:szCs w:val="32"/>
          <w:lang w:eastAsia="zh-CN"/>
        </w:rPr>
        <w:t>成绩</w:t>
      </w:r>
      <w:r>
        <w:rPr>
          <w:rFonts w:ascii="Times New Roman" w:hAnsi="Times New Roman" w:eastAsia="仿宋_GB2312" w:cs="Times New Roman"/>
          <w:color w:val="auto"/>
          <w:sz w:val="32"/>
          <w:szCs w:val="32"/>
        </w:rPr>
        <w:t>分别排名。</w:t>
      </w:r>
    </w:p>
    <w:p>
      <w:pPr>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ind w:firstLine="560" w:firstLineChars="200"/>
        <w:rPr>
          <w:rFonts w:ascii="Times New Roman" w:hAnsi="Times New Roman" w:eastAsia="仿宋_GB2312" w:cs="Times New Roman"/>
          <w:color w:val="auto"/>
          <w:sz w:val="28"/>
          <w:szCs w:val="28"/>
        </w:rPr>
      </w:pPr>
    </w:p>
    <w:p>
      <w:pPr>
        <w:widowControl/>
        <w:jc w:val="left"/>
        <w:rPr>
          <w:rFonts w:ascii="Times New Roman" w:hAnsi="Times New Roman" w:eastAsia="华文中宋" w:cs="Times New Roman"/>
          <w:b/>
          <w:bCs/>
          <w:color w:val="auto"/>
          <w:sz w:val="44"/>
          <w:szCs w:val="44"/>
        </w:rPr>
      </w:pPr>
      <w:r>
        <w:rPr>
          <w:rFonts w:ascii="Times New Roman" w:hAnsi="Times New Roman" w:eastAsia="华文中宋" w:cs="Times New Roman"/>
          <w:b/>
          <w:bCs/>
          <w:color w:val="auto"/>
          <w:sz w:val="44"/>
          <w:szCs w:val="44"/>
        </w:rPr>
        <w:br w:type="page"/>
      </w:r>
    </w:p>
    <w:p>
      <w:pPr>
        <w:spacing w:line="480" w:lineRule="exact"/>
        <w:jc w:val="center"/>
        <w:rPr>
          <w:rFonts w:ascii="Times New Roman" w:hAnsi="Times New Roman" w:eastAsia="华文中宋" w:cs="Times New Roman"/>
          <w:b/>
          <w:bCs/>
          <w:color w:val="auto"/>
          <w:sz w:val="44"/>
          <w:szCs w:val="44"/>
        </w:rPr>
      </w:pPr>
      <w:r>
        <w:rPr>
          <w:rFonts w:ascii="Times New Roman" w:hAnsi="Times New Roman" w:eastAsia="华文中宋" w:cs="Times New Roman"/>
          <w:b/>
          <w:bCs/>
          <w:color w:val="auto"/>
          <w:sz w:val="44"/>
          <w:szCs w:val="44"/>
        </w:rPr>
        <w:t>第二届全国技工院校教师职业能力大赛评价表</w:t>
      </w:r>
    </w:p>
    <w:p>
      <w:pPr>
        <w:spacing w:line="480" w:lineRule="exact"/>
        <w:jc w:val="center"/>
        <w:rPr>
          <w:rFonts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（教学设计评审）</w:t>
      </w:r>
    </w:p>
    <w:p>
      <w:pPr>
        <w:spacing w:line="360" w:lineRule="exact"/>
        <w:rPr>
          <w:rFonts w:ascii="Times New Roman" w:hAnsi="Times New Roman" w:cs="Times New Roman"/>
          <w:b/>
          <w:color w:val="auto"/>
          <w:sz w:val="10"/>
          <w:szCs w:val="10"/>
        </w:rPr>
      </w:pPr>
    </w:p>
    <w:p>
      <w:pPr>
        <w:spacing w:line="360" w:lineRule="exact"/>
        <w:rPr>
          <w:rFonts w:ascii="Times New Roman" w:hAnsi="Times New Roman" w:eastAsia="仿宋_GB2312" w:cs="Times New Roman"/>
          <w:b/>
          <w:color w:val="auto"/>
          <w:sz w:val="24"/>
        </w:rPr>
      </w:pPr>
      <w:r>
        <w:rPr>
          <w:rFonts w:ascii="Times New Roman" w:hAnsi="Times New Roman" w:cs="Times New Roman"/>
          <w:b/>
          <w:color w:val="auto"/>
          <w:sz w:val="28"/>
          <w:szCs w:val="28"/>
        </w:rPr>
        <w:t>参赛作品编号：</w:t>
      </w:r>
    </w:p>
    <w:tbl>
      <w:tblPr>
        <w:tblStyle w:val="9"/>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5468"/>
        <w:gridCol w:w="1502"/>
        <w:gridCol w:w="1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9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项目</w:t>
            </w:r>
          </w:p>
        </w:tc>
        <w:tc>
          <w:tcPr>
            <w:tcW w:w="69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评价内容</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教学</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设计</w:t>
            </w: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1.</w:t>
            </w:r>
            <w:r>
              <w:rPr>
                <w:rFonts w:ascii="Times New Roman" w:hAnsi="Times New Roman" w:cs="Times New Roman"/>
                <w:b/>
                <w:color w:val="auto"/>
                <w:szCs w:val="21"/>
              </w:rPr>
              <w:t>选题价值。</w:t>
            </w:r>
            <w:r>
              <w:rPr>
                <w:rFonts w:ascii="Times New Roman" w:hAnsi="Times New Roman" w:cs="Times New Roman"/>
                <w:color w:val="auto"/>
                <w:szCs w:val="21"/>
              </w:rPr>
              <w:t>选取相对独立、完整的人文素质/职业学习活动或一体化课程学习任务的某一具体内容，具有典型性。</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2.</w:t>
            </w:r>
            <w:r>
              <w:rPr>
                <w:rFonts w:ascii="Times New Roman" w:hAnsi="Times New Roman" w:cs="Times New Roman"/>
                <w:b/>
                <w:color w:val="auto"/>
                <w:szCs w:val="21"/>
              </w:rPr>
              <w:t>学习目标。</w:t>
            </w:r>
            <w:r>
              <w:rPr>
                <w:rFonts w:ascii="Times New Roman" w:hAnsi="Times New Roman" w:cs="Times New Roman"/>
                <w:color w:val="auto"/>
                <w:szCs w:val="21"/>
              </w:rPr>
              <w:t>能够反映学生职业素养与综合职业能力的要求，并能结合学生实际，明确、具体且可操作性强。</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3.</w:t>
            </w:r>
            <w:r>
              <w:rPr>
                <w:rFonts w:ascii="Times New Roman" w:hAnsi="Times New Roman" w:cs="Times New Roman"/>
                <w:b/>
                <w:color w:val="auto"/>
                <w:szCs w:val="21"/>
              </w:rPr>
              <w:t>学习内容。</w:t>
            </w:r>
            <w:r>
              <w:rPr>
                <w:rFonts w:ascii="Times New Roman" w:hAnsi="Times New Roman" w:cs="Times New Roman"/>
                <w:color w:val="auto"/>
                <w:szCs w:val="21"/>
              </w:rPr>
              <w:t>包括理论知识和实践知识及工作的各项要素要求，匹配具体学情，与人文素质养成或企业生产过程紧密相关。</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4.</w:t>
            </w:r>
            <w:r>
              <w:rPr>
                <w:rFonts w:ascii="Times New Roman" w:hAnsi="Times New Roman" w:cs="Times New Roman"/>
                <w:b/>
                <w:color w:val="auto"/>
                <w:szCs w:val="21"/>
              </w:rPr>
              <w:t>学习资源。</w:t>
            </w:r>
            <w:r>
              <w:rPr>
                <w:rFonts w:ascii="Times New Roman" w:hAnsi="Times New Roman" w:cs="Times New Roman"/>
                <w:color w:val="auto"/>
                <w:szCs w:val="21"/>
              </w:rPr>
              <w:t>体现学生在问题引导下的学习</w:t>
            </w:r>
            <w:r>
              <w:rPr>
                <w:rFonts w:hint="eastAsia" w:ascii="Times New Roman" w:hAnsi="Times New Roman" w:cs="Times New Roman"/>
                <w:color w:val="auto"/>
                <w:szCs w:val="21"/>
              </w:rPr>
              <w:t>过程</w:t>
            </w:r>
            <w:r>
              <w:rPr>
                <w:rFonts w:ascii="Times New Roman" w:hAnsi="Times New Roman" w:cs="Times New Roman"/>
                <w:color w:val="auto"/>
                <w:szCs w:val="21"/>
              </w:rPr>
              <w:t>，</w:t>
            </w:r>
            <w:r>
              <w:rPr>
                <w:rFonts w:hint="eastAsia" w:ascii="Times New Roman" w:hAnsi="Times New Roman" w:cs="Times New Roman"/>
                <w:color w:val="auto"/>
                <w:szCs w:val="21"/>
              </w:rPr>
              <w:t>其相关</w:t>
            </w:r>
            <w:r>
              <w:rPr>
                <w:rFonts w:ascii="Times New Roman" w:hAnsi="Times New Roman" w:cs="Times New Roman"/>
                <w:color w:val="auto"/>
                <w:szCs w:val="21"/>
              </w:rPr>
              <w:t>环境设计与社会生活或工作环境要求尽可能相一致。</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956"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教学</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实施</w:t>
            </w:r>
          </w:p>
        </w:tc>
        <w:tc>
          <w:tcPr>
            <w:tcW w:w="6970" w:type="dxa"/>
            <w:gridSpan w:val="2"/>
            <w:tcBorders>
              <w:top w:val="single" w:color="auto" w:sz="4" w:space="0"/>
              <w:left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5.</w:t>
            </w:r>
            <w:r>
              <w:rPr>
                <w:rFonts w:hint="eastAsia" w:ascii="Times New Roman" w:hAnsi="Times New Roman" w:cs="Times New Roman"/>
                <w:b/>
                <w:color w:val="auto"/>
                <w:szCs w:val="21"/>
              </w:rPr>
              <w:t>学生主体。</w:t>
            </w:r>
            <w:r>
              <w:rPr>
                <w:rFonts w:hint="eastAsia" w:ascii="Times New Roman" w:hAnsi="Times New Roman" w:cs="Times New Roman"/>
                <w:color w:val="auto"/>
                <w:szCs w:val="21"/>
              </w:rPr>
              <w:t>体现良好的学习氛围，学生具有较高的学习主动性，能积极有效地投入到学习活动中。</w:t>
            </w:r>
          </w:p>
        </w:tc>
        <w:tc>
          <w:tcPr>
            <w:tcW w:w="1459"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956"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6.</w:t>
            </w:r>
            <w:r>
              <w:rPr>
                <w:rFonts w:ascii="Times New Roman" w:hAnsi="Times New Roman" w:cs="Times New Roman"/>
                <w:b/>
                <w:color w:val="auto"/>
                <w:szCs w:val="21"/>
              </w:rPr>
              <w:t>教学手段。</w:t>
            </w:r>
            <w:r>
              <w:rPr>
                <w:rFonts w:ascii="Times New Roman" w:hAnsi="Times New Roman" w:cs="Times New Roman"/>
                <w:color w:val="auto"/>
                <w:szCs w:val="21"/>
              </w:rPr>
              <w:t>有效支持学习活动的开展，适当利用多种教学媒体以及信息化手段和数字化资源，新颖、富有创意。</w:t>
            </w:r>
          </w:p>
        </w:tc>
        <w:tc>
          <w:tcPr>
            <w:tcW w:w="1459"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7.</w:t>
            </w:r>
            <w:r>
              <w:rPr>
                <w:rFonts w:ascii="Times New Roman" w:hAnsi="Times New Roman" w:cs="Times New Roman"/>
                <w:b/>
                <w:color w:val="auto"/>
                <w:szCs w:val="21"/>
              </w:rPr>
              <w:t>教学方法。</w:t>
            </w:r>
            <w:r>
              <w:rPr>
                <w:rFonts w:ascii="Times New Roman" w:hAnsi="Times New Roman" w:cs="Times New Roman"/>
                <w:color w:val="auto"/>
                <w:szCs w:val="21"/>
              </w:rPr>
              <w:t>体现以学生为中心、行动导向的教学理念，适应具体学情，采用混合式学习，重视学生的适应与接纳，形式灵活、方法有效。</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8.</w:t>
            </w:r>
            <w:r>
              <w:rPr>
                <w:rFonts w:ascii="Times New Roman" w:hAnsi="Times New Roman" w:cs="Times New Roman"/>
                <w:b/>
                <w:color w:val="auto"/>
                <w:szCs w:val="21"/>
              </w:rPr>
              <w:t>教学视频。</w:t>
            </w:r>
            <w:r>
              <w:rPr>
                <w:rFonts w:ascii="Times New Roman" w:hAnsi="Times New Roman" w:cs="Times New Roman"/>
                <w:color w:val="auto"/>
                <w:szCs w:val="21"/>
              </w:rPr>
              <w:t>提交的视频时长不超过8分钟，视频声音清楚、画面清晰、图像稳定，声音与画面同步，反映学与教的情况。</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教学</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w:t>
            </w: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9.</w:t>
            </w:r>
            <w:r>
              <w:rPr>
                <w:rFonts w:ascii="Times New Roman" w:hAnsi="Times New Roman" w:cs="Times New Roman"/>
                <w:b/>
                <w:color w:val="auto"/>
                <w:szCs w:val="21"/>
              </w:rPr>
              <w:t>学业评价。</w:t>
            </w:r>
            <w:r>
              <w:rPr>
                <w:rFonts w:ascii="Times New Roman" w:hAnsi="Times New Roman" w:cs="Times New Roman"/>
                <w:bCs/>
                <w:color w:val="auto"/>
                <w:szCs w:val="21"/>
              </w:rPr>
              <w:t>以学习目标为依据，</w:t>
            </w:r>
            <w:r>
              <w:rPr>
                <w:rFonts w:ascii="Times New Roman" w:hAnsi="Times New Roman" w:cs="Times New Roman"/>
                <w:color w:val="auto"/>
                <w:szCs w:val="21"/>
              </w:rPr>
              <w:t>评价方式方法合理，易于操作，能有效解决实际教学问题，促进学生思维</w:t>
            </w:r>
            <w:r>
              <w:rPr>
                <w:rFonts w:hint="eastAsia" w:ascii="Times New Roman" w:hAnsi="Times New Roman" w:cs="Times New Roman"/>
                <w:color w:val="auto"/>
                <w:szCs w:val="21"/>
              </w:rPr>
              <w:t>能力</w:t>
            </w:r>
            <w:r>
              <w:rPr>
                <w:rFonts w:ascii="Times New Roman" w:hAnsi="Times New Roman" w:cs="Times New Roman"/>
                <w:color w:val="auto"/>
                <w:szCs w:val="21"/>
              </w:rPr>
              <w:t>提升</w:t>
            </w:r>
            <w:r>
              <w:rPr>
                <w:rFonts w:hint="eastAsia" w:ascii="Times New Roman" w:hAnsi="Times New Roman" w:cs="Times New Roman"/>
                <w:color w:val="auto"/>
                <w:szCs w:val="21"/>
              </w:rPr>
              <w:t>以及职业</w:t>
            </w:r>
            <w:r>
              <w:rPr>
                <w:rFonts w:ascii="Times New Roman" w:hAnsi="Times New Roman" w:cs="Times New Roman"/>
                <w:color w:val="auto"/>
                <w:szCs w:val="21"/>
              </w:rPr>
              <w:t>素养与综合职业能力的提高。</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hint="eastAsia" w:ascii="Times New Roman" w:hAnsi="Times New Roman" w:cs="Times New Roman"/>
                <w:b/>
                <w:color w:val="auto"/>
                <w:sz w:val="24"/>
              </w:rPr>
              <w:t>文本</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评审</w:t>
            </w: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10.</w:t>
            </w:r>
            <w:r>
              <w:rPr>
                <w:rFonts w:ascii="Times New Roman" w:hAnsi="Times New Roman" w:cs="Times New Roman"/>
                <w:b/>
                <w:color w:val="auto"/>
                <w:szCs w:val="21"/>
              </w:rPr>
              <w:t>教学设计文本。</w:t>
            </w:r>
            <w:r>
              <w:rPr>
                <w:rFonts w:ascii="Times New Roman" w:hAnsi="Times New Roman" w:cs="Times New Roman"/>
                <w:color w:val="auto"/>
                <w:szCs w:val="21"/>
              </w:rPr>
              <w:t>所提交的教学设计文本体例规范，内容全面，文字通顺，图表符合技术规范要求，表述清晰。</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jc w:val="center"/>
        </w:trPr>
        <w:tc>
          <w:tcPr>
            <w:tcW w:w="642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b/>
                <w:color w:val="auto"/>
                <w:sz w:val="24"/>
              </w:rPr>
            </w:pPr>
            <w:r>
              <w:rPr>
                <w:rFonts w:ascii="Times New Roman" w:hAnsi="Times New Roman" w:cs="Times New Roman"/>
                <w:b/>
                <w:color w:val="auto"/>
                <w:sz w:val="24"/>
              </w:rPr>
              <w:t>总评意见：</w:t>
            </w:r>
          </w:p>
          <w:p>
            <w:pPr>
              <w:spacing w:line="400" w:lineRule="exact"/>
              <w:rPr>
                <w:rFonts w:ascii="Times New Roman" w:hAnsi="Times New Roman" w:cs="Times New Roman"/>
                <w:b/>
                <w:color w:val="auto"/>
                <w:sz w:val="24"/>
              </w:rPr>
            </w:pP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评价总分</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5" w:hRule="atLeast"/>
          <w:jc w:val="center"/>
        </w:trPr>
        <w:tc>
          <w:tcPr>
            <w:tcW w:w="64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评委签名</w:t>
            </w:r>
          </w:p>
        </w:tc>
        <w:tc>
          <w:tcPr>
            <w:tcW w:w="145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b/>
                <w:color w:val="auto"/>
                <w:sz w:val="24"/>
              </w:rPr>
            </w:pPr>
          </w:p>
        </w:tc>
      </w:tr>
    </w:tbl>
    <w:p>
      <w:pPr>
        <w:spacing w:line="480" w:lineRule="exact"/>
        <w:rPr>
          <w:rFonts w:ascii="Times New Roman" w:hAnsi="Times New Roman" w:cs="Times New Roman"/>
          <w:color w:val="auto"/>
          <w:sz w:val="24"/>
        </w:rPr>
      </w:pPr>
    </w:p>
    <w:p>
      <w:pPr>
        <w:widowControl/>
        <w:jc w:val="left"/>
        <w:rPr>
          <w:rFonts w:ascii="Times New Roman" w:hAnsi="Times New Roman" w:eastAsia="华文中宋" w:cs="Times New Roman"/>
          <w:b/>
          <w:bCs/>
          <w:color w:val="auto"/>
          <w:sz w:val="44"/>
          <w:szCs w:val="44"/>
        </w:rPr>
      </w:pPr>
      <w:r>
        <w:rPr>
          <w:rFonts w:ascii="Times New Roman" w:hAnsi="Times New Roman" w:eastAsia="华文中宋" w:cs="Times New Roman"/>
          <w:b/>
          <w:bCs/>
          <w:color w:val="auto"/>
          <w:sz w:val="44"/>
          <w:szCs w:val="44"/>
        </w:rPr>
        <w:br w:type="page"/>
      </w:r>
    </w:p>
    <w:p>
      <w:pPr>
        <w:spacing w:line="480" w:lineRule="exact"/>
        <w:jc w:val="center"/>
        <w:rPr>
          <w:rFonts w:ascii="Times New Roman" w:hAnsi="Times New Roman" w:eastAsia="华文中宋" w:cs="Times New Roman"/>
          <w:b/>
          <w:bCs/>
          <w:color w:val="auto"/>
          <w:sz w:val="44"/>
          <w:szCs w:val="44"/>
        </w:rPr>
      </w:pPr>
      <w:r>
        <w:rPr>
          <w:rFonts w:ascii="Times New Roman" w:hAnsi="Times New Roman" w:eastAsia="华文中宋" w:cs="Times New Roman"/>
          <w:b/>
          <w:bCs/>
          <w:color w:val="auto"/>
          <w:sz w:val="44"/>
          <w:szCs w:val="44"/>
        </w:rPr>
        <w:t>第二届全国技工院校教师职业能力大赛评价表</w:t>
      </w:r>
    </w:p>
    <w:p>
      <w:pPr>
        <w:spacing w:line="480" w:lineRule="exact"/>
        <w:jc w:val="center"/>
        <w:rPr>
          <w:rFonts w:ascii="Times New Roman" w:hAnsi="Times New Roman" w:eastAsia="楷体" w:cs="Times New Roman"/>
          <w:b/>
          <w:bCs/>
          <w:color w:val="auto"/>
          <w:sz w:val="32"/>
          <w:szCs w:val="32"/>
        </w:rPr>
      </w:pPr>
      <w:r>
        <w:rPr>
          <w:rFonts w:hint="eastAsia" w:ascii="Times New Roman" w:hAnsi="Times New Roman" w:eastAsia="楷体" w:cs="Times New Roman"/>
          <w:b/>
          <w:bCs/>
          <w:color w:val="auto"/>
          <w:sz w:val="32"/>
          <w:szCs w:val="32"/>
        </w:rPr>
        <w:t>（</w:t>
      </w:r>
      <w:r>
        <w:rPr>
          <w:rFonts w:ascii="Times New Roman" w:hAnsi="Times New Roman" w:eastAsia="楷体" w:cs="Times New Roman"/>
          <w:b/>
          <w:bCs/>
          <w:color w:val="auto"/>
          <w:sz w:val="32"/>
          <w:szCs w:val="32"/>
        </w:rPr>
        <w:t>说课与答辩</w:t>
      </w:r>
      <w:r>
        <w:rPr>
          <w:rFonts w:hint="eastAsia" w:ascii="Times New Roman" w:hAnsi="Times New Roman" w:eastAsia="楷体" w:cs="Times New Roman"/>
          <w:b/>
          <w:bCs/>
          <w:color w:val="auto"/>
          <w:sz w:val="32"/>
          <w:szCs w:val="32"/>
        </w:rPr>
        <w:t>评审）</w:t>
      </w:r>
    </w:p>
    <w:p>
      <w:pPr>
        <w:spacing w:line="480" w:lineRule="exact"/>
        <w:jc w:val="center"/>
        <w:rPr>
          <w:rFonts w:ascii="Times New Roman" w:hAnsi="Times New Roman" w:eastAsia="华文中宋" w:cs="Times New Roman"/>
          <w:b/>
          <w:bCs/>
          <w:color w:val="auto"/>
          <w:sz w:val="44"/>
          <w:szCs w:val="44"/>
        </w:rPr>
      </w:pPr>
    </w:p>
    <w:p>
      <w:pPr>
        <w:spacing w:line="360" w:lineRule="exact"/>
        <w:rPr>
          <w:rFonts w:ascii="Times New Roman" w:hAnsi="Times New Roman" w:eastAsia="仿宋_GB2312" w:cs="Times New Roman"/>
          <w:b/>
          <w:color w:val="auto"/>
          <w:sz w:val="24"/>
        </w:rPr>
      </w:pPr>
      <w:r>
        <w:rPr>
          <w:rFonts w:ascii="Times New Roman" w:hAnsi="Times New Roman" w:cs="Times New Roman"/>
          <w:b/>
          <w:color w:val="auto"/>
          <w:sz w:val="28"/>
          <w:szCs w:val="28"/>
        </w:rPr>
        <w:t>选手抽签序号：</w:t>
      </w:r>
    </w:p>
    <w:tbl>
      <w:tblPr>
        <w:tblStyle w:val="9"/>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5468"/>
        <w:gridCol w:w="1502"/>
        <w:gridCol w:w="1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9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项目</w:t>
            </w:r>
          </w:p>
        </w:tc>
        <w:tc>
          <w:tcPr>
            <w:tcW w:w="697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评价内容</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教学</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设计</w:t>
            </w: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1.</w:t>
            </w:r>
            <w:r>
              <w:rPr>
                <w:rFonts w:ascii="Times New Roman" w:hAnsi="Times New Roman" w:cs="Times New Roman"/>
                <w:b/>
                <w:color w:val="auto"/>
                <w:szCs w:val="21"/>
              </w:rPr>
              <w:t>选题价值。</w:t>
            </w:r>
            <w:r>
              <w:rPr>
                <w:rFonts w:ascii="Times New Roman" w:hAnsi="Times New Roman" w:cs="Times New Roman"/>
                <w:color w:val="auto"/>
                <w:szCs w:val="21"/>
              </w:rPr>
              <w:t>选取相对独立、完整的人文素质/职业学习活动或一体化课程学习任务的某一具体内容，具有典型性。</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2.</w:t>
            </w:r>
            <w:r>
              <w:rPr>
                <w:rFonts w:ascii="Times New Roman" w:hAnsi="Times New Roman" w:cs="Times New Roman"/>
                <w:b/>
                <w:color w:val="auto"/>
                <w:szCs w:val="21"/>
              </w:rPr>
              <w:t>学习目标。</w:t>
            </w:r>
            <w:r>
              <w:rPr>
                <w:rFonts w:ascii="Times New Roman" w:hAnsi="Times New Roman" w:cs="Times New Roman"/>
                <w:color w:val="auto"/>
                <w:szCs w:val="21"/>
              </w:rPr>
              <w:t>能够反映学生职业素养与综合职业能力的要求，并能结合学生实际，明确、具体且可操作性强。</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3.</w:t>
            </w:r>
            <w:r>
              <w:rPr>
                <w:rFonts w:ascii="Times New Roman" w:hAnsi="Times New Roman" w:cs="Times New Roman"/>
                <w:b/>
                <w:color w:val="auto"/>
                <w:szCs w:val="21"/>
              </w:rPr>
              <w:t>学习内容。</w:t>
            </w:r>
            <w:r>
              <w:rPr>
                <w:rFonts w:ascii="Times New Roman" w:hAnsi="Times New Roman" w:cs="Times New Roman"/>
                <w:color w:val="auto"/>
                <w:szCs w:val="21"/>
              </w:rPr>
              <w:t>包括理论知识和实践知识及工作的各项要素要求，匹配具体学情，与人文素质养成或企业生产过程紧密相关。</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4.</w:t>
            </w:r>
            <w:r>
              <w:rPr>
                <w:rFonts w:ascii="Times New Roman" w:hAnsi="Times New Roman" w:cs="Times New Roman"/>
                <w:b/>
                <w:color w:val="auto"/>
                <w:szCs w:val="21"/>
              </w:rPr>
              <w:t>学习资源。</w:t>
            </w:r>
            <w:r>
              <w:rPr>
                <w:rFonts w:ascii="Times New Roman" w:hAnsi="Times New Roman" w:cs="Times New Roman"/>
                <w:color w:val="auto"/>
                <w:szCs w:val="21"/>
              </w:rPr>
              <w:t>体现学生在问题引导下的学习</w:t>
            </w:r>
            <w:r>
              <w:rPr>
                <w:rFonts w:hint="eastAsia" w:ascii="Times New Roman" w:hAnsi="Times New Roman" w:cs="Times New Roman"/>
                <w:color w:val="auto"/>
                <w:szCs w:val="21"/>
              </w:rPr>
              <w:t>过程</w:t>
            </w:r>
            <w:r>
              <w:rPr>
                <w:rFonts w:ascii="Times New Roman" w:hAnsi="Times New Roman" w:cs="Times New Roman"/>
                <w:color w:val="auto"/>
                <w:szCs w:val="21"/>
              </w:rPr>
              <w:t>，</w:t>
            </w:r>
            <w:r>
              <w:rPr>
                <w:rFonts w:hint="eastAsia" w:ascii="Times New Roman" w:hAnsi="Times New Roman" w:cs="Times New Roman"/>
                <w:color w:val="auto"/>
                <w:szCs w:val="21"/>
              </w:rPr>
              <w:t>其相关</w:t>
            </w:r>
            <w:r>
              <w:rPr>
                <w:rFonts w:ascii="Times New Roman" w:hAnsi="Times New Roman" w:cs="Times New Roman"/>
                <w:color w:val="auto"/>
                <w:szCs w:val="21"/>
              </w:rPr>
              <w:t>环境设计与社会生活或工作环境要求尽可能相一致。</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956" w:type="dxa"/>
            <w:vMerge w:val="restart"/>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教学</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实施</w:t>
            </w:r>
          </w:p>
        </w:tc>
        <w:tc>
          <w:tcPr>
            <w:tcW w:w="6970" w:type="dxa"/>
            <w:gridSpan w:val="2"/>
            <w:tcBorders>
              <w:top w:val="single" w:color="auto" w:sz="4" w:space="0"/>
              <w:left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5.</w:t>
            </w:r>
            <w:r>
              <w:rPr>
                <w:rFonts w:hint="eastAsia" w:ascii="Times New Roman" w:hAnsi="Times New Roman" w:cs="Times New Roman"/>
                <w:b/>
                <w:color w:val="auto"/>
                <w:szCs w:val="21"/>
              </w:rPr>
              <w:t>学生主体。</w:t>
            </w:r>
            <w:r>
              <w:rPr>
                <w:rFonts w:hint="eastAsia" w:ascii="Times New Roman" w:hAnsi="Times New Roman" w:cs="Times New Roman"/>
                <w:color w:val="auto"/>
                <w:szCs w:val="21"/>
              </w:rPr>
              <w:t>体现良好的学习氛围，学生具有较高的学习主动性，能积极有效地投入到学习活动中。</w:t>
            </w:r>
          </w:p>
        </w:tc>
        <w:tc>
          <w:tcPr>
            <w:tcW w:w="1317"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956"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6.</w:t>
            </w:r>
            <w:r>
              <w:rPr>
                <w:rFonts w:ascii="Times New Roman" w:hAnsi="Times New Roman" w:cs="Times New Roman"/>
                <w:b/>
                <w:color w:val="auto"/>
                <w:szCs w:val="21"/>
              </w:rPr>
              <w:t>教学手段。</w:t>
            </w:r>
            <w:r>
              <w:rPr>
                <w:rFonts w:ascii="Times New Roman" w:hAnsi="Times New Roman" w:cs="Times New Roman"/>
                <w:color w:val="auto"/>
                <w:szCs w:val="21"/>
              </w:rPr>
              <w:t>有效支持学习活动的开展，适当利用多种教学媒体以及信息化手段和数字化资源，新颖、富有创意。</w:t>
            </w:r>
          </w:p>
        </w:tc>
        <w:tc>
          <w:tcPr>
            <w:tcW w:w="1317"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7.</w:t>
            </w:r>
            <w:r>
              <w:rPr>
                <w:rFonts w:ascii="Times New Roman" w:hAnsi="Times New Roman" w:cs="Times New Roman"/>
                <w:b/>
                <w:color w:val="auto"/>
                <w:szCs w:val="21"/>
              </w:rPr>
              <w:t>教学方法。</w:t>
            </w:r>
            <w:r>
              <w:rPr>
                <w:rFonts w:ascii="Times New Roman" w:hAnsi="Times New Roman" w:cs="Times New Roman"/>
                <w:color w:val="auto"/>
                <w:szCs w:val="21"/>
              </w:rPr>
              <w:t>体现以学生为中心、行动导向的教学理念，适应具体学情，采用混合式学习，重视学生的适应与接纳，形式灵活、方法有效。</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vMerge w:val="continue"/>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8.</w:t>
            </w:r>
            <w:r>
              <w:rPr>
                <w:rFonts w:ascii="Times New Roman" w:hAnsi="Times New Roman" w:cs="Times New Roman"/>
                <w:b/>
                <w:color w:val="auto"/>
                <w:szCs w:val="21"/>
              </w:rPr>
              <w:t>教学视频。</w:t>
            </w:r>
            <w:r>
              <w:rPr>
                <w:rFonts w:ascii="Times New Roman" w:hAnsi="Times New Roman" w:cs="Times New Roman"/>
                <w:color w:val="auto"/>
                <w:szCs w:val="21"/>
              </w:rPr>
              <w:t>课件</w:t>
            </w:r>
            <w:r>
              <w:rPr>
                <w:rFonts w:hint="eastAsia" w:ascii="Times New Roman" w:hAnsi="Times New Roman" w:cs="Times New Roman"/>
                <w:color w:val="auto"/>
                <w:szCs w:val="21"/>
              </w:rPr>
              <w:t>所含</w:t>
            </w:r>
            <w:r>
              <w:rPr>
                <w:rFonts w:ascii="Times New Roman" w:hAnsi="Times New Roman" w:cs="Times New Roman"/>
                <w:color w:val="auto"/>
                <w:szCs w:val="21"/>
              </w:rPr>
              <w:t>视频声音清楚、画面清晰、图像稳定，声音与画面同步，反映学与教的情况。</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9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教学</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w:t>
            </w:r>
          </w:p>
        </w:tc>
        <w:tc>
          <w:tcPr>
            <w:tcW w:w="69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ascii="Times New Roman" w:hAnsi="Times New Roman" w:cs="Times New Roman"/>
                <w:color w:val="auto"/>
                <w:szCs w:val="21"/>
              </w:rPr>
              <w:t>9.</w:t>
            </w:r>
            <w:r>
              <w:rPr>
                <w:rFonts w:ascii="Times New Roman" w:hAnsi="Times New Roman" w:cs="Times New Roman"/>
                <w:b/>
                <w:color w:val="auto"/>
                <w:szCs w:val="21"/>
              </w:rPr>
              <w:t>学业评价。</w:t>
            </w:r>
            <w:r>
              <w:rPr>
                <w:rFonts w:ascii="Times New Roman" w:hAnsi="Times New Roman" w:cs="Times New Roman"/>
                <w:bCs/>
                <w:color w:val="auto"/>
                <w:szCs w:val="21"/>
              </w:rPr>
              <w:t>以学习目标为依据，</w:t>
            </w:r>
            <w:r>
              <w:rPr>
                <w:rFonts w:ascii="Times New Roman" w:hAnsi="Times New Roman" w:cs="Times New Roman"/>
                <w:color w:val="auto"/>
                <w:szCs w:val="21"/>
              </w:rPr>
              <w:t>评价方式方法合理，易于操作，能有效解决实际教学问题，促进学生思维</w:t>
            </w:r>
            <w:r>
              <w:rPr>
                <w:rFonts w:hint="eastAsia" w:ascii="Times New Roman" w:hAnsi="Times New Roman" w:cs="Times New Roman"/>
                <w:color w:val="auto"/>
                <w:szCs w:val="21"/>
              </w:rPr>
              <w:t>能力</w:t>
            </w:r>
            <w:r>
              <w:rPr>
                <w:rFonts w:ascii="Times New Roman" w:hAnsi="Times New Roman" w:cs="Times New Roman"/>
                <w:color w:val="auto"/>
                <w:szCs w:val="21"/>
              </w:rPr>
              <w:t>提升</w:t>
            </w:r>
            <w:r>
              <w:rPr>
                <w:rFonts w:hint="eastAsia" w:ascii="Times New Roman" w:hAnsi="Times New Roman" w:cs="Times New Roman"/>
                <w:color w:val="auto"/>
                <w:szCs w:val="21"/>
              </w:rPr>
              <w:t>以及职业</w:t>
            </w:r>
            <w:r>
              <w:rPr>
                <w:rFonts w:ascii="Times New Roman" w:hAnsi="Times New Roman" w:cs="Times New Roman"/>
                <w:color w:val="auto"/>
                <w:szCs w:val="21"/>
              </w:rPr>
              <w:t>素养与综合职业能力的提高。</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956" w:type="dxa"/>
            <w:tcBorders>
              <w:left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答辩</w:t>
            </w:r>
          </w:p>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评审</w:t>
            </w:r>
          </w:p>
        </w:tc>
        <w:tc>
          <w:tcPr>
            <w:tcW w:w="6970" w:type="dxa"/>
            <w:gridSpan w:val="2"/>
            <w:tcBorders>
              <w:top w:val="single" w:color="auto" w:sz="4" w:space="0"/>
              <w:left w:val="single" w:color="auto" w:sz="4" w:space="0"/>
              <w:right w:val="single" w:color="auto" w:sz="4" w:space="0"/>
            </w:tcBorders>
            <w:vAlign w:val="center"/>
          </w:tcPr>
          <w:p>
            <w:pPr>
              <w:spacing w:line="400" w:lineRule="exact"/>
              <w:rPr>
                <w:rFonts w:ascii="Times New Roman" w:hAnsi="Times New Roman" w:cs="Times New Roman"/>
                <w:color w:val="auto"/>
                <w:szCs w:val="21"/>
              </w:rPr>
            </w:pPr>
            <w:r>
              <w:rPr>
                <w:rFonts w:hint="eastAsia" w:ascii="Times New Roman" w:hAnsi="Times New Roman" w:cs="Times New Roman"/>
                <w:b/>
                <w:color w:val="auto"/>
                <w:szCs w:val="21"/>
              </w:rPr>
              <w:t>1</w:t>
            </w:r>
            <w:r>
              <w:rPr>
                <w:rFonts w:ascii="Times New Roman" w:hAnsi="Times New Roman" w:cs="Times New Roman"/>
                <w:b/>
                <w:color w:val="auto"/>
                <w:szCs w:val="21"/>
              </w:rPr>
              <w:t>0.</w:t>
            </w:r>
            <w:r>
              <w:rPr>
                <w:rFonts w:hint="eastAsia" w:ascii="Times New Roman" w:hAnsi="Times New Roman" w:cs="Times New Roman"/>
                <w:b/>
                <w:color w:val="auto"/>
                <w:szCs w:val="21"/>
              </w:rPr>
              <w:t>理解表达。</w:t>
            </w:r>
            <w:r>
              <w:rPr>
                <w:rFonts w:hint="eastAsia" w:ascii="Times New Roman" w:hAnsi="Times New Roman" w:cs="Times New Roman"/>
                <w:color w:val="auto"/>
                <w:szCs w:val="21"/>
              </w:rPr>
              <w:t>准确理解评委的提问，回答问题所陈述的观点正确，内容全面，层次分明，逻辑思路清晰。</w:t>
            </w:r>
          </w:p>
        </w:tc>
        <w:tc>
          <w:tcPr>
            <w:tcW w:w="1317" w:type="dxa"/>
            <w:tcBorders>
              <w:top w:val="single" w:color="auto" w:sz="4" w:space="0"/>
              <w:left w:val="single" w:color="auto" w:sz="4" w:space="0"/>
              <w:right w:val="single" w:color="auto" w:sz="4" w:space="0"/>
            </w:tcBorders>
            <w:vAlign w:val="center"/>
          </w:tcPr>
          <w:p>
            <w:pPr>
              <w:spacing w:line="400" w:lineRule="exact"/>
              <w:jc w:val="center"/>
              <w:rPr>
                <w:rFonts w:ascii="Times New Roman" w:hAnsi="Times New Roman" w:cs="Times New Roman"/>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6424"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b/>
                <w:color w:val="auto"/>
                <w:sz w:val="24"/>
              </w:rPr>
            </w:pPr>
            <w:r>
              <w:rPr>
                <w:rFonts w:ascii="Times New Roman" w:hAnsi="Times New Roman" w:cs="Times New Roman"/>
                <w:b/>
                <w:color w:val="auto"/>
                <w:sz w:val="24"/>
              </w:rPr>
              <w:t>总评意见：</w:t>
            </w:r>
          </w:p>
          <w:p>
            <w:pPr>
              <w:spacing w:line="400" w:lineRule="exact"/>
              <w:rPr>
                <w:rFonts w:ascii="Times New Roman" w:hAnsi="Times New Roman" w:cs="Times New Roman"/>
                <w:b/>
                <w:color w:val="auto"/>
                <w:sz w:val="24"/>
              </w:rPr>
            </w:pP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评价总分</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2" w:hRule="atLeast"/>
          <w:jc w:val="center"/>
        </w:trPr>
        <w:tc>
          <w:tcPr>
            <w:tcW w:w="6424"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p>
        </w:tc>
        <w:tc>
          <w:tcPr>
            <w:tcW w:w="150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评委签名</w:t>
            </w:r>
          </w:p>
        </w:tc>
        <w:tc>
          <w:tcPr>
            <w:tcW w:w="1317"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cs="Times New Roman"/>
                <w:b/>
                <w:color w:val="auto"/>
                <w:sz w:val="24"/>
              </w:rPr>
            </w:pPr>
          </w:p>
        </w:tc>
      </w:tr>
    </w:tbl>
    <w:p>
      <w:pPr>
        <w:rPr>
          <w:rFonts w:ascii="Times New Roman" w:hAnsi="Times New Roman" w:eastAsia="方正小标宋简体" w:cs="Times New Roman"/>
          <w:b/>
          <w:color w:val="auto"/>
          <w:w w:val="80"/>
          <w:sz w:val="36"/>
          <w:szCs w:val="36"/>
        </w:rPr>
      </w:pPr>
    </w:p>
    <w:p>
      <w:pPr>
        <w:spacing w:line="400" w:lineRule="exact"/>
        <w:rPr>
          <w:rFonts w:ascii="Times New Roman" w:hAnsi="Times New Roman" w:eastAsia="黑体" w:cs="黑体"/>
          <w:bCs/>
          <w:color w:val="auto"/>
          <w:sz w:val="32"/>
          <w:szCs w:val="32"/>
        </w:rPr>
      </w:pPr>
    </w:p>
    <w:p>
      <w:pPr>
        <w:spacing w:line="400" w:lineRule="exact"/>
        <w:rPr>
          <w:rFonts w:ascii="Times New Roman" w:hAnsi="Times New Roman" w:eastAsia="黑体" w:cs="黑体"/>
          <w:bCs/>
          <w:color w:val="auto"/>
          <w:sz w:val="32"/>
          <w:szCs w:val="32"/>
        </w:rPr>
      </w:pPr>
    </w:p>
    <w:p>
      <w:pPr>
        <w:spacing w:line="400" w:lineRule="exact"/>
        <w:rPr>
          <w:rFonts w:ascii="Times New Roman" w:hAnsi="Times New Roman" w:eastAsia="黑体" w:cs="黑体"/>
          <w:bCs/>
          <w:color w:val="auto"/>
          <w:sz w:val="32"/>
          <w:szCs w:val="32"/>
        </w:rPr>
      </w:pPr>
      <w:r>
        <w:rPr>
          <w:rFonts w:ascii="Times New Roman" w:hAnsi="Times New Roman" w:eastAsia="黑体" w:cs="黑体"/>
          <w:bCs/>
          <w:color w:val="auto"/>
          <w:sz w:val="32"/>
          <w:szCs w:val="32"/>
        </w:rPr>
        <w:t>附件</w:t>
      </w:r>
      <w:r>
        <w:rPr>
          <w:rFonts w:hint="eastAsia" w:ascii="Times New Roman" w:hAnsi="Times New Roman" w:eastAsia="黑体" w:cs="黑体"/>
          <w:bCs/>
          <w:color w:val="auto"/>
          <w:sz w:val="32"/>
          <w:szCs w:val="32"/>
        </w:rPr>
        <w:t>3</w:t>
      </w:r>
      <w:r>
        <w:rPr>
          <w:rFonts w:ascii="Times New Roman" w:hAnsi="Times New Roman" w:eastAsia="黑体" w:cs="黑体"/>
          <w:bCs/>
          <w:color w:val="auto"/>
          <w:sz w:val="32"/>
          <w:szCs w:val="32"/>
        </w:rPr>
        <w:t xml:space="preserve"> </w:t>
      </w:r>
    </w:p>
    <w:p>
      <w:pPr>
        <w:spacing w:line="900" w:lineRule="exact"/>
        <w:jc w:val="center"/>
        <w:rPr>
          <w:rFonts w:ascii="Times New Roman" w:hAnsi="Times New Roman" w:eastAsia="华文中宋" w:cs="Times New Roman"/>
          <w:b/>
          <w:color w:val="auto"/>
          <w:sz w:val="44"/>
          <w:szCs w:val="28"/>
        </w:rPr>
      </w:pPr>
    </w:p>
    <w:p>
      <w:pPr>
        <w:spacing w:line="900" w:lineRule="exact"/>
        <w:jc w:val="center"/>
        <w:rPr>
          <w:rFonts w:ascii="Times New Roman" w:hAnsi="Times New Roman" w:eastAsia="华文中宋" w:cs="Times New Roman"/>
          <w:b/>
          <w:color w:val="auto"/>
          <w:sz w:val="44"/>
          <w:szCs w:val="28"/>
        </w:rPr>
      </w:pPr>
      <w:r>
        <w:rPr>
          <w:rFonts w:ascii="Times New Roman" w:hAnsi="Times New Roman" w:eastAsia="华文中宋" w:cs="Times New Roman"/>
          <w:b/>
          <w:color w:val="auto"/>
          <w:sz w:val="44"/>
          <w:szCs w:val="28"/>
        </w:rPr>
        <w:t>第二届全国技工院校教师职业能力大赛</w:t>
      </w:r>
    </w:p>
    <w:p>
      <w:pPr>
        <w:spacing w:line="900" w:lineRule="exact"/>
        <w:jc w:val="center"/>
        <w:rPr>
          <w:rFonts w:ascii="Times New Roman" w:hAnsi="Times New Roman" w:eastAsia="华文中宋" w:cs="Times New Roman"/>
          <w:b/>
          <w:color w:val="auto"/>
          <w:sz w:val="44"/>
          <w:szCs w:val="28"/>
        </w:rPr>
      </w:pPr>
      <w:r>
        <w:rPr>
          <w:rFonts w:ascii="Times New Roman" w:hAnsi="Times New Roman" w:eastAsia="华文中宋" w:cs="Times New Roman"/>
          <w:b/>
          <w:color w:val="auto"/>
          <w:sz w:val="44"/>
          <w:szCs w:val="28"/>
        </w:rPr>
        <w:t>教学设计</w:t>
      </w:r>
    </w:p>
    <w:p>
      <w:pPr>
        <w:spacing w:line="600" w:lineRule="exact"/>
        <w:jc w:val="center"/>
        <w:rPr>
          <w:rFonts w:hint="eastAsia" w:ascii="Times New Roman" w:hAnsi="Times New Roman" w:eastAsia="楷体_GB2312" w:cs="楷体_GB2312"/>
          <w:color w:val="auto"/>
          <w:sz w:val="28"/>
          <w:szCs w:val="28"/>
        </w:rPr>
      </w:pPr>
      <w:r>
        <w:rPr>
          <w:rFonts w:hint="eastAsia" w:ascii="Times New Roman" w:hAnsi="Times New Roman" w:eastAsia="楷体_GB2312" w:cs="楷体_GB2312"/>
          <w:color w:val="auto"/>
          <w:sz w:val="28"/>
          <w:szCs w:val="28"/>
        </w:rPr>
        <w:t>（</w:t>
      </w:r>
      <w:r>
        <w:rPr>
          <w:rFonts w:hint="eastAsia" w:ascii="Times New Roman" w:hAnsi="Times New Roman" w:eastAsia="楷体_GB2312" w:cs="楷体_GB2312"/>
          <w:color w:val="auto"/>
          <w:sz w:val="28"/>
          <w:szCs w:val="28"/>
          <w:lang w:eastAsia="zh-CN"/>
        </w:rPr>
        <w:t>参考模板</w:t>
      </w:r>
      <w:r>
        <w:rPr>
          <w:rFonts w:hint="eastAsia" w:ascii="Times New Roman" w:hAnsi="Times New Roman" w:eastAsia="楷体_GB2312" w:cs="楷体_GB2312"/>
          <w:color w:val="auto"/>
          <w:sz w:val="28"/>
          <w:szCs w:val="28"/>
        </w:rPr>
        <w:t>）</w:t>
      </w:r>
    </w:p>
    <w:p>
      <w:pPr>
        <w:spacing w:line="600" w:lineRule="exact"/>
        <w:jc w:val="center"/>
        <w:rPr>
          <w:rFonts w:ascii="Times New Roman" w:hAnsi="Times New Roman" w:eastAsia="仿宋_GB2312" w:cs="Times New Roman"/>
          <w:color w:val="auto"/>
          <w:sz w:val="28"/>
          <w:szCs w:val="28"/>
        </w:rPr>
      </w:pPr>
    </w:p>
    <w:p>
      <w:pPr>
        <w:spacing w:line="600" w:lineRule="exact"/>
        <w:jc w:val="center"/>
        <w:rPr>
          <w:rFonts w:ascii="Times New Roman" w:hAnsi="Times New Roman" w:eastAsia="仿宋_GB2312" w:cs="Times New Roman"/>
          <w:color w:val="auto"/>
          <w:sz w:val="28"/>
          <w:szCs w:val="28"/>
        </w:rPr>
      </w:pPr>
    </w:p>
    <w:p>
      <w:pPr>
        <w:spacing w:line="600" w:lineRule="exact"/>
        <w:jc w:val="center"/>
        <w:rPr>
          <w:rFonts w:ascii="Times New Roman" w:hAnsi="Times New Roman" w:eastAsia="仿宋_GB2312" w:cs="Times New Roman"/>
          <w:color w:val="auto"/>
          <w:sz w:val="28"/>
          <w:szCs w:val="28"/>
        </w:rPr>
      </w:pPr>
    </w:p>
    <w:p>
      <w:pPr>
        <w:spacing w:line="600" w:lineRule="exact"/>
        <w:jc w:val="center"/>
        <w:rPr>
          <w:rFonts w:ascii="Times New Roman" w:hAnsi="Times New Roman" w:eastAsia="仿宋_GB2312" w:cs="Times New Roman"/>
          <w:color w:val="auto"/>
          <w:sz w:val="28"/>
          <w:szCs w:val="28"/>
        </w:rPr>
      </w:pPr>
    </w:p>
    <w:p>
      <w:pPr>
        <w:spacing w:line="700" w:lineRule="exact"/>
        <w:jc w:val="center"/>
        <w:rPr>
          <w:rFonts w:ascii="Times New Roman" w:hAnsi="Times New Roman" w:eastAsia="仿宋_GB2312" w:cs="Times New Roman"/>
          <w:color w:val="auto"/>
          <w:sz w:val="28"/>
          <w:szCs w:val="28"/>
        </w:rPr>
      </w:pPr>
    </w:p>
    <w:p>
      <w:pPr>
        <w:spacing w:line="700" w:lineRule="exact"/>
        <w:ind w:firstLine="560" w:firstLineChars="200"/>
        <w:rPr>
          <w:rFonts w:ascii="Times New Roman" w:hAnsi="Times New Roman" w:eastAsia="仿宋_GB2312" w:cs="Times New Roman"/>
          <w:color w:val="auto"/>
          <w:sz w:val="28"/>
          <w:szCs w:val="28"/>
        </w:rPr>
      </w:pPr>
    </w:p>
    <w:p>
      <w:pPr>
        <w:spacing w:line="800" w:lineRule="exact"/>
        <w:ind w:left="850" w:leftChars="405"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参赛省份（加盖省级人社部门公章）：</w:t>
      </w:r>
    </w:p>
    <w:p>
      <w:pPr>
        <w:spacing w:line="800" w:lineRule="exact"/>
        <w:ind w:left="850" w:leftChars="405"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参赛者单位（加盖学校公章）：</w:t>
      </w:r>
    </w:p>
    <w:p>
      <w:pPr>
        <w:spacing w:line="800" w:lineRule="exact"/>
        <w:ind w:left="850" w:leftChars="405"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参赛者姓名：</w:t>
      </w:r>
    </w:p>
    <w:p>
      <w:pPr>
        <w:spacing w:line="800" w:lineRule="exact"/>
        <w:ind w:left="850" w:leftChars="405"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参赛项目类别：</w:t>
      </w:r>
    </w:p>
    <w:p>
      <w:pPr>
        <w:spacing w:line="800" w:lineRule="exact"/>
        <w:ind w:left="850" w:leftChars="405" w:firstLine="560" w:firstLineChars="200"/>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参赛作品题目：</w:t>
      </w:r>
    </w:p>
    <w:p>
      <w:pPr>
        <w:spacing w:line="600" w:lineRule="exact"/>
        <w:ind w:firstLine="560" w:firstLineChars="200"/>
        <w:rPr>
          <w:rFonts w:ascii="Times New Roman" w:hAnsi="Times New Roman" w:eastAsia="仿宋_GB2312" w:cs="Times New Roman"/>
          <w:color w:val="auto"/>
          <w:sz w:val="28"/>
          <w:szCs w:val="28"/>
        </w:rPr>
      </w:pPr>
    </w:p>
    <w:p>
      <w:pPr>
        <w:spacing w:line="600" w:lineRule="exact"/>
        <w:ind w:firstLine="560" w:firstLineChars="200"/>
        <w:rPr>
          <w:rFonts w:ascii="Times New Roman" w:hAnsi="Times New Roman" w:eastAsia="仿宋_GB2312" w:cs="Times New Roman"/>
          <w:color w:val="auto"/>
          <w:sz w:val="28"/>
          <w:szCs w:val="28"/>
        </w:rPr>
        <w:sectPr>
          <w:footerReference r:id="rId3" w:type="default"/>
          <w:pgSz w:w="11906" w:h="16838"/>
          <w:pgMar w:top="1531" w:right="1474" w:bottom="1361" w:left="1588" w:header="851" w:footer="771" w:gutter="0"/>
          <w:pgNumType w:fmt="decimal"/>
          <w:cols w:space="720" w:num="1"/>
          <w:docGrid w:type="lines" w:linePitch="605" w:charSpace="21679"/>
        </w:sectPr>
      </w:pPr>
    </w:p>
    <w:p>
      <w:pPr>
        <w:spacing w:line="600" w:lineRule="exact"/>
        <w:jc w:val="center"/>
        <w:rPr>
          <w:rFonts w:ascii="Times New Roman" w:hAnsi="Times New Roman" w:eastAsia="华文中宋" w:cs="Times New Roman"/>
          <w:b/>
          <w:color w:val="auto"/>
          <w:spacing w:val="-11"/>
          <w:sz w:val="44"/>
          <w:szCs w:val="44"/>
        </w:rPr>
      </w:pPr>
      <w:r>
        <w:rPr>
          <w:rFonts w:ascii="Times New Roman" w:hAnsi="Times New Roman" w:eastAsia="华文中宋" w:cs="Times New Roman"/>
          <w:b/>
          <w:color w:val="auto"/>
          <w:spacing w:val="-11"/>
          <w:sz w:val="44"/>
          <w:szCs w:val="44"/>
        </w:rPr>
        <w:t>第二届全国技工院校教师职业能力大赛教学设计</w:t>
      </w:r>
    </w:p>
    <w:p>
      <w:pPr>
        <w:spacing w:line="60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（参考模板）</w:t>
      </w:r>
    </w:p>
    <w:tbl>
      <w:tblPr>
        <w:tblStyle w:val="9"/>
        <w:tblW w:w="95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567"/>
        <w:gridCol w:w="1275"/>
        <w:gridCol w:w="945"/>
        <w:gridCol w:w="619"/>
        <w:gridCol w:w="988"/>
        <w:gridCol w:w="1138"/>
        <w:gridCol w:w="591"/>
        <w:gridCol w:w="1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2122" w:type="dxa"/>
            <w:gridSpan w:val="2"/>
            <w:vAlign w:val="center"/>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参赛项目类别</w:t>
            </w:r>
          </w:p>
        </w:tc>
        <w:tc>
          <w:tcPr>
            <w:tcW w:w="3827" w:type="dxa"/>
            <w:gridSpan w:val="4"/>
            <w:vAlign w:val="center"/>
          </w:tcPr>
          <w:p>
            <w:pPr>
              <w:spacing w:line="520" w:lineRule="exact"/>
              <w:jc w:val="center"/>
              <w:rPr>
                <w:rFonts w:ascii="Times New Roman" w:hAnsi="Times New Roman" w:eastAsia="仿宋_GB2312" w:cs="Times New Roman"/>
                <w:color w:val="auto"/>
                <w:sz w:val="28"/>
                <w:szCs w:val="28"/>
              </w:rPr>
            </w:pPr>
          </w:p>
        </w:tc>
        <w:tc>
          <w:tcPr>
            <w:tcW w:w="1729" w:type="dxa"/>
            <w:gridSpan w:val="2"/>
            <w:vAlign w:val="center"/>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作品编码</w:t>
            </w:r>
          </w:p>
        </w:tc>
        <w:tc>
          <w:tcPr>
            <w:tcW w:w="1873" w:type="dxa"/>
            <w:vAlign w:val="center"/>
          </w:tcPr>
          <w:p>
            <w:pPr>
              <w:spacing w:line="520" w:lineRule="exact"/>
              <w:jc w:val="center"/>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2122" w:type="dxa"/>
            <w:gridSpan w:val="2"/>
            <w:vAlign w:val="center"/>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专业名称</w:t>
            </w:r>
          </w:p>
        </w:tc>
        <w:tc>
          <w:tcPr>
            <w:tcW w:w="7429" w:type="dxa"/>
            <w:gridSpan w:val="7"/>
            <w:vAlign w:val="center"/>
          </w:tcPr>
          <w:p>
            <w:pPr>
              <w:spacing w:line="520" w:lineRule="exact"/>
              <w:jc w:val="center"/>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2122" w:type="dxa"/>
            <w:gridSpan w:val="2"/>
            <w:vAlign w:val="center"/>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课程名称</w:t>
            </w:r>
          </w:p>
        </w:tc>
        <w:tc>
          <w:tcPr>
            <w:tcW w:w="2220" w:type="dxa"/>
            <w:gridSpan w:val="2"/>
            <w:vAlign w:val="center"/>
          </w:tcPr>
          <w:p>
            <w:pPr>
              <w:spacing w:line="480" w:lineRule="exact"/>
              <w:jc w:val="center"/>
              <w:rPr>
                <w:rFonts w:ascii="Times New Roman" w:hAnsi="Times New Roman" w:eastAsia="仿宋_GB2312" w:cs="Times New Roman"/>
                <w:color w:val="auto"/>
                <w:sz w:val="28"/>
                <w:szCs w:val="28"/>
              </w:rPr>
            </w:pPr>
          </w:p>
        </w:tc>
        <w:tc>
          <w:tcPr>
            <w:tcW w:w="1607" w:type="dxa"/>
            <w:gridSpan w:val="2"/>
            <w:vAlign w:val="center"/>
          </w:tcPr>
          <w:p>
            <w:pPr>
              <w:spacing w:line="48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作品题目</w:t>
            </w:r>
          </w:p>
        </w:tc>
        <w:tc>
          <w:tcPr>
            <w:tcW w:w="3602" w:type="dxa"/>
            <w:gridSpan w:val="3"/>
            <w:vAlign w:val="center"/>
          </w:tcPr>
          <w:p>
            <w:pPr>
              <w:spacing w:line="520" w:lineRule="exact"/>
              <w:jc w:val="center"/>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2122" w:type="dxa"/>
            <w:gridSpan w:val="2"/>
            <w:tcBorders>
              <w:bottom w:val="single" w:color="auto" w:sz="4" w:space="0"/>
            </w:tcBorders>
            <w:vAlign w:val="center"/>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课时</w:t>
            </w:r>
          </w:p>
        </w:tc>
        <w:tc>
          <w:tcPr>
            <w:tcW w:w="2220" w:type="dxa"/>
            <w:gridSpan w:val="2"/>
            <w:tcBorders>
              <w:bottom w:val="single" w:color="auto" w:sz="4" w:space="0"/>
            </w:tcBorders>
            <w:vAlign w:val="center"/>
          </w:tcPr>
          <w:p>
            <w:pPr>
              <w:spacing w:line="520" w:lineRule="exact"/>
              <w:jc w:val="center"/>
              <w:rPr>
                <w:rFonts w:ascii="Times New Roman" w:hAnsi="Times New Roman" w:eastAsia="仿宋_GB2312" w:cs="Times New Roman"/>
                <w:color w:val="auto"/>
                <w:sz w:val="28"/>
                <w:szCs w:val="28"/>
              </w:rPr>
            </w:pPr>
          </w:p>
        </w:tc>
        <w:tc>
          <w:tcPr>
            <w:tcW w:w="1607" w:type="dxa"/>
            <w:gridSpan w:val="2"/>
            <w:tcBorders>
              <w:bottom w:val="single" w:color="auto" w:sz="4" w:space="0"/>
            </w:tcBorders>
            <w:vAlign w:val="center"/>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教学对象</w:t>
            </w:r>
          </w:p>
        </w:tc>
        <w:tc>
          <w:tcPr>
            <w:tcW w:w="3602" w:type="dxa"/>
            <w:gridSpan w:val="3"/>
            <w:tcBorders>
              <w:bottom w:val="single" w:color="auto" w:sz="4" w:space="0"/>
            </w:tcBorders>
            <w:vAlign w:val="center"/>
          </w:tcPr>
          <w:p>
            <w:pPr>
              <w:spacing w:line="520" w:lineRule="exact"/>
              <w:jc w:val="center"/>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一、选题价值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二、学习目标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三、学情分析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四、学习内容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五、学习资源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六、教学实施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1555" w:type="dxa"/>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教学环节</w:t>
            </w:r>
          </w:p>
        </w:tc>
        <w:tc>
          <w:tcPr>
            <w:tcW w:w="1842" w:type="dxa"/>
            <w:gridSpan w:val="2"/>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学生活动</w:t>
            </w:r>
          </w:p>
        </w:tc>
        <w:tc>
          <w:tcPr>
            <w:tcW w:w="1564" w:type="dxa"/>
            <w:gridSpan w:val="2"/>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教师活动</w:t>
            </w:r>
          </w:p>
        </w:tc>
        <w:tc>
          <w:tcPr>
            <w:tcW w:w="2126" w:type="dxa"/>
            <w:gridSpan w:val="2"/>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教学手段</w:t>
            </w:r>
          </w:p>
        </w:tc>
        <w:tc>
          <w:tcPr>
            <w:tcW w:w="2464" w:type="dxa"/>
            <w:gridSpan w:val="2"/>
          </w:tcPr>
          <w:p>
            <w:pPr>
              <w:spacing w:line="520" w:lineRule="exact"/>
              <w:jc w:val="center"/>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vAlign w:val="center"/>
          </w:tcPr>
          <w:p>
            <w:pPr>
              <w:spacing w:line="520" w:lineRule="exact"/>
              <w:rPr>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七、学业评价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9551" w:type="dxa"/>
            <w:gridSpan w:val="9"/>
          </w:tcPr>
          <w:p>
            <w:pPr>
              <w:spacing w:line="520" w:lineRule="exact"/>
              <w:rPr>
                <w:rFonts w:ascii="Times New Roman" w:hAnsi="Times New Roman" w:eastAsia="仿宋_GB2312" w:cs="Times New Roman"/>
                <w:color w:val="auto"/>
                <w:sz w:val="28"/>
                <w:szCs w:val="28"/>
              </w:rPr>
            </w:pPr>
          </w:p>
        </w:tc>
      </w:tr>
    </w:tbl>
    <w:p>
      <w:pPr>
        <w:rPr>
          <w:rFonts w:ascii="Times New Roman" w:hAnsi="Times New Roman" w:cs="Times New Roman"/>
          <w:color w:val="auto"/>
          <w:sz w:val="24"/>
        </w:rPr>
      </w:pPr>
    </w:p>
    <w:p>
      <w:pPr>
        <w:rPr>
          <w:rFonts w:ascii="Times New Roman" w:hAnsi="Times New Roman" w:cs="Times New Roman"/>
          <w:color w:val="auto"/>
          <w:sz w:val="24"/>
        </w:rPr>
      </w:pPr>
      <w:r>
        <w:rPr>
          <w:rFonts w:ascii="Times New Roman" w:hAnsi="Times New Roman" w:cs="Times New Roman"/>
          <w:color w:val="auto"/>
          <w:sz w:val="24"/>
        </w:rPr>
        <mc:AlternateContent>
          <mc:Choice Requires="wps">
            <w:drawing>
              <wp:anchor distT="0" distB="0" distL="114300" distR="114300" simplePos="0" relativeHeight="251659264" behindDoc="0" locked="0" layoutInCell="1" allowOverlap="1">
                <wp:simplePos x="0" y="0"/>
                <wp:positionH relativeFrom="column">
                  <wp:posOffset>7625080</wp:posOffset>
                </wp:positionH>
                <wp:positionV relativeFrom="paragraph">
                  <wp:posOffset>461010</wp:posOffset>
                </wp:positionV>
                <wp:extent cx="1203960" cy="768350"/>
                <wp:effectExtent l="0" t="0" r="15240" b="12700"/>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1203960" cy="768350"/>
                        </a:xfrm>
                        <a:prstGeom prst="rect">
                          <a:avLst/>
                        </a:prstGeom>
                        <a:solidFill>
                          <a:srgbClr val="FFFFFF"/>
                        </a:solidFill>
                        <a:ln w="9525">
                          <a:solidFill>
                            <a:srgbClr val="FFFFFF"/>
                          </a:solidFill>
                          <a:miter lim="800000"/>
                        </a:ln>
                      </wps:spPr>
                      <wps:txbx>
                        <w:txbxContent>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00.4pt;margin-top:36.3pt;height:60.5pt;width:94.8pt;z-index:251659264;mso-width-relative:page;mso-height-relative:page;" fillcolor="#FFFFFF" filled="t" stroked="t" coordsize="21600,21600" o:gfxdata="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d&#10;NhYw2QAAAAwBAAAPAAAAAAAAAAEAIAAAACIAAABkcnMvZG93bnJldi54bWxQSwECFAAUAAAACACH&#10;TuJACX3gFiMCAAA9BAAADgAAAAAAAAABACAAAAAoAQAAZHJzL2Uyb0RvYy54bWxQSwUGAAAAAAYA&#10;BgBZAQAAvQUAAAAA&#10;">
                <v:fill on="t" focussize="0,0"/>
                <v:stroke color="#FFFFFF" miterlimit="8" joinstyle="miter"/>
                <v:imagedata o:title=""/>
                <o:lock v:ext="edit" aspectratio="f"/>
                <v:textbox>
                  <w:txbxContent>
                    <w:p/>
                  </w:txbxContent>
                </v:textbox>
              </v:shape>
            </w:pict>
          </mc:Fallback>
        </mc:AlternateContent>
      </w:r>
      <w:r>
        <w:rPr>
          <w:rFonts w:ascii="Times New Roman" w:hAnsi="Times New Roman" w:cs="Times New Roman"/>
          <w:color w:val="auto"/>
          <w:sz w:val="24"/>
        </w:rPr>
        <w:t>注：作品编码留空，由第二届全国技工院校教师职业能力大赛工作办公室统一编码。</w:t>
      </w:r>
    </w:p>
    <w:p>
      <w:pPr>
        <w:spacing w:line="480" w:lineRule="exact"/>
        <w:jc w:val="center"/>
        <w:rPr>
          <w:rFonts w:ascii="Times New Roman" w:hAnsi="Times New Roman" w:eastAsia="华文中宋" w:cs="Times New Roman"/>
          <w:b/>
          <w:bCs/>
          <w:color w:val="auto"/>
          <w:sz w:val="44"/>
          <w:szCs w:val="44"/>
        </w:rPr>
      </w:pPr>
    </w:p>
    <w:p>
      <w:pPr>
        <w:spacing w:line="480" w:lineRule="exact"/>
        <w:rPr>
          <w:rFonts w:ascii="Times New Roman" w:hAnsi="Times New Roman" w:eastAsia="黑体" w:cs="Times New Roman"/>
          <w:color w:val="auto"/>
          <w:sz w:val="32"/>
          <w:szCs w:val="32"/>
        </w:rPr>
      </w:pPr>
      <w:r>
        <w:rPr>
          <w:rFonts w:hint="eastAsia" w:ascii="Times New Roman" w:hAnsi="Times New Roman" w:eastAsia="黑体" w:cs="黑体"/>
          <w:color w:val="auto"/>
          <w:sz w:val="32"/>
          <w:szCs w:val="32"/>
        </w:rPr>
        <w:t>附件</w:t>
      </w:r>
      <w:r>
        <w:rPr>
          <w:rFonts w:hint="eastAsia" w:ascii="Times New Roman" w:hAnsi="Times New Roman" w:eastAsia="黑体" w:cs="Times New Roman"/>
          <w:color w:val="auto"/>
          <w:sz w:val="32"/>
          <w:szCs w:val="32"/>
        </w:rPr>
        <w:t>4</w:t>
      </w:r>
    </w:p>
    <w:p>
      <w:pPr>
        <w:spacing w:line="480" w:lineRule="exact"/>
        <w:rPr>
          <w:rFonts w:ascii="Times New Roman" w:hAnsi="Times New Roman" w:eastAsia="黑体" w:cs="Times New Roman"/>
          <w:color w:val="auto"/>
          <w:sz w:val="32"/>
          <w:szCs w:val="32"/>
        </w:rPr>
      </w:pPr>
    </w:p>
    <w:p>
      <w:pPr>
        <w:widowControl/>
        <w:adjustRightInd w:val="0"/>
        <w:snapToGrid w:val="0"/>
        <w:jc w:val="center"/>
        <w:outlineLvl w:val="0"/>
        <w:rPr>
          <w:rFonts w:ascii="Times New Roman" w:hAnsi="Times New Roman" w:eastAsia="华文中宋" w:cs="Times New Roman"/>
          <w:b/>
          <w:bCs/>
          <w:color w:val="auto"/>
          <w:spacing w:val="-14"/>
          <w:sz w:val="44"/>
          <w:szCs w:val="44"/>
        </w:rPr>
      </w:pPr>
      <w:r>
        <w:rPr>
          <w:rFonts w:ascii="Times New Roman" w:hAnsi="Times New Roman" w:eastAsia="华文中宋" w:cs="Times New Roman"/>
          <w:b/>
          <w:bCs/>
          <w:color w:val="auto"/>
          <w:spacing w:val="-14"/>
          <w:sz w:val="44"/>
          <w:szCs w:val="44"/>
        </w:rPr>
        <w:t>第二届全国技工院校教师职业能力大赛</w:t>
      </w:r>
    </w:p>
    <w:p>
      <w:pPr>
        <w:widowControl/>
        <w:adjustRightInd w:val="0"/>
        <w:snapToGrid w:val="0"/>
        <w:jc w:val="center"/>
        <w:outlineLvl w:val="0"/>
        <w:rPr>
          <w:rFonts w:ascii="Times New Roman" w:hAnsi="Times New Roman" w:eastAsia="华文中宋" w:cs="Times New Roman"/>
          <w:b/>
          <w:bCs/>
          <w:color w:val="auto"/>
          <w:spacing w:val="-14"/>
          <w:sz w:val="44"/>
          <w:szCs w:val="44"/>
        </w:rPr>
      </w:pPr>
      <w:r>
        <w:rPr>
          <w:rFonts w:ascii="Times New Roman" w:hAnsi="Times New Roman" w:eastAsia="华文中宋" w:cs="Times New Roman"/>
          <w:b/>
          <w:bCs/>
          <w:color w:val="auto"/>
          <w:spacing w:val="-14"/>
          <w:sz w:val="44"/>
          <w:szCs w:val="44"/>
        </w:rPr>
        <w:t>评审专家组织推荐办法</w:t>
      </w:r>
    </w:p>
    <w:p>
      <w:pPr>
        <w:widowControl/>
        <w:adjustRightInd w:val="0"/>
        <w:snapToGrid w:val="0"/>
        <w:jc w:val="center"/>
        <w:outlineLvl w:val="0"/>
        <w:rPr>
          <w:rFonts w:ascii="Times New Roman" w:hAnsi="Times New Roman" w:eastAsia="方正小标宋简体" w:cs="Times New Roman"/>
          <w:color w:val="auto"/>
          <w:spacing w:val="-14"/>
          <w:sz w:val="44"/>
          <w:szCs w:val="44"/>
        </w:rPr>
      </w:pPr>
    </w:p>
    <w:p>
      <w:pPr>
        <w:widowControl/>
        <w:adjustRightInd w:val="0"/>
        <w:snapToGrid w:val="0"/>
        <w:spacing w:line="560" w:lineRule="exac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为提高全国技工院校教师职业能力大赛评</w:t>
      </w:r>
      <w:r>
        <w:rPr>
          <w:rFonts w:hint="eastAsia" w:ascii="Times New Roman" w:hAnsi="Times New Roman" w:eastAsia="仿宋_GB2312" w:cs="Times New Roman"/>
          <w:color w:val="auto"/>
          <w:kern w:val="0"/>
          <w:sz w:val="32"/>
          <w:szCs w:val="32"/>
          <w:lang w:eastAsia="zh-CN"/>
        </w:rPr>
        <w:t>审</w:t>
      </w:r>
      <w:r>
        <w:rPr>
          <w:rFonts w:ascii="Times New Roman" w:hAnsi="Times New Roman" w:eastAsia="仿宋_GB2312" w:cs="Times New Roman"/>
          <w:color w:val="auto"/>
          <w:kern w:val="0"/>
          <w:sz w:val="32"/>
          <w:szCs w:val="32"/>
        </w:rPr>
        <w:t>工作的科学化、专业化水平，大赛评审专家由各参赛省级人力资源社会保障部门推荐专家</w:t>
      </w:r>
      <w:r>
        <w:rPr>
          <w:rFonts w:hint="eastAsia" w:ascii="Times New Roman" w:hAnsi="Times New Roman" w:eastAsia="仿宋_GB2312" w:cs="Times New Roman"/>
          <w:color w:val="auto"/>
          <w:kern w:val="0"/>
          <w:sz w:val="32"/>
          <w:szCs w:val="32"/>
        </w:rPr>
        <w:t>组成，</w:t>
      </w:r>
      <w:r>
        <w:rPr>
          <w:rFonts w:ascii="Times New Roman" w:hAnsi="Times New Roman" w:eastAsia="仿宋_GB2312" w:cs="Times New Roman"/>
          <w:color w:val="auto"/>
          <w:kern w:val="0"/>
          <w:sz w:val="32"/>
          <w:szCs w:val="32"/>
        </w:rPr>
        <w:t>特制定本办法。</w:t>
      </w:r>
    </w:p>
    <w:p>
      <w:pPr>
        <w:adjustRightInd w:val="0"/>
        <w:snapToGrid w:val="0"/>
        <w:spacing w:line="560" w:lineRule="exact"/>
        <w:ind w:firstLine="704" w:firstLineChars="220"/>
        <w:rPr>
          <w:rFonts w:ascii="Times New Roman" w:hAnsi="Times New Roman" w:eastAsia="黑体" w:cs="Times New Roman"/>
          <w:color w:val="auto"/>
          <w:kern w:val="0"/>
          <w:sz w:val="32"/>
          <w:szCs w:val="32"/>
        </w:rPr>
      </w:pPr>
      <w:r>
        <w:rPr>
          <w:rFonts w:ascii="Times New Roman" w:hAnsi="Times New Roman" w:eastAsia="黑体" w:cs="Times New Roman"/>
          <w:bCs/>
          <w:color w:val="auto"/>
          <w:kern w:val="0"/>
          <w:sz w:val="32"/>
          <w:szCs w:val="32"/>
        </w:rPr>
        <w:t>一、</w:t>
      </w:r>
      <w:r>
        <w:rPr>
          <w:rFonts w:ascii="Times New Roman" w:hAnsi="Times New Roman" w:eastAsia="黑体" w:cs="Times New Roman"/>
          <w:color w:val="auto"/>
          <w:kern w:val="0"/>
          <w:sz w:val="32"/>
          <w:szCs w:val="32"/>
        </w:rPr>
        <w:t>评审专家</w:t>
      </w:r>
      <w:r>
        <w:rPr>
          <w:rFonts w:ascii="Times New Roman" w:hAnsi="Times New Roman" w:eastAsia="黑体" w:cs="Times New Roman"/>
          <w:bCs/>
          <w:color w:val="auto"/>
          <w:kern w:val="0"/>
          <w:sz w:val="32"/>
          <w:szCs w:val="32"/>
        </w:rPr>
        <w:t>基本条件</w:t>
      </w:r>
    </w:p>
    <w:p>
      <w:pPr>
        <w:widowControl/>
        <w:adjustRightInd w:val="0"/>
        <w:snapToGrid w:val="0"/>
        <w:spacing w:line="560" w:lineRule="exact"/>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（一）拥护党的领导，政治立场坚定，具有良好的职业道德，责任心强，工作严谨，坚持原则，作风正派，廉洁公正。</w:t>
      </w:r>
    </w:p>
    <w:p>
      <w:pPr>
        <w:widowControl/>
        <w:adjustRightInd w:val="0"/>
        <w:snapToGrid w:val="0"/>
        <w:spacing w:line="560" w:lineRule="exact"/>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（二）热爱技工教育事业，熟悉技工教育教学工作，具有较高专业素质和理论水平，熟悉相关专业领域课程教学改革进展情况。</w:t>
      </w:r>
    </w:p>
    <w:p>
      <w:pPr>
        <w:widowControl/>
        <w:adjustRightInd w:val="0"/>
        <w:snapToGrid w:val="0"/>
        <w:spacing w:line="560" w:lineRule="exact"/>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（三）熟悉一体化课程教学改革工作，有较强的理论基础和丰富的实践经验，参加过有关评价评审工作。</w:t>
      </w:r>
    </w:p>
    <w:p>
      <w:pPr>
        <w:widowControl/>
        <w:adjustRightInd w:val="0"/>
        <w:snapToGrid w:val="0"/>
        <w:spacing w:line="560" w:lineRule="exact"/>
        <w:ind w:firstLine="645"/>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（四）坚持自愿原则，且能够保证承担相关工作的时间和精力，所在单位能够为其提供有关支持和条件保障。</w:t>
      </w:r>
    </w:p>
    <w:p>
      <w:pPr>
        <w:widowControl/>
        <w:adjustRightInd w:val="0"/>
        <w:snapToGrid w:val="0"/>
        <w:spacing w:line="560" w:lineRule="exact"/>
        <w:ind w:firstLine="640" w:firstLineChars="200"/>
        <w:jc w:val="left"/>
        <w:rPr>
          <w:rFonts w:ascii="Times New Roman" w:hAnsi="Times New Roman" w:eastAsia="黑体" w:cs="Times New Roman"/>
          <w:bCs/>
          <w:color w:val="auto"/>
          <w:kern w:val="0"/>
          <w:sz w:val="32"/>
          <w:szCs w:val="32"/>
        </w:rPr>
      </w:pPr>
      <w:r>
        <w:rPr>
          <w:rFonts w:ascii="Times New Roman" w:hAnsi="Times New Roman" w:eastAsia="黑体" w:cs="Times New Roman"/>
          <w:bCs/>
          <w:color w:val="auto"/>
          <w:kern w:val="0"/>
          <w:sz w:val="32"/>
          <w:szCs w:val="32"/>
        </w:rPr>
        <w:t>二、推荐要求</w:t>
      </w:r>
    </w:p>
    <w:p>
      <w:pPr>
        <w:widowControl/>
        <w:adjustRightInd w:val="0"/>
        <w:snapToGrid w:val="0"/>
        <w:spacing w:line="560" w:lineRule="exact"/>
        <w:ind w:firstLine="640" w:firstLineChars="200"/>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（一）推荐</w:t>
      </w:r>
      <w:r>
        <w:rPr>
          <w:rFonts w:hint="eastAsia" w:ascii="Times New Roman" w:hAnsi="Times New Roman" w:eastAsia="仿宋_GB2312" w:cs="Times New Roman"/>
          <w:color w:val="auto"/>
          <w:kern w:val="0"/>
          <w:sz w:val="32"/>
          <w:szCs w:val="32"/>
          <w:lang w:eastAsia="zh-CN"/>
        </w:rPr>
        <w:t>名</w:t>
      </w:r>
      <w:r>
        <w:rPr>
          <w:rFonts w:ascii="Times New Roman" w:hAnsi="Times New Roman" w:eastAsia="仿宋_GB2312" w:cs="Times New Roman"/>
          <w:color w:val="auto"/>
          <w:kern w:val="0"/>
          <w:sz w:val="32"/>
          <w:szCs w:val="32"/>
        </w:rPr>
        <w:t>额：各地可推荐9名专家，且应避免所推荐专家集中在同一大赛类别。</w:t>
      </w:r>
    </w:p>
    <w:p>
      <w:pPr>
        <w:widowControl/>
        <w:adjustRightInd w:val="0"/>
        <w:snapToGrid w:val="0"/>
        <w:spacing w:line="560" w:lineRule="exact"/>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（二）统筹考虑所推荐专家在教育教学、教（科）研、教学管理等领域的分布，教学一线的教师应占一定比例。</w:t>
      </w:r>
    </w:p>
    <w:p>
      <w:pPr>
        <w:widowControl/>
        <w:adjustRightInd w:val="0"/>
        <w:snapToGrid w:val="0"/>
        <w:spacing w:line="560" w:lineRule="exact"/>
        <w:ind w:firstLine="645"/>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（三）具备以下条件的人员可优先推荐：</w:t>
      </w:r>
    </w:p>
    <w:p>
      <w:pPr>
        <w:widowControl/>
        <w:adjustRightInd w:val="0"/>
        <w:snapToGrid w:val="0"/>
        <w:spacing w:line="560" w:lineRule="exact"/>
        <w:ind w:firstLine="645"/>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1. 参与过人力资源社会保障部一体化课程教学改革试点工作或参与过各专业的《国家技能人才培养标准》和《一体化课程规范》的编制工作。</w:t>
      </w:r>
    </w:p>
    <w:p>
      <w:pPr>
        <w:widowControl/>
        <w:adjustRightInd w:val="0"/>
        <w:snapToGrid w:val="0"/>
        <w:spacing w:line="560" w:lineRule="exact"/>
        <w:ind w:firstLine="645"/>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 xml:space="preserve">2. </w:t>
      </w:r>
      <w:r>
        <w:rPr>
          <w:rFonts w:hint="eastAsia" w:ascii="Times New Roman" w:hAnsi="Times New Roman" w:eastAsia="仿宋_GB2312" w:cs="Times New Roman"/>
          <w:color w:val="auto"/>
          <w:kern w:val="0"/>
          <w:sz w:val="32"/>
          <w:szCs w:val="32"/>
        </w:rPr>
        <w:t>参与</w:t>
      </w:r>
      <w:r>
        <w:rPr>
          <w:rFonts w:ascii="Times New Roman" w:hAnsi="Times New Roman" w:eastAsia="仿宋_GB2312" w:cs="Times New Roman"/>
          <w:color w:val="auto"/>
          <w:kern w:val="0"/>
          <w:sz w:val="32"/>
          <w:szCs w:val="32"/>
        </w:rPr>
        <w:t>过世界技能大赛技术指导工作。</w:t>
      </w:r>
    </w:p>
    <w:p>
      <w:pPr>
        <w:widowControl/>
        <w:adjustRightInd w:val="0"/>
        <w:snapToGrid w:val="0"/>
        <w:spacing w:line="560" w:lineRule="exact"/>
        <w:ind w:firstLine="645"/>
        <w:jc w:val="left"/>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3. 担任过第一届全国技工院校教师职业能力大赛省赛、全国赛评委，或担任过第二届全国技工院校教师职业能力大赛省赛评委。</w:t>
      </w:r>
    </w:p>
    <w:p>
      <w:pPr>
        <w:widowControl/>
        <w:adjustRightInd w:val="0"/>
        <w:snapToGrid w:val="0"/>
        <w:spacing w:line="560" w:lineRule="exact"/>
        <w:jc w:val="left"/>
        <w:rPr>
          <w:rFonts w:ascii="Times New Roman" w:hAnsi="Times New Roman" w:eastAsia="黑体" w:cs="Times New Roman"/>
          <w:color w:val="auto"/>
          <w:kern w:val="0"/>
          <w:sz w:val="32"/>
          <w:szCs w:val="32"/>
        </w:rPr>
      </w:pPr>
      <w:r>
        <w:rPr>
          <w:rFonts w:ascii="Times New Roman" w:hAnsi="Times New Roman" w:eastAsia="仿宋_GB2312" w:cs="Times New Roman"/>
          <w:color w:val="auto"/>
          <w:kern w:val="0"/>
          <w:sz w:val="32"/>
          <w:szCs w:val="32"/>
        </w:rPr>
        <w:t>　　</w:t>
      </w:r>
      <w:r>
        <w:rPr>
          <w:rFonts w:ascii="Times New Roman" w:hAnsi="Times New Roman" w:eastAsia="黑体" w:cs="Times New Roman"/>
          <w:bCs/>
          <w:color w:val="auto"/>
          <w:kern w:val="0"/>
          <w:sz w:val="32"/>
          <w:szCs w:val="32"/>
        </w:rPr>
        <w:t>三、报送办法</w:t>
      </w:r>
    </w:p>
    <w:p>
      <w:pPr>
        <w:widowControl/>
        <w:adjustRightInd w:val="0"/>
        <w:snapToGrid w:val="0"/>
        <w:spacing w:line="560" w:lineRule="exact"/>
        <w:ind w:firstLine="645"/>
        <w:rPr>
          <w:rFonts w:ascii="Times New Roman" w:hAnsi="Times New Roman" w:eastAsia="仿宋_GB2312" w:cs="Times New Roman"/>
          <w:color w:val="auto"/>
          <w:sz w:val="32"/>
          <w:szCs w:val="32"/>
        </w:rPr>
      </w:pPr>
      <w:r>
        <w:rPr>
          <w:rFonts w:ascii="Times New Roman" w:hAnsi="Times New Roman" w:eastAsia="仿宋_GB2312" w:cs="Times New Roman"/>
          <w:color w:val="auto"/>
          <w:kern w:val="0"/>
          <w:sz w:val="32"/>
          <w:szCs w:val="32"/>
        </w:rPr>
        <w:t>各省级</w:t>
      </w:r>
      <w:r>
        <w:rPr>
          <w:rFonts w:ascii="Times New Roman" w:hAnsi="Times New Roman" w:eastAsia="仿宋_GB2312" w:cs="Times New Roman"/>
          <w:color w:val="auto"/>
          <w:sz w:val="32"/>
          <w:szCs w:val="32"/>
        </w:rPr>
        <w:t>人力资源社会保障部门</w:t>
      </w:r>
      <w:r>
        <w:rPr>
          <w:rFonts w:ascii="Times New Roman" w:hAnsi="Times New Roman" w:eastAsia="仿宋_GB2312" w:cs="Times New Roman"/>
          <w:color w:val="auto"/>
          <w:kern w:val="0"/>
          <w:sz w:val="32"/>
          <w:szCs w:val="32"/>
        </w:rPr>
        <w:t>负责审查专家推荐表内容，于2020年9月</w:t>
      </w:r>
      <w:r>
        <w:rPr>
          <w:rFonts w:hint="eastAsia" w:ascii="Times New Roman" w:hAnsi="Times New Roman" w:eastAsia="仿宋_GB2312" w:cs="Times New Roman"/>
          <w:color w:val="auto"/>
          <w:kern w:val="0"/>
          <w:sz w:val="32"/>
          <w:szCs w:val="32"/>
          <w:lang w:val="en-US" w:eastAsia="zh-CN"/>
        </w:rPr>
        <w:t>30</w:t>
      </w:r>
      <w:r>
        <w:rPr>
          <w:rFonts w:ascii="Times New Roman" w:hAnsi="Times New Roman" w:eastAsia="仿宋_GB2312" w:cs="Times New Roman"/>
          <w:color w:val="auto"/>
          <w:kern w:val="0"/>
          <w:sz w:val="32"/>
          <w:szCs w:val="32"/>
        </w:rPr>
        <w:t>日前报送至大赛工作办公室。不受理专家个人或专家所在单位直接报送的材料。</w:t>
      </w:r>
    </w:p>
    <w:p>
      <w:pPr>
        <w:widowControl/>
        <w:adjustRightInd w:val="0"/>
        <w:snapToGrid w:val="0"/>
        <w:spacing w:line="560" w:lineRule="exact"/>
        <w:jc w:val="left"/>
        <w:rPr>
          <w:rFonts w:ascii="Times New Roman" w:hAnsi="Times New Roman" w:cs="Times New Roman"/>
          <w:color w:val="auto"/>
        </w:rPr>
      </w:pPr>
      <w:r>
        <w:rPr>
          <w:rFonts w:ascii="Times New Roman" w:hAnsi="Times New Roman" w:eastAsia="仿宋_GB2312" w:cs="Times New Roman"/>
          <w:color w:val="auto"/>
          <w:sz w:val="32"/>
          <w:szCs w:val="32"/>
        </w:rPr>
        <w:t>　　本次专家推荐工作不属于评奖、评优或专家资质认定范畴，不发放聘书，不发文公布专家名单。各</w:t>
      </w:r>
      <w:r>
        <w:rPr>
          <w:rFonts w:ascii="Times New Roman" w:hAnsi="Times New Roman" w:eastAsia="仿宋_GB2312" w:cs="Times New Roman"/>
          <w:color w:val="auto"/>
          <w:kern w:val="0"/>
          <w:sz w:val="32"/>
          <w:szCs w:val="32"/>
        </w:rPr>
        <w:t>省级</w:t>
      </w:r>
      <w:r>
        <w:rPr>
          <w:rFonts w:ascii="Times New Roman" w:hAnsi="Times New Roman" w:eastAsia="仿宋_GB2312" w:cs="Times New Roman"/>
          <w:color w:val="auto"/>
          <w:sz w:val="32"/>
          <w:szCs w:val="32"/>
        </w:rPr>
        <w:t>人力资源社会保障部门推荐的专家将统一纳入专家库。</w:t>
      </w:r>
    </w:p>
    <w:p>
      <w:pPr>
        <w:widowControl/>
        <w:jc w:val="center"/>
        <w:rPr>
          <w:rFonts w:ascii="Times New Roman" w:hAnsi="Times New Roman" w:eastAsia="方正小标宋简体" w:cs="Times New Roman"/>
          <w:color w:val="auto"/>
          <w:kern w:val="0"/>
          <w:sz w:val="40"/>
          <w:szCs w:val="40"/>
        </w:rPr>
        <w:sectPr>
          <w:pgSz w:w="11906" w:h="16838"/>
          <w:pgMar w:top="2155" w:right="1474" w:bottom="1361" w:left="1588" w:header="851" w:footer="786" w:gutter="0"/>
          <w:pgNumType w:fmt="decimal"/>
          <w:cols w:space="720" w:num="1"/>
          <w:docGrid w:type="lines" w:linePitch="605" w:charSpace="21679"/>
        </w:sectPr>
      </w:pPr>
    </w:p>
    <w:tbl>
      <w:tblPr>
        <w:tblStyle w:val="9"/>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874"/>
        <w:gridCol w:w="1480"/>
        <w:gridCol w:w="527"/>
        <w:gridCol w:w="1174"/>
        <w:gridCol w:w="921"/>
        <w:gridCol w:w="717"/>
        <w:gridCol w:w="105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9584" w:type="dxa"/>
            <w:gridSpan w:val="9"/>
            <w:tcBorders>
              <w:top w:val="nil"/>
              <w:left w:val="nil"/>
              <w:right w:val="nil"/>
            </w:tcBorders>
            <w:vAlign w:val="center"/>
          </w:tcPr>
          <w:p>
            <w:pPr>
              <w:widowControl/>
              <w:spacing w:line="520" w:lineRule="exact"/>
              <w:jc w:val="center"/>
              <w:rPr>
                <w:rFonts w:ascii="Times New Roman" w:hAnsi="Times New Roman" w:eastAsia="华文中宋" w:cs="Times New Roman"/>
                <w:b/>
                <w:bCs/>
                <w:color w:val="auto"/>
                <w:kern w:val="0"/>
                <w:sz w:val="44"/>
                <w:szCs w:val="44"/>
              </w:rPr>
            </w:pPr>
          </w:p>
          <w:p>
            <w:pPr>
              <w:widowControl/>
              <w:spacing w:line="520" w:lineRule="exact"/>
              <w:jc w:val="center"/>
              <w:rPr>
                <w:rFonts w:ascii="Times New Roman" w:hAnsi="Times New Roman" w:eastAsia="华文中宋" w:cs="Times New Roman"/>
                <w:b/>
                <w:bCs/>
                <w:color w:val="auto"/>
                <w:kern w:val="0"/>
                <w:sz w:val="44"/>
                <w:szCs w:val="44"/>
              </w:rPr>
            </w:pPr>
            <w:r>
              <w:rPr>
                <w:rFonts w:ascii="Times New Roman" w:hAnsi="Times New Roman" w:eastAsia="华文中宋" w:cs="Times New Roman"/>
                <w:b/>
                <w:bCs/>
                <w:color w:val="auto"/>
                <w:kern w:val="0"/>
                <w:sz w:val="44"/>
                <w:szCs w:val="44"/>
              </w:rPr>
              <w:t>第二届全国技工院校教师职业能力大赛</w:t>
            </w:r>
          </w:p>
          <w:p>
            <w:pPr>
              <w:widowControl/>
              <w:spacing w:after="302" w:afterLines="50" w:line="520" w:lineRule="exact"/>
              <w:jc w:val="center"/>
              <w:rPr>
                <w:rFonts w:ascii="Times New Roman" w:hAnsi="Times New Roman" w:eastAsia="华文中宋" w:cs="Times New Roman"/>
                <w:b/>
                <w:bCs/>
                <w:color w:val="auto"/>
                <w:kern w:val="0"/>
                <w:sz w:val="44"/>
                <w:szCs w:val="44"/>
              </w:rPr>
            </w:pPr>
            <w:r>
              <w:rPr>
                <w:rFonts w:ascii="Times New Roman" w:hAnsi="Times New Roman" w:eastAsia="华文中宋" w:cs="Times New Roman"/>
                <w:b/>
                <w:bCs/>
                <w:color w:val="auto"/>
                <w:kern w:val="0"/>
                <w:sz w:val="44"/>
                <w:szCs w:val="44"/>
              </w:rPr>
              <w:t>专家推荐表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姓名</w:t>
            </w:r>
          </w:p>
        </w:tc>
        <w:tc>
          <w:tcPr>
            <w:tcW w:w="874"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48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出生年月</w:t>
            </w:r>
          </w:p>
        </w:tc>
        <w:tc>
          <w:tcPr>
            <w:tcW w:w="1701"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921"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性别</w:t>
            </w:r>
          </w:p>
        </w:tc>
        <w:tc>
          <w:tcPr>
            <w:tcW w:w="717"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053"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民族</w:t>
            </w:r>
          </w:p>
        </w:tc>
        <w:tc>
          <w:tcPr>
            <w:tcW w:w="1278" w:type="dxa"/>
            <w:tcBorders>
              <w:tl2br w:val="nil"/>
              <w:tr2bl w:val="nil"/>
            </w:tcBorders>
            <w:vAlign w:val="center"/>
          </w:tcPr>
          <w:p>
            <w:pPr>
              <w:widowControl/>
              <w:spacing w:line="40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学历</w:t>
            </w:r>
          </w:p>
        </w:tc>
        <w:tc>
          <w:tcPr>
            <w:tcW w:w="874"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48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所学专业</w:t>
            </w:r>
          </w:p>
        </w:tc>
        <w:tc>
          <w:tcPr>
            <w:tcW w:w="3339" w:type="dxa"/>
            <w:gridSpan w:val="4"/>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053"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职称</w:t>
            </w:r>
          </w:p>
        </w:tc>
        <w:tc>
          <w:tcPr>
            <w:tcW w:w="1278" w:type="dxa"/>
            <w:tcBorders>
              <w:tl2br w:val="nil"/>
              <w:tr2bl w:val="nil"/>
            </w:tcBorders>
            <w:vAlign w:val="center"/>
          </w:tcPr>
          <w:p>
            <w:pPr>
              <w:widowControl/>
              <w:spacing w:line="40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擅长的领域</w:t>
            </w:r>
          </w:p>
        </w:tc>
        <w:tc>
          <w:tcPr>
            <w:tcW w:w="8024" w:type="dxa"/>
            <w:gridSpan w:val="8"/>
            <w:tcBorders>
              <w:tl2br w:val="nil"/>
              <w:tr2bl w:val="nil"/>
            </w:tcBorders>
            <w:vAlign w:val="center"/>
          </w:tcPr>
          <w:p>
            <w:pPr>
              <w:widowControl/>
              <w:spacing w:line="40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口公共类口机械类口电工电子类口信息类口交通类口服务类口财经商贸类口工业综合与农业类口文化艺术与综合类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所在单位</w:t>
            </w:r>
          </w:p>
        </w:tc>
        <w:tc>
          <w:tcPr>
            <w:tcW w:w="4055" w:type="dxa"/>
            <w:gridSpan w:val="4"/>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638"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职务</w:t>
            </w:r>
          </w:p>
        </w:tc>
        <w:tc>
          <w:tcPr>
            <w:tcW w:w="2331"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工作性质</w:t>
            </w:r>
          </w:p>
        </w:tc>
        <w:tc>
          <w:tcPr>
            <w:tcW w:w="8024" w:type="dxa"/>
            <w:gridSpan w:val="8"/>
            <w:tcBorders>
              <w:tl2br w:val="nil"/>
              <w:tr2bl w:val="nil"/>
            </w:tcBorders>
            <w:vAlign w:val="center"/>
          </w:tcPr>
          <w:p>
            <w:pPr>
              <w:widowControl/>
              <w:spacing w:line="400" w:lineRule="exact"/>
              <w:rPr>
                <w:rFonts w:ascii="Times New Roman" w:hAnsi="Times New Roman" w:cs="Times New Roman"/>
                <w:color w:val="auto"/>
                <w:kern w:val="0"/>
                <w:sz w:val="24"/>
              </w:rPr>
            </w:pPr>
            <w:r>
              <w:rPr>
                <w:rFonts w:ascii="Times New Roman" w:hAnsi="Times New Roman" w:cs="Times New Roman"/>
                <w:color w:val="auto"/>
                <w:kern w:val="0"/>
                <w:sz w:val="24"/>
              </w:rPr>
              <w:t>口教学口研究口管理口其他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办公电话</w:t>
            </w:r>
          </w:p>
        </w:tc>
        <w:tc>
          <w:tcPr>
            <w:tcW w:w="874"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48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手机号码</w:t>
            </w:r>
          </w:p>
        </w:tc>
        <w:tc>
          <w:tcPr>
            <w:tcW w:w="1701"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p>
        </w:tc>
        <w:tc>
          <w:tcPr>
            <w:tcW w:w="1638" w:type="dxa"/>
            <w:gridSpan w:val="2"/>
            <w:tcBorders>
              <w:tl2br w:val="nil"/>
              <w:tr2bl w:val="nil"/>
            </w:tcBorders>
            <w:vAlign w:val="center"/>
          </w:tcPr>
          <w:p>
            <w:pPr>
              <w:widowControl/>
              <w:spacing w:line="400" w:lineRule="exact"/>
              <w:jc w:val="center"/>
              <w:rPr>
                <w:rFonts w:hint="eastAsia" w:ascii="Times New Roman" w:hAnsi="Times New Roman" w:cs="Times New Roman" w:eastAsiaTheme="minorEastAsia"/>
                <w:color w:val="auto"/>
                <w:kern w:val="0"/>
                <w:sz w:val="24"/>
                <w:lang w:val="en-US" w:eastAsia="zh-CN"/>
              </w:rPr>
            </w:pPr>
            <w:r>
              <w:rPr>
                <w:rFonts w:ascii="Times New Roman" w:hAnsi="Times New Roman" w:cs="Times New Roman"/>
                <w:color w:val="auto"/>
                <w:kern w:val="0"/>
                <w:sz w:val="24"/>
              </w:rPr>
              <w:t>电子邮</w:t>
            </w:r>
            <w:r>
              <w:rPr>
                <w:rFonts w:hint="eastAsia" w:ascii="Times New Roman" w:hAnsi="Times New Roman" w:cs="Times New Roman"/>
                <w:color w:val="auto"/>
                <w:kern w:val="0"/>
                <w:sz w:val="24"/>
                <w:lang w:eastAsia="zh-CN"/>
              </w:rPr>
              <w:t>箱</w:t>
            </w:r>
          </w:p>
        </w:tc>
        <w:tc>
          <w:tcPr>
            <w:tcW w:w="2331"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邮寄地址</w:t>
            </w:r>
          </w:p>
        </w:tc>
        <w:tc>
          <w:tcPr>
            <w:tcW w:w="4055" w:type="dxa"/>
            <w:gridSpan w:val="4"/>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c>
          <w:tcPr>
            <w:tcW w:w="1638"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邮政编码</w:t>
            </w:r>
          </w:p>
        </w:tc>
        <w:tc>
          <w:tcPr>
            <w:tcW w:w="2331" w:type="dxa"/>
            <w:gridSpan w:val="2"/>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主要工作经历 (含评审</w:t>
            </w:r>
          </w:p>
          <w:p>
            <w:pPr>
              <w:widowControl/>
              <w:spacing w:line="400" w:lineRule="exact"/>
              <w:jc w:val="center"/>
              <w:rPr>
                <w:rFonts w:ascii="Times New Roman" w:hAnsi="Times New Roman" w:cs="Times New Roman"/>
                <w:color w:val="auto"/>
                <w:kern w:val="0"/>
                <w:sz w:val="24"/>
              </w:rPr>
            </w:pPr>
            <w:r>
              <w:rPr>
                <w:rFonts w:ascii="Times New Roman" w:hAnsi="Times New Roman" w:cs="Times New Roman"/>
                <w:color w:val="auto"/>
                <w:kern w:val="0"/>
                <w:sz w:val="24"/>
              </w:rPr>
              <w:t>评估)</w:t>
            </w:r>
          </w:p>
        </w:tc>
        <w:tc>
          <w:tcPr>
            <w:tcW w:w="8024" w:type="dxa"/>
            <w:gridSpan w:val="8"/>
            <w:tcBorders>
              <w:tl2br w:val="nil"/>
              <w:tr2bl w:val="nil"/>
            </w:tcBorders>
            <w:vAlign w:val="center"/>
          </w:tcPr>
          <w:p>
            <w:pPr>
              <w:widowControl/>
              <w:spacing w:line="400" w:lineRule="exact"/>
              <w:jc w:val="center"/>
              <w:rPr>
                <w:rFonts w:ascii="Times New Roman" w:hAnsi="Times New Roman" w:cs="Times New Roman"/>
                <w:color w:val="auto"/>
                <w:kern w:val="0"/>
                <w:sz w:val="24"/>
              </w:rPr>
            </w:pPr>
          </w:p>
          <w:p>
            <w:pPr>
              <w:widowControl/>
              <w:spacing w:line="400" w:lineRule="exact"/>
              <w:jc w:val="center"/>
              <w:rPr>
                <w:rFonts w:ascii="Times New Roman" w:hAnsi="Times New Roman" w:cs="Times New Roman"/>
                <w:color w:val="auto"/>
                <w:kern w:val="0"/>
                <w:sz w:val="24"/>
              </w:rPr>
            </w:pPr>
          </w:p>
          <w:p>
            <w:pPr>
              <w:widowControl/>
              <w:spacing w:line="400" w:lineRule="exact"/>
              <w:jc w:val="center"/>
              <w:rPr>
                <w:rFonts w:ascii="Times New Roman" w:hAnsi="Times New Roman" w:cs="Times New Roman"/>
                <w:color w:val="auto"/>
                <w:kern w:val="0"/>
                <w:sz w:val="24"/>
              </w:rPr>
            </w:pPr>
          </w:p>
          <w:p>
            <w:pPr>
              <w:widowControl/>
              <w:spacing w:line="400" w:lineRule="exact"/>
              <w:jc w:val="center"/>
              <w:rPr>
                <w:rFonts w:ascii="Times New Roman" w:hAnsi="Times New Roman" w:cs="Times New Roman"/>
                <w:color w:val="auto"/>
                <w:kern w:val="0"/>
                <w:sz w:val="24"/>
              </w:rPr>
            </w:pPr>
          </w:p>
          <w:p>
            <w:pPr>
              <w:widowControl/>
              <w:spacing w:line="400" w:lineRule="exact"/>
              <w:jc w:val="center"/>
              <w:rPr>
                <w:rFonts w:ascii="Times New Roman" w:hAnsi="Times New Roman" w:cs="Times New Roman"/>
                <w:color w:val="auto"/>
                <w:kern w:val="0"/>
                <w:sz w:val="24"/>
              </w:rPr>
            </w:pPr>
          </w:p>
          <w:p>
            <w:pPr>
              <w:widowControl/>
              <w:spacing w:line="400" w:lineRule="exact"/>
              <w:jc w:val="center"/>
              <w:rPr>
                <w:rFonts w:ascii="Times New Roman" w:hAnsi="Times New Roman" w:cs="Times New Roman"/>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atLeast"/>
          <w:jc w:val="center"/>
        </w:trPr>
        <w:tc>
          <w:tcPr>
            <w:tcW w:w="1560" w:type="dxa"/>
            <w:tcBorders>
              <w:tl2br w:val="nil"/>
              <w:tr2bl w:val="nil"/>
            </w:tcBorders>
            <w:vAlign w:val="center"/>
          </w:tcPr>
          <w:p>
            <w:pPr>
              <w:widowControl/>
              <w:spacing w:line="400" w:lineRule="exact"/>
              <w:jc w:val="center"/>
              <w:rPr>
                <w:rFonts w:ascii="Times New Roman" w:hAnsi="Times New Roman" w:cs="Times New Roman"/>
                <w:color w:val="auto"/>
                <w:w w:val="90"/>
                <w:kern w:val="0"/>
                <w:sz w:val="24"/>
              </w:rPr>
            </w:pPr>
            <w:r>
              <w:rPr>
                <w:rFonts w:ascii="Times New Roman" w:hAnsi="Times New Roman" w:cs="Times New Roman"/>
                <w:color w:val="auto"/>
                <w:w w:val="90"/>
                <w:kern w:val="0"/>
                <w:sz w:val="24"/>
              </w:rPr>
              <w:t>一</w:t>
            </w:r>
            <w:r>
              <w:rPr>
                <w:rFonts w:ascii="Times New Roman" w:hAnsi="Times New Roman" w:cs="Times New Roman"/>
                <w:color w:val="auto"/>
                <w:kern w:val="0"/>
                <w:sz w:val="24"/>
              </w:rPr>
              <w:t>体化课程教学改革、世赛技术指导、研究成果和获奖情况</w:t>
            </w:r>
          </w:p>
        </w:tc>
        <w:tc>
          <w:tcPr>
            <w:tcW w:w="8024" w:type="dxa"/>
            <w:gridSpan w:val="8"/>
            <w:tcBorders>
              <w:tl2br w:val="nil"/>
              <w:tr2bl w:val="nil"/>
            </w:tcBorders>
            <w:vAlign w:val="center"/>
          </w:tcPr>
          <w:p>
            <w:pPr>
              <w:widowControl/>
              <w:spacing w:line="40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4441" w:type="dxa"/>
            <w:gridSpan w:val="4"/>
            <w:tcBorders>
              <w:tl2br w:val="nil"/>
              <w:tr2bl w:val="nil"/>
            </w:tcBorders>
          </w:tcPr>
          <w:p>
            <w:pPr>
              <w:widowControl/>
              <w:spacing w:line="400" w:lineRule="exact"/>
              <w:rPr>
                <w:rFonts w:ascii="Times New Roman" w:hAnsi="Times New Roman" w:cs="Times New Roman"/>
                <w:color w:val="auto"/>
                <w:kern w:val="0"/>
                <w:sz w:val="24"/>
              </w:rPr>
            </w:pPr>
            <w:r>
              <w:rPr>
                <w:rFonts w:ascii="Times New Roman" w:hAnsi="Times New Roman" w:cs="Times New Roman"/>
                <w:color w:val="auto"/>
                <w:kern w:val="0"/>
                <w:sz w:val="24"/>
              </w:rPr>
              <w:t>本人所在单位意见：</w:t>
            </w:r>
          </w:p>
          <w:p>
            <w:pPr>
              <w:widowControl/>
              <w:spacing w:line="400" w:lineRule="exact"/>
              <w:rPr>
                <w:rFonts w:ascii="Times New Roman" w:hAnsi="Times New Roman" w:cs="Times New Roman"/>
                <w:color w:val="auto"/>
                <w:kern w:val="0"/>
                <w:sz w:val="24"/>
              </w:rPr>
            </w:pPr>
          </w:p>
          <w:p>
            <w:pPr>
              <w:widowControl/>
              <w:spacing w:line="400" w:lineRule="exact"/>
              <w:rPr>
                <w:rFonts w:ascii="Times New Roman" w:hAnsi="Times New Roman" w:cs="Times New Roman"/>
                <w:color w:val="auto"/>
                <w:kern w:val="0"/>
                <w:sz w:val="24"/>
              </w:rPr>
            </w:pPr>
          </w:p>
          <w:p>
            <w:pPr>
              <w:widowControl/>
              <w:spacing w:line="400" w:lineRule="exact"/>
              <w:jc w:val="right"/>
              <w:rPr>
                <w:rFonts w:ascii="Times New Roman" w:hAnsi="Times New Roman" w:cs="Times New Roman"/>
                <w:color w:val="auto"/>
                <w:kern w:val="0"/>
                <w:sz w:val="24"/>
              </w:rPr>
            </w:pPr>
            <w:r>
              <w:rPr>
                <w:rFonts w:ascii="Times New Roman" w:hAnsi="Times New Roman" w:cs="Times New Roman"/>
                <w:color w:val="auto"/>
                <w:kern w:val="0"/>
                <w:sz w:val="24"/>
              </w:rPr>
              <w:t>（盖章）</w:t>
            </w:r>
          </w:p>
          <w:p>
            <w:pPr>
              <w:widowControl/>
              <w:spacing w:line="400" w:lineRule="exact"/>
              <w:jc w:val="right"/>
              <w:rPr>
                <w:rFonts w:ascii="Times New Roman" w:hAnsi="Times New Roman" w:cs="Times New Roman"/>
                <w:color w:val="auto"/>
                <w:kern w:val="0"/>
                <w:sz w:val="24"/>
              </w:rPr>
            </w:pPr>
          </w:p>
          <w:p>
            <w:pPr>
              <w:widowControl/>
              <w:spacing w:line="400" w:lineRule="exact"/>
              <w:jc w:val="right"/>
              <w:rPr>
                <w:rFonts w:ascii="Times New Roman" w:hAnsi="Times New Roman" w:cs="Times New Roman"/>
                <w:color w:val="auto"/>
                <w:w w:val="90"/>
                <w:kern w:val="0"/>
                <w:sz w:val="24"/>
              </w:rPr>
            </w:pPr>
            <w:r>
              <w:rPr>
                <w:rFonts w:ascii="Times New Roman" w:hAnsi="Times New Roman" w:cs="Times New Roman"/>
                <w:color w:val="auto"/>
                <w:kern w:val="0"/>
                <w:sz w:val="24"/>
              </w:rPr>
              <w:t xml:space="preserve">  2020年</w:t>
            </w:r>
            <w:r>
              <w:rPr>
                <w:rFonts w:hint="eastAsia" w:ascii="Times New Roman" w:hAnsi="Times New Roman" w:cs="Times New Roman"/>
                <w:color w:val="auto"/>
                <w:kern w:val="0"/>
                <w:sz w:val="24"/>
              </w:rPr>
              <w:t xml:space="preserve"> </w:t>
            </w:r>
            <w:r>
              <w:rPr>
                <w:rFonts w:ascii="Times New Roman" w:hAnsi="Times New Roman" w:cs="Times New Roman"/>
                <w:color w:val="auto"/>
                <w:kern w:val="0"/>
                <w:sz w:val="24"/>
              </w:rPr>
              <w:t>月</w:t>
            </w:r>
            <w:r>
              <w:rPr>
                <w:rFonts w:hint="eastAsia" w:ascii="Times New Roman" w:hAnsi="Times New Roman" w:cs="Times New Roman"/>
                <w:color w:val="auto"/>
                <w:kern w:val="0"/>
                <w:sz w:val="24"/>
              </w:rPr>
              <w:t xml:space="preserve"> </w:t>
            </w:r>
            <w:r>
              <w:rPr>
                <w:rFonts w:ascii="Times New Roman" w:hAnsi="Times New Roman" w:cs="Times New Roman"/>
                <w:color w:val="auto"/>
                <w:kern w:val="0"/>
                <w:sz w:val="24"/>
              </w:rPr>
              <w:t>日</w:t>
            </w:r>
          </w:p>
        </w:tc>
        <w:tc>
          <w:tcPr>
            <w:tcW w:w="5143" w:type="dxa"/>
            <w:gridSpan w:val="5"/>
            <w:tcBorders>
              <w:tl2br w:val="nil"/>
              <w:tr2bl w:val="nil"/>
            </w:tcBorders>
          </w:tcPr>
          <w:p>
            <w:pPr>
              <w:widowControl/>
              <w:spacing w:line="400" w:lineRule="exact"/>
              <w:rPr>
                <w:rFonts w:ascii="Times New Roman" w:hAnsi="Times New Roman" w:cs="Times New Roman"/>
                <w:color w:val="auto"/>
                <w:kern w:val="0"/>
                <w:sz w:val="24"/>
              </w:rPr>
            </w:pPr>
            <w:r>
              <w:rPr>
                <w:rFonts w:ascii="Times New Roman" w:hAnsi="Times New Roman" w:cs="Times New Roman"/>
                <w:color w:val="auto"/>
                <w:kern w:val="0"/>
                <w:sz w:val="24"/>
              </w:rPr>
              <w:t>省级人力资源社会保障部门意见:</w:t>
            </w:r>
          </w:p>
          <w:p>
            <w:pPr>
              <w:widowControl/>
              <w:spacing w:line="400" w:lineRule="exact"/>
              <w:rPr>
                <w:rFonts w:ascii="Times New Roman" w:hAnsi="Times New Roman" w:cs="Times New Roman"/>
                <w:color w:val="auto"/>
                <w:kern w:val="0"/>
                <w:sz w:val="24"/>
              </w:rPr>
            </w:pPr>
          </w:p>
          <w:p>
            <w:pPr>
              <w:widowControl/>
              <w:spacing w:line="400" w:lineRule="exact"/>
              <w:rPr>
                <w:rFonts w:ascii="Times New Roman" w:hAnsi="Times New Roman" w:cs="Times New Roman"/>
                <w:color w:val="auto"/>
                <w:kern w:val="0"/>
                <w:sz w:val="24"/>
              </w:rPr>
            </w:pPr>
          </w:p>
          <w:p>
            <w:pPr>
              <w:widowControl/>
              <w:spacing w:line="400" w:lineRule="exact"/>
              <w:jc w:val="right"/>
              <w:rPr>
                <w:rFonts w:ascii="Times New Roman" w:hAnsi="Times New Roman" w:cs="Times New Roman"/>
                <w:color w:val="auto"/>
                <w:kern w:val="0"/>
                <w:sz w:val="24"/>
              </w:rPr>
            </w:pPr>
            <w:r>
              <w:rPr>
                <w:rFonts w:ascii="Times New Roman" w:hAnsi="Times New Roman" w:cs="Times New Roman"/>
                <w:color w:val="auto"/>
                <w:kern w:val="0"/>
                <w:sz w:val="24"/>
              </w:rPr>
              <w:t>（盖章）</w:t>
            </w:r>
          </w:p>
          <w:p>
            <w:pPr>
              <w:widowControl/>
              <w:spacing w:line="400" w:lineRule="exact"/>
              <w:jc w:val="center"/>
              <w:rPr>
                <w:rFonts w:ascii="Times New Roman" w:hAnsi="Times New Roman" w:cs="Times New Roman"/>
                <w:color w:val="auto"/>
                <w:kern w:val="0"/>
                <w:sz w:val="24"/>
              </w:rPr>
            </w:pPr>
          </w:p>
          <w:p>
            <w:pPr>
              <w:widowControl/>
              <w:spacing w:line="400" w:lineRule="exact"/>
              <w:jc w:val="right"/>
              <w:rPr>
                <w:rFonts w:ascii="Times New Roman" w:hAnsi="Times New Roman" w:cs="Times New Roman"/>
                <w:color w:val="auto"/>
                <w:kern w:val="0"/>
                <w:sz w:val="24"/>
              </w:rPr>
            </w:pPr>
            <w:r>
              <w:rPr>
                <w:rFonts w:ascii="Times New Roman" w:hAnsi="Times New Roman" w:cs="Times New Roman"/>
                <w:color w:val="auto"/>
                <w:kern w:val="0"/>
                <w:sz w:val="24"/>
              </w:rPr>
              <w:t xml:space="preserve">  2020年</w:t>
            </w:r>
            <w:r>
              <w:rPr>
                <w:rFonts w:hint="eastAsia" w:ascii="Times New Roman" w:hAnsi="Times New Roman" w:cs="Times New Roman"/>
                <w:color w:val="auto"/>
                <w:kern w:val="0"/>
                <w:sz w:val="24"/>
              </w:rPr>
              <w:t xml:space="preserve"> </w:t>
            </w:r>
            <w:r>
              <w:rPr>
                <w:rFonts w:ascii="Times New Roman" w:hAnsi="Times New Roman" w:cs="Times New Roman"/>
                <w:color w:val="auto"/>
                <w:kern w:val="0"/>
                <w:sz w:val="24"/>
              </w:rPr>
              <w:t>月</w:t>
            </w:r>
            <w:r>
              <w:rPr>
                <w:rFonts w:hint="eastAsia" w:ascii="Times New Roman" w:hAnsi="Times New Roman" w:cs="Times New Roman"/>
                <w:color w:val="auto"/>
                <w:kern w:val="0"/>
                <w:sz w:val="24"/>
              </w:rPr>
              <w:t xml:space="preserve"> </w:t>
            </w:r>
            <w:r>
              <w:rPr>
                <w:rFonts w:ascii="Times New Roman" w:hAnsi="Times New Roman" w:cs="Times New Roman"/>
                <w:color w:val="auto"/>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584" w:type="dxa"/>
            <w:gridSpan w:val="9"/>
            <w:tcBorders>
              <w:tl2br w:val="nil"/>
              <w:tr2bl w:val="nil"/>
            </w:tcBorders>
            <w:vAlign w:val="center"/>
          </w:tcPr>
          <w:p>
            <w:pPr>
              <w:widowControl/>
              <w:spacing w:line="400" w:lineRule="exact"/>
              <w:jc w:val="left"/>
              <w:rPr>
                <w:rFonts w:ascii="Times New Roman" w:hAnsi="Times New Roman" w:cs="Times New Roman"/>
                <w:color w:val="auto"/>
                <w:kern w:val="0"/>
                <w:sz w:val="24"/>
              </w:rPr>
            </w:pPr>
            <w:r>
              <w:rPr>
                <w:rFonts w:ascii="Times New Roman" w:hAnsi="Times New Roman" w:cs="Times New Roman"/>
                <w:color w:val="auto"/>
                <w:kern w:val="0"/>
                <w:sz w:val="24"/>
              </w:rPr>
              <w:t>注：请在电子表格中填写专家库人选有关信息后打印盖章。</w:t>
            </w:r>
          </w:p>
        </w:tc>
      </w:tr>
    </w:tbl>
    <w:p>
      <w:pPr>
        <w:rPr>
          <w:rFonts w:ascii="Times New Roman" w:hAnsi="Times New Roman" w:cs="Times New Roman"/>
          <w:color w:val="auto"/>
        </w:rPr>
      </w:pPr>
    </w:p>
    <w:sectPr>
      <w:footerReference r:id="rId4" w:type="default"/>
      <w:footerReference r:id="rId5" w:type="even"/>
      <w:pgSz w:w="11906" w:h="16838"/>
      <w:pgMar w:top="1134" w:right="1474" w:bottom="1135" w:left="1588" w:header="851" w:footer="771" w:gutter="0"/>
      <w:pgNumType w:fmt="decimal"/>
      <w:cols w:space="720"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7310" cy="153035"/>
              <wp:effectExtent l="0" t="0" r="8255" b="889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8240;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Z6s1RdAA&#10;AAADAQAADwAAAAAAAAABACAAAAAiAAAAZHJzL2Rvd25yZXYueG1sUEsBAhQAFAAAAAgAh07iQL6i&#10;ixzuAQAAswMAAA4AAAAAAAAAAQAgAAAAHwEAAGRycy9lMm9Eb2MueG1sUEsFBgAAAAAGAAYAWQEA&#10;AH8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62AF91"/>
    <w:multiLevelType w:val="singleLevel"/>
    <w:tmpl w:val="C262AF9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CB"/>
    <w:rsid w:val="0000107D"/>
    <w:rsid w:val="00012B8B"/>
    <w:rsid w:val="00014465"/>
    <w:rsid w:val="00017C9E"/>
    <w:rsid w:val="000275AC"/>
    <w:rsid w:val="00027878"/>
    <w:rsid w:val="00031B2D"/>
    <w:rsid w:val="000369D5"/>
    <w:rsid w:val="00045125"/>
    <w:rsid w:val="00056C90"/>
    <w:rsid w:val="00072EDE"/>
    <w:rsid w:val="00074B70"/>
    <w:rsid w:val="000866BA"/>
    <w:rsid w:val="00090D7F"/>
    <w:rsid w:val="00096F9F"/>
    <w:rsid w:val="000A7080"/>
    <w:rsid w:val="000C1D2A"/>
    <w:rsid w:val="000D2B53"/>
    <w:rsid w:val="000D71B2"/>
    <w:rsid w:val="000F7454"/>
    <w:rsid w:val="00115CF7"/>
    <w:rsid w:val="001335B7"/>
    <w:rsid w:val="00135410"/>
    <w:rsid w:val="001434B6"/>
    <w:rsid w:val="001466F5"/>
    <w:rsid w:val="001571F3"/>
    <w:rsid w:val="001641D4"/>
    <w:rsid w:val="00164A58"/>
    <w:rsid w:val="00190553"/>
    <w:rsid w:val="00195ACE"/>
    <w:rsid w:val="001A4F6C"/>
    <w:rsid w:val="001B6055"/>
    <w:rsid w:val="001B6D9E"/>
    <w:rsid w:val="001D5D6E"/>
    <w:rsid w:val="001E052D"/>
    <w:rsid w:val="001E40FC"/>
    <w:rsid w:val="001E6EE3"/>
    <w:rsid w:val="00204437"/>
    <w:rsid w:val="002046F8"/>
    <w:rsid w:val="0020605E"/>
    <w:rsid w:val="00212221"/>
    <w:rsid w:val="00217944"/>
    <w:rsid w:val="002241CA"/>
    <w:rsid w:val="00241B7C"/>
    <w:rsid w:val="00251AFA"/>
    <w:rsid w:val="0025359B"/>
    <w:rsid w:val="00257939"/>
    <w:rsid w:val="002A2002"/>
    <w:rsid w:val="002A2AFA"/>
    <w:rsid w:val="002A7655"/>
    <w:rsid w:val="002E69F9"/>
    <w:rsid w:val="002F0082"/>
    <w:rsid w:val="002F46C5"/>
    <w:rsid w:val="00310BF4"/>
    <w:rsid w:val="00314455"/>
    <w:rsid w:val="003269F7"/>
    <w:rsid w:val="003327DC"/>
    <w:rsid w:val="00336FD1"/>
    <w:rsid w:val="00340EC7"/>
    <w:rsid w:val="00344286"/>
    <w:rsid w:val="00344B56"/>
    <w:rsid w:val="003503FF"/>
    <w:rsid w:val="0035621A"/>
    <w:rsid w:val="00377F6F"/>
    <w:rsid w:val="003963F8"/>
    <w:rsid w:val="003A05A9"/>
    <w:rsid w:val="003A3504"/>
    <w:rsid w:val="003A7317"/>
    <w:rsid w:val="003B19D3"/>
    <w:rsid w:val="003B2EB5"/>
    <w:rsid w:val="003B5ECD"/>
    <w:rsid w:val="003B72A5"/>
    <w:rsid w:val="003C0E1E"/>
    <w:rsid w:val="003C27CE"/>
    <w:rsid w:val="003D1C9F"/>
    <w:rsid w:val="003E246F"/>
    <w:rsid w:val="003E7D83"/>
    <w:rsid w:val="003F0CB2"/>
    <w:rsid w:val="00406E6D"/>
    <w:rsid w:val="00424A74"/>
    <w:rsid w:val="0042542A"/>
    <w:rsid w:val="004305CF"/>
    <w:rsid w:val="004364DC"/>
    <w:rsid w:val="00440CEF"/>
    <w:rsid w:val="00443555"/>
    <w:rsid w:val="0044409E"/>
    <w:rsid w:val="0044425E"/>
    <w:rsid w:val="00444A62"/>
    <w:rsid w:val="0045182D"/>
    <w:rsid w:val="00460CCC"/>
    <w:rsid w:val="004645C2"/>
    <w:rsid w:val="00475409"/>
    <w:rsid w:val="0048462B"/>
    <w:rsid w:val="00487EEC"/>
    <w:rsid w:val="00490F81"/>
    <w:rsid w:val="00494E0C"/>
    <w:rsid w:val="004965E8"/>
    <w:rsid w:val="00496CC1"/>
    <w:rsid w:val="004A5A82"/>
    <w:rsid w:val="004B25B2"/>
    <w:rsid w:val="004B452E"/>
    <w:rsid w:val="004B5BB7"/>
    <w:rsid w:val="004D38D6"/>
    <w:rsid w:val="004E1114"/>
    <w:rsid w:val="004E32F4"/>
    <w:rsid w:val="004E4059"/>
    <w:rsid w:val="004E4E7B"/>
    <w:rsid w:val="004E7033"/>
    <w:rsid w:val="004F12B8"/>
    <w:rsid w:val="0050019D"/>
    <w:rsid w:val="00502799"/>
    <w:rsid w:val="005040BA"/>
    <w:rsid w:val="00511576"/>
    <w:rsid w:val="005220CE"/>
    <w:rsid w:val="005224A8"/>
    <w:rsid w:val="00534FB2"/>
    <w:rsid w:val="00544B5B"/>
    <w:rsid w:val="005662B8"/>
    <w:rsid w:val="00575481"/>
    <w:rsid w:val="00585CC2"/>
    <w:rsid w:val="005B35D8"/>
    <w:rsid w:val="005C15CE"/>
    <w:rsid w:val="005D27B2"/>
    <w:rsid w:val="005D5E05"/>
    <w:rsid w:val="00600965"/>
    <w:rsid w:val="006131F6"/>
    <w:rsid w:val="00620665"/>
    <w:rsid w:val="006310E1"/>
    <w:rsid w:val="006353FF"/>
    <w:rsid w:val="00637632"/>
    <w:rsid w:val="00644D39"/>
    <w:rsid w:val="00645A31"/>
    <w:rsid w:val="006556AC"/>
    <w:rsid w:val="00661EC7"/>
    <w:rsid w:val="00662464"/>
    <w:rsid w:val="00694EA0"/>
    <w:rsid w:val="006978D0"/>
    <w:rsid w:val="006A0C09"/>
    <w:rsid w:val="006C168B"/>
    <w:rsid w:val="006C7FEC"/>
    <w:rsid w:val="0070487F"/>
    <w:rsid w:val="00715B8E"/>
    <w:rsid w:val="0071784A"/>
    <w:rsid w:val="00731B24"/>
    <w:rsid w:val="007418C1"/>
    <w:rsid w:val="00750440"/>
    <w:rsid w:val="00783D04"/>
    <w:rsid w:val="007B18A0"/>
    <w:rsid w:val="007B25D8"/>
    <w:rsid w:val="007B4B78"/>
    <w:rsid w:val="007B763E"/>
    <w:rsid w:val="007E1042"/>
    <w:rsid w:val="007E250B"/>
    <w:rsid w:val="007E5CD4"/>
    <w:rsid w:val="007F2FEF"/>
    <w:rsid w:val="007F3521"/>
    <w:rsid w:val="00813AC9"/>
    <w:rsid w:val="008303A3"/>
    <w:rsid w:val="0083268D"/>
    <w:rsid w:val="008359BD"/>
    <w:rsid w:val="00873F9F"/>
    <w:rsid w:val="008776B6"/>
    <w:rsid w:val="008845D4"/>
    <w:rsid w:val="00885426"/>
    <w:rsid w:val="00891B38"/>
    <w:rsid w:val="008B03F5"/>
    <w:rsid w:val="008B29CE"/>
    <w:rsid w:val="008B5070"/>
    <w:rsid w:val="008F041A"/>
    <w:rsid w:val="00921888"/>
    <w:rsid w:val="009428A4"/>
    <w:rsid w:val="009437B7"/>
    <w:rsid w:val="00943DA9"/>
    <w:rsid w:val="009546EB"/>
    <w:rsid w:val="00955AF4"/>
    <w:rsid w:val="0095619E"/>
    <w:rsid w:val="0095650F"/>
    <w:rsid w:val="0095701C"/>
    <w:rsid w:val="00982D6D"/>
    <w:rsid w:val="0099206A"/>
    <w:rsid w:val="0099654B"/>
    <w:rsid w:val="009B0C5C"/>
    <w:rsid w:val="009C08C2"/>
    <w:rsid w:val="009C2213"/>
    <w:rsid w:val="009C58B8"/>
    <w:rsid w:val="009E570F"/>
    <w:rsid w:val="009F558D"/>
    <w:rsid w:val="00A06174"/>
    <w:rsid w:val="00A11D60"/>
    <w:rsid w:val="00A12193"/>
    <w:rsid w:val="00A20993"/>
    <w:rsid w:val="00A34364"/>
    <w:rsid w:val="00A50C96"/>
    <w:rsid w:val="00A52580"/>
    <w:rsid w:val="00A61A05"/>
    <w:rsid w:val="00A766B0"/>
    <w:rsid w:val="00A91BAB"/>
    <w:rsid w:val="00AA03B9"/>
    <w:rsid w:val="00AA1BD0"/>
    <w:rsid w:val="00AB2CDF"/>
    <w:rsid w:val="00AB5656"/>
    <w:rsid w:val="00AC39FA"/>
    <w:rsid w:val="00AE1FB5"/>
    <w:rsid w:val="00B01B5D"/>
    <w:rsid w:val="00B176D9"/>
    <w:rsid w:val="00B30584"/>
    <w:rsid w:val="00B42CCB"/>
    <w:rsid w:val="00B454F3"/>
    <w:rsid w:val="00B708DD"/>
    <w:rsid w:val="00B73400"/>
    <w:rsid w:val="00B73560"/>
    <w:rsid w:val="00B8339A"/>
    <w:rsid w:val="00B83AE4"/>
    <w:rsid w:val="00B87A2A"/>
    <w:rsid w:val="00B91951"/>
    <w:rsid w:val="00BB0AA9"/>
    <w:rsid w:val="00BC776D"/>
    <w:rsid w:val="00BD2BCB"/>
    <w:rsid w:val="00BD4925"/>
    <w:rsid w:val="00BD4ABC"/>
    <w:rsid w:val="00BE3C68"/>
    <w:rsid w:val="00BF317F"/>
    <w:rsid w:val="00C2226E"/>
    <w:rsid w:val="00C3111E"/>
    <w:rsid w:val="00C42DCE"/>
    <w:rsid w:val="00C45B8F"/>
    <w:rsid w:val="00C4700B"/>
    <w:rsid w:val="00C515B7"/>
    <w:rsid w:val="00C54AAF"/>
    <w:rsid w:val="00C62221"/>
    <w:rsid w:val="00C77FCA"/>
    <w:rsid w:val="00C802E6"/>
    <w:rsid w:val="00C868B1"/>
    <w:rsid w:val="00CA5351"/>
    <w:rsid w:val="00CA5CBE"/>
    <w:rsid w:val="00CB05DF"/>
    <w:rsid w:val="00CB3CBB"/>
    <w:rsid w:val="00CC7E13"/>
    <w:rsid w:val="00CE2585"/>
    <w:rsid w:val="00CF1E4B"/>
    <w:rsid w:val="00D117DE"/>
    <w:rsid w:val="00D16E06"/>
    <w:rsid w:val="00D20C70"/>
    <w:rsid w:val="00D24547"/>
    <w:rsid w:val="00D32001"/>
    <w:rsid w:val="00D32E9B"/>
    <w:rsid w:val="00D32E9F"/>
    <w:rsid w:val="00D4365D"/>
    <w:rsid w:val="00D47B85"/>
    <w:rsid w:val="00D51FD1"/>
    <w:rsid w:val="00D678D5"/>
    <w:rsid w:val="00D72F9C"/>
    <w:rsid w:val="00D744F4"/>
    <w:rsid w:val="00D773B5"/>
    <w:rsid w:val="00D8079A"/>
    <w:rsid w:val="00D9022B"/>
    <w:rsid w:val="00D94095"/>
    <w:rsid w:val="00DA5AA1"/>
    <w:rsid w:val="00DC1091"/>
    <w:rsid w:val="00DD4E8A"/>
    <w:rsid w:val="00DE03B6"/>
    <w:rsid w:val="00DE3F78"/>
    <w:rsid w:val="00DF32CF"/>
    <w:rsid w:val="00DF5C85"/>
    <w:rsid w:val="00E01213"/>
    <w:rsid w:val="00E2541F"/>
    <w:rsid w:val="00E25A08"/>
    <w:rsid w:val="00E3291B"/>
    <w:rsid w:val="00E35BF0"/>
    <w:rsid w:val="00E435AE"/>
    <w:rsid w:val="00E62E11"/>
    <w:rsid w:val="00E70300"/>
    <w:rsid w:val="00E7126C"/>
    <w:rsid w:val="00EA2000"/>
    <w:rsid w:val="00EA24BD"/>
    <w:rsid w:val="00EF00D6"/>
    <w:rsid w:val="00EF51A6"/>
    <w:rsid w:val="00EF5F14"/>
    <w:rsid w:val="00EF6CCD"/>
    <w:rsid w:val="00F15897"/>
    <w:rsid w:val="00F428B3"/>
    <w:rsid w:val="00F50848"/>
    <w:rsid w:val="00F53C71"/>
    <w:rsid w:val="00F554AD"/>
    <w:rsid w:val="00F55535"/>
    <w:rsid w:val="00F5642F"/>
    <w:rsid w:val="00F64FAA"/>
    <w:rsid w:val="00F66C26"/>
    <w:rsid w:val="00F770CD"/>
    <w:rsid w:val="00F9040C"/>
    <w:rsid w:val="00F94F9A"/>
    <w:rsid w:val="00FA0A1D"/>
    <w:rsid w:val="00FB0936"/>
    <w:rsid w:val="00FC2E4A"/>
    <w:rsid w:val="00FD08C8"/>
    <w:rsid w:val="00FE060A"/>
    <w:rsid w:val="00FF370E"/>
    <w:rsid w:val="056E7667"/>
    <w:rsid w:val="0CFC7DDB"/>
    <w:rsid w:val="10815403"/>
    <w:rsid w:val="12E019A8"/>
    <w:rsid w:val="134E2207"/>
    <w:rsid w:val="16830103"/>
    <w:rsid w:val="18E82FE0"/>
    <w:rsid w:val="1B723B84"/>
    <w:rsid w:val="1F9C4ABF"/>
    <w:rsid w:val="20B23C1D"/>
    <w:rsid w:val="398F378F"/>
    <w:rsid w:val="39C02CC3"/>
    <w:rsid w:val="3AD076F5"/>
    <w:rsid w:val="3B000359"/>
    <w:rsid w:val="3ED468F6"/>
    <w:rsid w:val="3F1D5D39"/>
    <w:rsid w:val="40633EF5"/>
    <w:rsid w:val="45005D79"/>
    <w:rsid w:val="467E21F7"/>
    <w:rsid w:val="4C2F0D21"/>
    <w:rsid w:val="51904756"/>
    <w:rsid w:val="54AA4731"/>
    <w:rsid w:val="5C1479C6"/>
    <w:rsid w:val="5DBB2B8A"/>
    <w:rsid w:val="60DB69F0"/>
    <w:rsid w:val="61D51356"/>
    <w:rsid w:val="65011A48"/>
    <w:rsid w:val="67010F77"/>
    <w:rsid w:val="6B9A4729"/>
    <w:rsid w:val="6BB634FA"/>
    <w:rsid w:val="6C4D3279"/>
    <w:rsid w:val="6F7E69D9"/>
    <w:rsid w:val="7085290C"/>
    <w:rsid w:val="73C27132"/>
    <w:rsid w:val="77D73FA4"/>
    <w:rsid w:val="79547C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Date"/>
    <w:basedOn w:val="1"/>
    <w:next w:val="1"/>
    <w:link w:val="15"/>
    <w:semiHidden/>
    <w:unhideWhenUsed/>
    <w:qFormat/>
    <w:uiPriority w:val="99"/>
    <w:pPr>
      <w:ind w:left="100" w:leftChars="2500"/>
    </w:pPr>
    <w:rPr>
      <w:rFonts w:ascii="Calibri" w:hAnsi="Calibri" w:eastAsia="宋体" w:cs="黑体"/>
      <w:szCs w:val="24"/>
    </w:rPr>
  </w:style>
  <w:style w:type="paragraph" w:styleId="4">
    <w:name w:val="Balloon Text"/>
    <w:basedOn w:val="1"/>
    <w:link w:val="16"/>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8789"/>
      </w:tabs>
      <w:jc w:val="left"/>
    </w:pPr>
    <w:rPr>
      <w:rFonts w:ascii="宋体" w:hAnsi="宋体" w:eastAsia="宋体" w:cs="Times New Roman"/>
      <w:b/>
      <w:szCs w:val="21"/>
    </w:rPr>
  </w:style>
  <w:style w:type="paragraph" w:styleId="8">
    <w:name w:val="annotation subject"/>
    <w:basedOn w:val="2"/>
    <w:next w:val="2"/>
    <w:link w:val="14"/>
    <w:semiHidden/>
    <w:unhideWhenUsed/>
    <w:qFormat/>
    <w:uiPriority w:val="99"/>
    <w:rPr>
      <w:rFonts w:ascii="Calibri" w:hAnsi="Calibri" w:eastAsia="宋体" w:cs="黑体"/>
      <w:b/>
      <w:bCs/>
      <w:szCs w:val="24"/>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styleId="12">
    <w:name w:val="annotation reference"/>
    <w:basedOn w:val="10"/>
    <w:semiHidden/>
    <w:unhideWhenUsed/>
    <w:qFormat/>
    <w:uiPriority w:val="99"/>
    <w:rPr>
      <w:sz w:val="21"/>
      <w:szCs w:val="21"/>
    </w:rPr>
  </w:style>
  <w:style w:type="character" w:customStyle="1" w:styleId="13">
    <w:name w:val="批注文字 Char"/>
    <w:basedOn w:val="10"/>
    <w:link w:val="2"/>
    <w:semiHidden/>
    <w:qFormat/>
    <w:uiPriority w:val="99"/>
  </w:style>
  <w:style w:type="character" w:customStyle="1" w:styleId="14">
    <w:name w:val="批注主题 Char"/>
    <w:basedOn w:val="13"/>
    <w:link w:val="8"/>
    <w:semiHidden/>
    <w:qFormat/>
    <w:uiPriority w:val="99"/>
    <w:rPr>
      <w:rFonts w:ascii="Calibri" w:hAnsi="Calibri" w:eastAsia="宋体" w:cs="黑体"/>
      <w:b/>
      <w:bCs/>
      <w:szCs w:val="24"/>
    </w:rPr>
  </w:style>
  <w:style w:type="character" w:customStyle="1" w:styleId="15">
    <w:name w:val="日期 Char"/>
    <w:basedOn w:val="10"/>
    <w:link w:val="3"/>
    <w:semiHidden/>
    <w:qFormat/>
    <w:uiPriority w:val="99"/>
    <w:rPr>
      <w:rFonts w:ascii="Calibri" w:hAnsi="Calibri" w:eastAsia="宋体" w:cs="黑体"/>
      <w:szCs w:val="24"/>
    </w:rPr>
  </w:style>
  <w:style w:type="character" w:customStyle="1" w:styleId="16">
    <w:name w:val="批注框文本 Char"/>
    <w:basedOn w:val="10"/>
    <w:link w:val="4"/>
    <w:semiHidden/>
    <w:qFormat/>
    <w:uiPriority w:val="99"/>
    <w:rPr>
      <w:sz w:val="18"/>
      <w:szCs w:val="18"/>
    </w:rPr>
  </w:style>
  <w:style w:type="character" w:customStyle="1" w:styleId="17">
    <w:name w:val="页脚 Char"/>
    <w:basedOn w:val="10"/>
    <w:link w:val="5"/>
    <w:qFormat/>
    <w:uiPriority w:val="99"/>
    <w:rPr>
      <w:sz w:val="18"/>
      <w:szCs w:val="18"/>
    </w:rPr>
  </w:style>
  <w:style w:type="character" w:customStyle="1" w:styleId="18">
    <w:name w:val="页眉 Char"/>
    <w:basedOn w:val="10"/>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5ECE73-8D08-4206-A02B-54FC79EA189B}">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18</Pages>
  <Words>1609</Words>
  <Characters>9177</Characters>
  <Lines>76</Lines>
  <Paragraphs>21</Paragraphs>
  <TotalTime>18</TotalTime>
  <ScaleCrop>false</ScaleCrop>
  <LinksUpToDate>false</LinksUpToDate>
  <CharactersWithSpaces>10765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2020-06-11T02:43:00Z</dcterms:created>
  <dc:creator>LIN Lilian</dc:creator>
  <cp:lastModifiedBy>胤凯</cp:lastModifiedBy>
  <cp:lastPrinted>2020-06-29T08:58:00Z</cp:lastPrinted>
  <dcterms:modified xsi:type="dcterms:W3CDTF">2020-07-03T07:37:34Z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