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8D" w:rsidRDefault="000E22A8">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河北省</w:t>
      </w:r>
      <w:r>
        <w:rPr>
          <w:rFonts w:ascii="Times New Roman" w:eastAsia="方正小标宋_GBK" w:hAnsi="Times New Roman" w:cs="Times New Roman" w:hint="eastAsia"/>
          <w:sz w:val="44"/>
          <w:szCs w:val="44"/>
        </w:rPr>
        <w:t>作家</w:t>
      </w:r>
      <w:r>
        <w:rPr>
          <w:rFonts w:ascii="Times New Roman" w:eastAsia="方正小标宋_GBK" w:hAnsi="Times New Roman" w:cs="Times New Roman"/>
          <w:sz w:val="44"/>
          <w:szCs w:val="44"/>
        </w:rPr>
        <w:t>协会</w:t>
      </w:r>
      <w:r>
        <w:rPr>
          <w:rFonts w:ascii="Times New Roman" w:eastAsia="方正小标宋_GBK" w:hAnsi="Times New Roman" w:cs="Times New Roman"/>
          <w:sz w:val="44"/>
          <w:szCs w:val="44"/>
        </w:rPr>
        <w:t>20</w:t>
      </w:r>
      <w:r>
        <w:rPr>
          <w:rFonts w:ascii="Times New Roman" w:eastAsia="方正小标宋_GBK" w:hAnsi="Times New Roman" w:cs="Times New Roman" w:hint="eastAsia"/>
          <w:sz w:val="44"/>
          <w:szCs w:val="44"/>
        </w:rPr>
        <w:t>20</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DD738D" w:rsidRDefault="000E22A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《地方预决算公开操作规程》和《河北省省级预算公开办法》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，现将河北省</w:t>
      </w:r>
      <w:r>
        <w:rPr>
          <w:rFonts w:ascii="Times New Roman" w:eastAsia="方正仿宋_GBK" w:hAnsi="Times New Roman" w:cs="Times New Roman" w:hint="eastAsia"/>
          <w:sz w:val="32"/>
          <w:szCs w:val="32"/>
        </w:rPr>
        <w:t>财政</w:t>
      </w:r>
      <w:r>
        <w:rPr>
          <w:rFonts w:ascii="Times New Roman" w:eastAsia="方正仿宋_GBK" w:hAnsi="Times New Roman" w:cs="Times New Roman"/>
          <w:sz w:val="32"/>
          <w:szCs w:val="32"/>
        </w:rPr>
        <w:t>厅</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年部门预算公开如下：</w:t>
      </w:r>
    </w:p>
    <w:p w:rsidR="00DD738D" w:rsidRDefault="000E22A8">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D738D" w:rsidRDefault="000E22A8" w:rsidP="00765349">
      <w:pPr>
        <w:ind w:firstLineChars="200" w:firstLine="643"/>
        <w:rPr>
          <w:rFonts w:ascii="Times New Roman" w:eastAsia="方正仿宋_GBK" w:hAnsi="Times New Roman" w:cs="Times New Roman"/>
          <w:b/>
          <w:sz w:val="32"/>
          <w:szCs w:val="32"/>
          <w:highlight w:val="yellow"/>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DD738D" w:rsidRPr="00C54306" w:rsidRDefault="00A3211D" w:rsidP="00C54306">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以邓小平理论和党的基本路线为指导，坚持文艺为人民服务、为社会主义服务的方向，贯彻“百花齐放”、“百家争鸣”的方针，为加强社会主义精神文明建设服务。</w:t>
      </w:r>
    </w:p>
    <w:p w:rsidR="00DD738D" w:rsidRPr="00C54306" w:rsidRDefault="00A3211D" w:rsidP="00C54306">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组织学习邓小平理论和党的方针政策，培养造就一支紧跟时代步伐、热爱祖国、热爱人民、艺术水平精湛的文学队伍。</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组织本省作家和业余作者深入生活进行创作，弘扬主旋律，提倡多样化，繁荣具有中国特色和本省特点的社会主义文学。</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组织专业和业余文学理论工作者进行学术研究、作品评论与学术交流，坚持正确导向，发扬文艺民主，推动我省文学创作和文学评论的健康发展。</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编辑出版文学报刊，建设河北文学园地。</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与有关部门共同组织全省性文学评奖、本省作家参加全国性文学评奖活动，表彰奖励优秀文学成果活动。</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组织同兄弟省、区、市间的文学交流活动，密切同世界各地文学界的友好往来。</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依据宪法和法律，反映作家的意见和要求，依法维护作家的合法权益。</w:t>
      </w:r>
    </w:p>
    <w:p w:rsidR="00DD738D" w:rsidRPr="00C54306" w:rsidRDefault="00A3211D">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w:t>
      </w:r>
      <w:r>
        <w:rPr>
          <w:rFonts w:ascii="Times New Roman" w:eastAsia="方正仿宋_GBK" w:hAnsi="Times New Roman" w:cs="Times New Roman"/>
          <w:sz w:val="32"/>
          <w:szCs w:val="32"/>
        </w:rPr>
        <w:t>）</w:t>
      </w:r>
      <w:r w:rsidR="000E22A8" w:rsidRPr="00C54306">
        <w:rPr>
          <w:rFonts w:ascii="Times New Roman" w:eastAsia="方正仿宋_GBK" w:hAnsi="Times New Roman" w:cs="Times New Roman" w:hint="eastAsia"/>
          <w:sz w:val="32"/>
          <w:szCs w:val="32"/>
        </w:rPr>
        <w:t>承担省委、省政府及中国作协交办的有关事项。</w:t>
      </w:r>
    </w:p>
    <w:p w:rsidR="00DD738D" w:rsidRDefault="000E22A8" w:rsidP="00765349">
      <w:pPr>
        <w:autoSpaceDE w:val="0"/>
        <w:autoSpaceDN w:val="0"/>
        <w:adjustRightInd w:val="0"/>
        <w:ind w:firstLineChars="200" w:firstLine="643"/>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lastRenderedPageBreak/>
        <w:t>机构设置：</w:t>
      </w:r>
      <w:r>
        <w:rPr>
          <w:rFonts w:ascii="方正仿宋_GBK" w:eastAsia="方正仿宋_GBK" w:hAnsi="Times New Roman" w:cs="Times New Roman"/>
          <w:b/>
          <w:sz w:val="32"/>
          <w:szCs w:val="32"/>
        </w:rPr>
        <w:t xml:space="preserve"> </w:t>
      </w:r>
    </w:p>
    <w:p w:rsidR="00DD738D" w:rsidRDefault="000E22A8">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DD738D">
        <w:trPr>
          <w:trHeight w:val="300"/>
          <w:tblHeader/>
          <w:jc w:val="center"/>
        </w:trPr>
        <w:tc>
          <w:tcPr>
            <w:tcW w:w="4359"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经费保障形式</w:t>
            </w:r>
          </w:p>
        </w:tc>
      </w:tr>
      <w:tr w:rsidR="00DD738D">
        <w:trPr>
          <w:trHeight w:val="300"/>
          <w:tblHeader/>
          <w:jc w:val="center"/>
        </w:trPr>
        <w:tc>
          <w:tcPr>
            <w:tcW w:w="4359" w:type="dxa"/>
            <w:vMerge/>
            <w:shd w:val="clear" w:color="auto" w:fill="auto"/>
            <w:vAlign w:val="center"/>
          </w:tcPr>
          <w:p w:rsidR="00DD738D" w:rsidRDefault="00DD738D">
            <w:pPr>
              <w:spacing w:line="300" w:lineRule="exact"/>
              <w:jc w:val="left"/>
              <w:outlineLvl w:val="0"/>
            </w:pPr>
          </w:p>
        </w:tc>
        <w:tc>
          <w:tcPr>
            <w:tcW w:w="1134" w:type="dxa"/>
            <w:vMerge/>
            <w:shd w:val="clear" w:color="auto" w:fill="auto"/>
            <w:vAlign w:val="center"/>
          </w:tcPr>
          <w:p w:rsidR="00DD738D" w:rsidRDefault="00DD738D">
            <w:pPr>
              <w:spacing w:line="300" w:lineRule="exact"/>
              <w:jc w:val="left"/>
              <w:outlineLvl w:val="0"/>
            </w:pPr>
          </w:p>
        </w:tc>
        <w:tc>
          <w:tcPr>
            <w:tcW w:w="1276" w:type="dxa"/>
            <w:vMerge/>
            <w:shd w:val="clear" w:color="auto" w:fill="auto"/>
            <w:vAlign w:val="center"/>
          </w:tcPr>
          <w:p w:rsidR="00DD738D" w:rsidRDefault="00DD738D">
            <w:pPr>
              <w:spacing w:line="300" w:lineRule="exact"/>
              <w:jc w:val="left"/>
              <w:outlineLvl w:val="0"/>
            </w:pPr>
          </w:p>
        </w:tc>
        <w:tc>
          <w:tcPr>
            <w:tcW w:w="3013" w:type="dxa"/>
            <w:vMerge/>
            <w:shd w:val="clear" w:color="auto" w:fill="auto"/>
            <w:vAlign w:val="center"/>
          </w:tcPr>
          <w:p w:rsidR="00DD738D" w:rsidRDefault="00DD738D">
            <w:pPr>
              <w:spacing w:line="300" w:lineRule="exact"/>
              <w:jc w:val="left"/>
              <w:outlineLvl w:val="0"/>
            </w:pPr>
          </w:p>
        </w:tc>
      </w:tr>
      <w:tr w:rsidR="00DD738D">
        <w:trPr>
          <w:trHeight w:val="227"/>
          <w:jc w:val="center"/>
        </w:trPr>
        <w:tc>
          <w:tcPr>
            <w:tcW w:w="4359"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河北</w:t>
            </w:r>
            <w:r>
              <w:rPr>
                <w:rFonts w:ascii="方正书宋_GBK" w:eastAsia="方正书宋_GBK"/>
              </w:rPr>
              <w:t>省作家协会（</w:t>
            </w:r>
            <w:r>
              <w:rPr>
                <w:rFonts w:ascii="方正书宋_GBK" w:eastAsia="方正书宋_GBK" w:hint="eastAsia"/>
              </w:rPr>
              <w:t>机关</w:t>
            </w:r>
            <w:r>
              <w:rPr>
                <w:rFonts w:ascii="方正书宋_GBK" w:eastAsia="方正书宋_GBK"/>
              </w:rPr>
              <w:t>）</w:t>
            </w:r>
          </w:p>
        </w:tc>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行政</w:t>
            </w:r>
          </w:p>
        </w:tc>
        <w:tc>
          <w:tcPr>
            <w:tcW w:w="1276"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正</w:t>
            </w:r>
            <w:r>
              <w:rPr>
                <w:rFonts w:ascii="方正书宋_GBK" w:eastAsia="方正书宋_GBK"/>
              </w:rPr>
              <w:t>厅局级</w:t>
            </w:r>
          </w:p>
        </w:tc>
        <w:tc>
          <w:tcPr>
            <w:tcW w:w="3013"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财政</w:t>
            </w:r>
            <w:r>
              <w:rPr>
                <w:rFonts w:ascii="方正书宋_GBK" w:eastAsia="方正书宋_GBK"/>
              </w:rPr>
              <w:t>性资金基本保证</w:t>
            </w:r>
          </w:p>
        </w:tc>
      </w:tr>
      <w:tr w:rsidR="00DD738D">
        <w:trPr>
          <w:trHeight w:val="227"/>
          <w:jc w:val="center"/>
        </w:trPr>
        <w:tc>
          <w:tcPr>
            <w:tcW w:w="4359"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河北</w:t>
            </w:r>
            <w:r>
              <w:rPr>
                <w:rFonts w:ascii="方正书宋_GBK" w:eastAsia="方正书宋_GBK"/>
              </w:rPr>
              <w:t>省作家协会（</w:t>
            </w:r>
            <w:r>
              <w:rPr>
                <w:rFonts w:ascii="方正书宋_GBK" w:eastAsia="方正书宋_GBK" w:hint="eastAsia"/>
              </w:rPr>
              <w:t>事业</w:t>
            </w:r>
            <w:r>
              <w:rPr>
                <w:rFonts w:ascii="方正书宋_GBK" w:eastAsia="方正书宋_GBK"/>
              </w:rPr>
              <w:t>）</w:t>
            </w:r>
          </w:p>
        </w:tc>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事业</w:t>
            </w:r>
          </w:p>
        </w:tc>
        <w:tc>
          <w:tcPr>
            <w:tcW w:w="1276"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正</w:t>
            </w:r>
            <w:r>
              <w:rPr>
                <w:rFonts w:ascii="方正书宋_GBK" w:eastAsia="方正书宋_GBK"/>
              </w:rPr>
              <w:t>处级</w:t>
            </w:r>
          </w:p>
        </w:tc>
        <w:tc>
          <w:tcPr>
            <w:tcW w:w="3013"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财政</w:t>
            </w:r>
            <w:r>
              <w:rPr>
                <w:rFonts w:ascii="方正书宋_GBK" w:eastAsia="方正书宋_GBK"/>
              </w:rPr>
              <w:t>性资金基本保证</w:t>
            </w:r>
          </w:p>
        </w:tc>
      </w:tr>
      <w:tr w:rsidR="00DD738D">
        <w:trPr>
          <w:trHeight w:val="227"/>
          <w:jc w:val="center"/>
        </w:trPr>
        <w:tc>
          <w:tcPr>
            <w:tcW w:w="4359"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人</w:t>
            </w:r>
            <w:r>
              <w:rPr>
                <w:rFonts w:ascii="方正书宋_GBK" w:eastAsia="方正书宋_GBK"/>
              </w:rPr>
              <w:t>物周报社</w:t>
            </w:r>
          </w:p>
        </w:tc>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事业</w:t>
            </w:r>
          </w:p>
        </w:tc>
        <w:tc>
          <w:tcPr>
            <w:tcW w:w="1276"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正处</w:t>
            </w:r>
            <w:r>
              <w:rPr>
                <w:rFonts w:ascii="方正书宋_GBK" w:eastAsia="方正书宋_GBK"/>
              </w:rPr>
              <w:t>级</w:t>
            </w:r>
          </w:p>
        </w:tc>
        <w:tc>
          <w:tcPr>
            <w:tcW w:w="3013"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财政</w:t>
            </w:r>
            <w:r>
              <w:rPr>
                <w:rFonts w:ascii="方正书宋_GBK" w:eastAsia="方正书宋_GBK"/>
              </w:rPr>
              <w:t>性资金定额或定</w:t>
            </w:r>
            <w:r>
              <w:rPr>
                <w:rFonts w:ascii="方正书宋_GBK" w:eastAsia="方正书宋_GBK" w:hint="eastAsia"/>
              </w:rPr>
              <w:t>项</w:t>
            </w:r>
            <w:r>
              <w:rPr>
                <w:rFonts w:ascii="方正书宋_GBK" w:eastAsia="方正书宋_GBK"/>
              </w:rPr>
              <w:t>补助</w:t>
            </w:r>
          </w:p>
        </w:tc>
      </w:tr>
    </w:tbl>
    <w:p w:rsidR="00DD738D" w:rsidRDefault="000E22A8">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DD738D" w:rsidRDefault="000E22A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按照预算管理有关规定，目前我省部门预算的编制实行综合预算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预算中。河北省</w:t>
      </w:r>
      <w:r>
        <w:rPr>
          <w:rFonts w:ascii="Times New Roman" w:eastAsia="方正仿宋_GBK" w:hAnsi="Times New Roman" w:cs="Times New Roman" w:hint="eastAsia"/>
          <w:sz w:val="32"/>
          <w:szCs w:val="32"/>
        </w:rPr>
        <w:t>作家协会</w:t>
      </w:r>
      <w:r>
        <w:rPr>
          <w:rFonts w:ascii="Times New Roman" w:eastAsia="方正仿宋_GBK" w:hAnsi="Times New Roman" w:cs="Times New Roman"/>
          <w:sz w:val="32"/>
          <w:szCs w:val="32"/>
        </w:rPr>
        <w:t>机关及所属事业单位的收支包含在部门预算中。</w:t>
      </w:r>
    </w:p>
    <w:p w:rsidR="00DD738D" w:rsidRDefault="000E22A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DD738D" w:rsidRDefault="000E22A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反映本部门当年全部收入。</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526.94</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497.45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9.49</w:t>
      </w:r>
      <w:r>
        <w:rPr>
          <w:rFonts w:ascii="Times New Roman" w:eastAsia="方正仿宋_GBK" w:hAnsi="Times New Roman" w:cs="Times New Roman" w:hint="eastAsia"/>
          <w:sz w:val="32"/>
          <w:szCs w:val="32"/>
        </w:rPr>
        <w:t>万元。</w:t>
      </w:r>
    </w:p>
    <w:p w:rsidR="00DD738D" w:rsidRDefault="000E22A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DD738D" w:rsidRDefault="000E22A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收支预算总表支出栏、基本支出表、项目支出表按经济分类和支出功能分类科目编制，反映河北省</w:t>
      </w:r>
      <w:r>
        <w:rPr>
          <w:rFonts w:ascii="Times New Roman" w:eastAsia="方正仿宋_GBK" w:hAnsi="Times New Roman" w:cs="Times New Roman" w:hint="eastAsia"/>
          <w:sz w:val="32"/>
          <w:szCs w:val="32"/>
        </w:rPr>
        <w:t>作家协会</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526.94</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636.48</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356.28</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80.20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90.46</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重点创作</w:t>
      </w:r>
      <w:r>
        <w:rPr>
          <w:rFonts w:ascii="Times New Roman" w:eastAsia="方正仿宋_GBK" w:hAnsi="Times New Roman" w:cs="Times New Roman"/>
          <w:sz w:val="32"/>
          <w:szCs w:val="32"/>
        </w:rPr>
        <w:t>选题</w:t>
      </w:r>
      <w:r>
        <w:rPr>
          <w:rFonts w:ascii="Times New Roman" w:eastAsia="方正仿宋_GBK" w:hAnsi="Times New Roman" w:cs="Times New Roman" w:hint="eastAsia"/>
          <w:sz w:val="32"/>
          <w:szCs w:val="32"/>
        </w:rPr>
        <w:t>扶持</w:t>
      </w:r>
      <w:r>
        <w:rPr>
          <w:rFonts w:ascii="Times New Roman" w:eastAsia="方正仿宋_GBK" w:hAnsi="Times New Roman" w:cs="Times New Roman"/>
          <w:sz w:val="32"/>
          <w:szCs w:val="32"/>
        </w:rPr>
        <w:t>、青年</w:t>
      </w:r>
      <w:r>
        <w:rPr>
          <w:rFonts w:ascii="Times New Roman" w:eastAsia="方正仿宋_GBK" w:hAnsi="Times New Roman" w:cs="Times New Roman" w:hint="eastAsia"/>
          <w:sz w:val="32"/>
          <w:szCs w:val="32"/>
        </w:rPr>
        <w:t>作家</w:t>
      </w:r>
      <w:r>
        <w:rPr>
          <w:rFonts w:ascii="Times New Roman" w:eastAsia="方正仿宋_GBK" w:hAnsi="Times New Roman" w:cs="Times New Roman"/>
          <w:sz w:val="32"/>
          <w:szCs w:val="32"/>
        </w:rPr>
        <w:t>人才</w:t>
      </w:r>
      <w:r>
        <w:rPr>
          <w:rFonts w:ascii="Times New Roman" w:eastAsia="方正仿宋_GBK" w:hAnsi="Times New Roman" w:cs="Times New Roman" w:hint="eastAsia"/>
          <w:sz w:val="32"/>
          <w:szCs w:val="32"/>
        </w:rPr>
        <w:t>培养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扎根</w:t>
      </w:r>
      <w:r>
        <w:rPr>
          <w:rFonts w:ascii="Times New Roman" w:eastAsia="方正仿宋_GBK" w:hAnsi="Times New Roman" w:cs="Times New Roman"/>
          <w:sz w:val="32"/>
          <w:szCs w:val="32"/>
        </w:rPr>
        <w:t>人民、扎根生活</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主</w:t>
      </w:r>
      <w:r>
        <w:rPr>
          <w:rFonts w:ascii="Times New Roman" w:eastAsia="方正仿宋_GBK" w:hAnsi="Times New Roman" w:cs="Times New Roman"/>
          <w:sz w:val="32"/>
          <w:szCs w:val="32"/>
        </w:rPr>
        <w:t>题创作经费等</w:t>
      </w:r>
      <w:r>
        <w:rPr>
          <w:rFonts w:ascii="Times New Roman" w:eastAsia="方正仿宋_GBK" w:hAnsi="Times New Roman" w:cs="Times New Roman" w:hint="eastAsia"/>
          <w:sz w:val="32"/>
          <w:szCs w:val="32"/>
        </w:rPr>
        <w:t>；其他支出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DD738D" w:rsidRDefault="000E22A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DD738D" w:rsidRDefault="000E22A8">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lastRenderedPageBreak/>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526.94</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6.76</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4.65</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增加</w:t>
      </w:r>
      <w:r>
        <w:rPr>
          <w:rFonts w:ascii="Times New Roman" w:eastAsia="方正仿宋_GBK" w:hAnsi="Times New Roman" w:cs="Times New Roman"/>
          <w:sz w:val="32"/>
          <w:szCs w:val="32"/>
        </w:rPr>
        <w:t>人员经费支出；项目支出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61.41</w:t>
      </w:r>
      <w:r>
        <w:rPr>
          <w:rFonts w:ascii="Times New Roman" w:eastAsia="方正仿宋_GBK" w:hAnsi="Times New Roman" w:cs="Times New Roman"/>
          <w:sz w:val="32"/>
          <w:szCs w:val="32"/>
        </w:rPr>
        <w:t>万元，</w:t>
      </w:r>
      <w:r w:rsidRPr="00C54306">
        <w:rPr>
          <w:rFonts w:ascii="Times New Roman" w:eastAsia="方正仿宋_GBK" w:hAnsi="Times New Roman" w:cs="Times New Roman"/>
          <w:sz w:val="32"/>
          <w:szCs w:val="32"/>
        </w:rPr>
        <w:t>主要为</w:t>
      </w:r>
      <w:r w:rsidR="00C54306" w:rsidRPr="00C54306">
        <w:rPr>
          <w:rFonts w:ascii="Times New Roman" w:eastAsia="方正仿宋_GBK" w:hAnsi="Times New Roman" w:cs="Times New Roman" w:hint="eastAsia"/>
          <w:sz w:val="32"/>
          <w:szCs w:val="32"/>
        </w:rPr>
        <w:t>“扎根</w:t>
      </w:r>
      <w:r w:rsidR="00C54306" w:rsidRPr="00C54306">
        <w:rPr>
          <w:rFonts w:ascii="Times New Roman" w:eastAsia="方正仿宋_GBK" w:hAnsi="Times New Roman" w:cs="Times New Roman"/>
          <w:sz w:val="32"/>
          <w:szCs w:val="32"/>
        </w:rPr>
        <w:t>人民、扎根生活</w:t>
      </w:r>
      <w:r w:rsidR="00C54306" w:rsidRPr="00C54306">
        <w:rPr>
          <w:rFonts w:ascii="Times New Roman" w:eastAsia="方正仿宋_GBK" w:hAnsi="Times New Roman" w:cs="Times New Roman"/>
          <w:sz w:val="32"/>
          <w:szCs w:val="32"/>
        </w:rPr>
        <w:t>”</w:t>
      </w:r>
      <w:r w:rsidR="00C54306" w:rsidRPr="00C54306">
        <w:rPr>
          <w:rFonts w:ascii="Times New Roman" w:eastAsia="方正仿宋_GBK" w:hAnsi="Times New Roman" w:cs="Times New Roman" w:hint="eastAsia"/>
          <w:sz w:val="32"/>
          <w:szCs w:val="32"/>
        </w:rPr>
        <w:t>主</w:t>
      </w:r>
      <w:r w:rsidR="00C54306" w:rsidRPr="00C54306">
        <w:rPr>
          <w:rFonts w:ascii="Times New Roman" w:eastAsia="方正仿宋_GBK" w:hAnsi="Times New Roman" w:cs="Times New Roman"/>
          <w:sz w:val="32"/>
          <w:szCs w:val="32"/>
        </w:rPr>
        <w:t>题创作专项经费额度减少</w:t>
      </w:r>
      <w:r w:rsidRPr="00C54306">
        <w:rPr>
          <w:rFonts w:ascii="Times New Roman" w:eastAsia="方正仿宋_GBK" w:hAnsi="Times New Roman" w:cs="Times New Roman"/>
          <w:sz w:val="32"/>
          <w:szCs w:val="32"/>
        </w:rPr>
        <w:t>。</w:t>
      </w:r>
    </w:p>
    <w:p w:rsidR="00DD738D" w:rsidRDefault="000E22A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DD738D" w:rsidRDefault="000E22A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年，我厅机关运行经费共计安排</w:t>
      </w:r>
      <w:r w:rsidR="00DA7AD6">
        <w:rPr>
          <w:rFonts w:ascii="Times New Roman" w:eastAsia="方正仿宋_GBK" w:hAnsi="Times New Roman" w:cs="Times New Roman"/>
          <w:sz w:val="32"/>
          <w:szCs w:val="32"/>
        </w:rPr>
        <w:t>2</w:t>
      </w:r>
      <w:r w:rsidR="0086664C">
        <w:rPr>
          <w:rFonts w:ascii="Times New Roman" w:eastAsia="方正仿宋_GBK" w:hAnsi="Times New Roman" w:cs="Times New Roman"/>
          <w:sz w:val="32"/>
          <w:szCs w:val="32"/>
        </w:rPr>
        <w:t>80.20</w:t>
      </w:r>
      <w:r>
        <w:rPr>
          <w:rFonts w:ascii="Times New Roman" w:eastAsia="方正仿宋_GBK" w:hAnsi="Times New Roman" w:cs="Times New Roman" w:hint="eastAsia"/>
          <w:sz w:val="32"/>
          <w:szCs w:val="32"/>
        </w:rPr>
        <w:t>万元，主要用于日常维修、办公用房水电费、办公用房取暖费、办公用房物业管理费等日常运行支出。</w:t>
      </w:r>
    </w:p>
    <w:p w:rsidR="00DD738D" w:rsidRDefault="000E22A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DD738D" w:rsidRDefault="000E22A8">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20</w:t>
      </w:r>
      <w:r>
        <w:rPr>
          <w:rFonts w:ascii="Times New Roman" w:eastAsia="方正仿宋_GBK" w:hAnsi="Times New Roman" w:cs="Times New Roman"/>
          <w:sz w:val="32"/>
          <w:szCs w:val="32"/>
        </w:rPr>
        <w:t>年，我厅财政拨款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1.22</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相比增加</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万</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增加的主要原因是：公务</w:t>
      </w:r>
      <w:r>
        <w:rPr>
          <w:rFonts w:ascii="Times New Roman" w:eastAsia="方正仿宋_GBK" w:hAnsi="Times New Roman" w:cs="Times New Roman"/>
          <w:sz w:val="32"/>
          <w:szCs w:val="32"/>
        </w:rPr>
        <w:t>用</w:t>
      </w:r>
      <w:r>
        <w:rPr>
          <w:rFonts w:ascii="Times New Roman" w:eastAsia="方正仿宋_GBK" w:hAnsi="Times New Roman" w:cs="Times New Roman" w:hint="eastAsia"/>
          <w:sz w:val="32"/>
          <w:szCs w:val="32"/>
        </w:rPr>
        <w:t>车费</w:t>
      </w:r>
      <w:r>
        <w:rPr>
          <w:rFonts w:ascii="Times New Roman" w:eastAsia="方正仿宋_GBK" w:hAnsi="Times New Roman" w:cs="Times New Roman"/>
          <w:sz w:val="32"/>
          <w:szCs w:val="32"/>
        </w:rPr>
        <w:t>用增</w:t>
      </w:r>
      <w:r>
        <w:rPr>
          <w:rFonts w:ascii="Times New Roman" w:eastAsia="方正仿宋_GBK" w:hAnsi="Times New Roman" w:cs="Times New Roman" w:hint="eastAsia"/>
          <w:sz w:val="32"/>
          <w:szCs w:val="32"/>
        </w:rPr>
        <w:t>长</w:t>
      </w:r>
      <w:r>
        <w:rPr>
          <w:rFonts w:ascii="Times New Roman" w:eastAsia="方正仿宋_GBK" w:hAnsi="Times New Roman" w:cs="Times New Roman"/>
          <w:sz w:val="32"/>
          <w:szCs w:val="32"/>
        </w:rPr>
        <w:t>。</w:t>
      </w:r>
    </w:p>
    <w:p w:rsidR="00DD738D" w:rsidRDefault="000E22A8">
      <w:pPr>
        <w:ind w:firstLineChars="200" w:firstLine="640"/>
        <w:rPr>
          <w:rFonts w:ascii="黑体" w:eastAsia="黑体" w:hAnsi="黑体" w:cs="Times New Roman"/>
          <w:sz w:val="32"/>
          <w:szCs w:val="32"/>
        </w:rPr>
      </w:pPr>
      <w:r>
        <w:rPr>
          <w:rFonts w:ascii="黑体" w:eastAsia="黑体" w:hAnsi="黑体" w:cs="Times New Roman" w:hint="eastAsia"/>
          <w:sz w:val="32"/>
          <w:szCs w:val="32"/>
        </w:rPr>
        <w:t xml:space="preserve">五、预算绩效信息 </w:t>
      </w:r>
    </w:p>
    <w:p w:rsidR="00DD738D" w:rsidRDefault="000E22A8" w:rsidP="00765349">
      <w:pPr>
        <w:ind w:firstLineChars="200" w:firstLine="643"/>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w:t>
      </w:r>
      <w:r>
        <w:rPr>
          <w:rFonts w:ascii="Times New Roman" w:eastAsia="方正仿宋_GBK" w:hAnsi="Times New Roman" w:cs="Times New Roman"/>
          <w:b/>
          <w:sz w:val="32"/>
          <w:szCs w:val="32"/>
        </w:rPr>
        <w:t>绩效目标</w:t>
      </w:r>
    </w:p>
    <w:p w:rsidR="00DD738D" w:rsidRDefault="000E22A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（一）总体绩效目标</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以邓小平理论和党的基本路线为指导，坚持文艺为人民服务、为社会主义服务的方向，贯彻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百花齐放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百家争鸣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的方针，为加强社会主义精神文明建设服务。</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组织学习邓小平理论和党的方针政策，培养造就一支紧跟时代步伐、热爱祖国和人民、艺术水平精湛的文学队伍。</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组织本省作家和业余作者深入生活进行创作，弘扬主旋律，提</w:t>
      </w:r>
      <w:r>
        <w:rPr>
          <w:rFonts w:ascii="Times New Roman" w:eastAsia="方正仿宋_GBK" w:hAnsi="Times New Roman" w:cs="Times New Roman"/>
          <w:sz w:val="32"/>
          <w:szCs w:val="32"/>
        </w:rPr>
        <w:lastRenderedPageBreak/>
        <w:t>倡多样化，繁荣具有中国特色和本省特点的社会主义文学。</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组织专业和业余文学理论工作者进行学术研究、作品评论与学术交流，坚持正确导向，发扬文艺民主，推动我省文学创作和文学评论的健康发展。</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编辑出版文学报刊，建设河北文学园地。</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与有关部门共同组织全省性文学评奖、本省作家参加全国性文学评奖活动，表彰奖励优秀文学成果活动。</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组织同兄弟省、区、市间的文学交流活动，密切同世界各地文学界的友好往来。</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依据宪法和法律，反映作家的意见和要求，依法维护作者的合法权益。</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承担省委、省政府及中国作协交办的有关事项。</w:t>
      </w:r>
    </w:p>
    <w:p w:rsidR="00DD738D" w:rsidRDefault="000E22A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（二）分项绩效目标</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抓人才培养，提升文学冀军整体水平</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举办省作协新会员培训班。采用专家授课、座谈讨论、参观学习等形式，对</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年度省作协新会员进行了集中培训，引导新会员自觉以习近平新时代中国特色社会主义思想为引领，牢固树立以人民为中心的创作导向，进一步增强建设社会主义先进文化的责任感和使命感。</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举办青年作家高级研修班和网络作家培训班。举办以河北文学院合同制作家为主体的高级研修班和网络作家培训班，采用名家授课、与省外作家交流等形式，进一步提升河北青年作家和网络作家的创作水平。</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组织河北作家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走出去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。积极组织河北作家开展国内外、省内外文学交流活动，组织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寻访文学大家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活动、参加国际写作采风团、写作营等，拓展与国内外、省内外作家的交流，开拓文学视野、更新创作理念。</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支持和鼓励重点作家再学习、再提升。有计划地选送、推荐省作协创作室专业作家和我省一线作家到知名高校和文学机构学习深造，进一步提升河北重点作家的文学素养和创作水平。</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打造河北网络作家品牌。适时推出河北网络作家创作群体，使之成为继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三驾马车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河北四侠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之后又一新的创作群体，扩大河北网络作家在全国网络文学领域的影响力。</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抓作品创作，推动河北文学创作由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高峰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迈进</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做好</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年度重点创作选题扶持工作，从全省评选</w:t>
      </w:r>
      <w:r>
        <w:rPr>
          <w:rFonts w:ascii="Times New Roman" w:eastAsia="方正仿宋_GBK" w:hAnsi="Times New Roman" w:cs="Times New Roman"/>
          <w:sz w:val="32"/>
          <w:szCs w:val="32"/>
        </w:rPr>
        <w:t>10-15</w:t>
      </w:r>
      <w:r>
        <w:rPr>
          <w:rFonts w:ascii="Times New Roman" w:eastAsia="方正仿宋_GBK" w:hAnsi="Times New Roman" w:cs="Times New Roman"/>
          <w:sz w:val="32"/>
          <w:szCs w:val="32"/>
        </w:rPr>
        <w:t>部作品作为年度重点选题，省作协给予资金等方面的扶持，全力打造文学作品。</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加强文学阵地建设。省作协所属刊物《长城》《诗选刊》分别编发青年作家和诗人的专辑、专号，推出更多河北文学新人。《长城》《诗选刊》坚守刊物文学品质，增强品牌意识，推出一批优秀作品。</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抓主题宣传，用文学的形式讲好河北故事</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围绕省委省政府中心工作、重要部署开展文学活动。围绕京津冀协同发展、雄安新区规划建设、</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年冬奥会筹办、脱贫攻坚、大气污染防治等重大战略部署，邀请省内外作家进行采风创作，推出一批优秀作品在全国知名报刊发表和结集出版，用文学的形式服务河北经济社会发展。</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抓品牌活动，发挥文学的社会功效</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办好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文学馆读书荟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活动。继续举办每月一期的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文学馆读书荟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活动，邀请全国知名作家、评论家到河北文学馆举办公益文学讲座。</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办好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作家乡音诵读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栏目。继续邀请河北籍知名作家、诗人，用乡音诵读个人优秀作品，在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河北作协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微信公众号定期推送，提升河北作家作品和河北文学的影响力。</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举办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我的读书故事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征文活动。举办第十一届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我的读书故事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征文活动，激发全社会的阅读热情，推动全民阅读和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书香河北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w:t>
      </w:r>
      <w:r>
        <w:rPr>
          <w:rFonts w:ascii="Times New Roman" w:eastAsia="方正仿宋_GBK" w:hAnsi="Times New Roman" w:cs="Times New Roman"/>
          <w:sz w:val="32"/>
          <w:szCs w:val="32"/>
        </w:rPr>
        <w:lastRenderedPageBreak/>
        <w:t>设深入开展。</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抓协会改革，提升协会工作政治性、先进性、群众性</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举办基层文学内刊编辑培训班。发挥基层文学刊物团结作家、发现新人、推动创作的作用，开展基层文学内刊编辑业务培训，提高各市、县、区级文学内刊编辑的编辑水平和培养、发现人才的能力。</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继续举办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文学下基层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活动。由省作协领导、专业作家和文学工作者组成文学志愿者小分队，深入到县级文联作协开展文学讲座、改稿会等下基层服务活动。</w:t>
      </w:r>
    </w:p>
    <w:p w:rsidR="00DD738D" w:rsidRDefault="000E22A8">
      <w:p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（三）工作保障措施</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围绕省委中心工作，大力弘扬主旋律，着力打造一批具有中国气派、燕赵风韵的文学作品。充分发挥组织、联络、协调的职能优势，团结带领广大作家紧紧围绕党和政府的中心工作，立足我省的经济和社会发展实际，通过文学创作，讴歌改革发展的伟大成就。广大作家要积极践行社会主义核心价值体系，不断增强文学修养，深入生活，潜心创作，既要着力描绘波澜壮阔的时代画卷，又要反映普通人民群众丰富多彩的生活，深刻表达社会变革过程中蕴含着的丰富的时代精神，大力推动河北文化繁荣发展进入全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第一方阵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，为我省经济社会全面发展提供精神动力和智力支持。</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出作品、出人才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这一中心任务，进一步建立健全文学作品创作扶持和人才培养激励机制。认真总结过去几年的工作经验，对重点作品扶持办法进行修改和完善，逐步实现扶持推介与发现培养结合，重点作家与基层作家、年轻作家并重。充分发挥文学作品创作引导和奖励机制的作用，建立文学作品奖励制度。</w:t>
      </w:r>
    </w:p>
    <w:p w:rsidR="00DD738D" w:rsidRDefault="000E22A8">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创新工作抓手，进一步发挥艺委会在联系和培养作家、活跃文学氛围等方面的作用。实践证明，以艺委会为依托，面向基层作者和会员广泛组织开展丰富多彩的文学活动，能够更好地团结相关</w:t>
      </w:r>
      <w:r>
        <w:rPr>
          <w:rFonts w:ascii="Times New Roman" w:eastAsia="方正仿宋_GBK" w:hAnsi="Times New Roman" w:cs="Times New Roman"/>
          <w:sz w:val="32"/>
          <w:szCs w:val="32"/>
        </w:rPr>
        <w:lastRenderedPageBreak/>
        <w:t>体裁创作的作家，最大限度地调动广大作家的积极性，具有组织灵活、针对性强、参与人数多等特点。在今后工作中，我们要认真总结工作经验，继续将这一优势发挥好，要探索建立艺委会工作章程，进一步将艺委会工作制度化、规范化、长效化，使其能够更好地发挥作用。</w:t>
      </w:r>
    </w:p>
    <w:p w:rsidR="00DD738D" w:rsidRDefault="000E22A8">
      <w:pPr>
        <w:spacing w:line="500" w:lineRule="exact"/>
        <w:ind w:firstLineChars="200" w:firstLine="640"/>
        <w:jc w:val="left"/>
        <w:rPr>
          <w:rFonts w:ascii="Times New Roman" w:eastAsia="方正仿宋_GBK"/>
          <w:sz w:val="28"/>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强机关建设，着力改进和提高省作协工作水平。努力适应文学发展的新形势，在重视领导班子自身建设的同时，不断强化内部管理，加强省作协制度建设，使我们的服务工作程序规范、公开透明、优质高效。加强省作协机关干部素质建设，提高机关整体服务能力和服务水平，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勤于学习，甘于奉献，勇于创新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的良好氛围。加强省作协机关基础设施建设，把作协机关真正建设成为温馨和谐的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作家之家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DD738D" w:rsidRDefault="00DD738D">
      <w:pPr>
        <w:rPr>
          <w:rFonts w:ascii="Times New Roman" w:eastAsia="方正仿宋_GBK" w:hAnsi="Times New Roman" w:cs="Times New Roman"/>
          <w:b/>
          <w:sz w:val="32"/>
          <w:szCs w:val="32"/>
        </w:rPr>
      </w:pPr>
    </w:p>
    <w:p w:rsidR="00DD738D" w:rsidRDefault="000E22A8">
      <w:pPr>
        <w:ind w:firstLine="56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第二部分</w:t>
      </w:r>
      <w:r>
        <w:rPr>
          <w:rFonts w:ascii="Times New Roman" w:eastAsia="方正仿宋_GBK" w:hAnsi="Times New Roman" w:cs="Times New Roman" w:hint="eastAsia"/>
          <w:b/>
          <w:sz w:val="32"/>
          <w:szCs w:val="32"/>
        </w:rPr>
        <w:t xml:space="preserve">  </w:t>
      </w:r>
      <w:r w:rsidR="00535EF9">
        <w:rPr>
          <w:rFonts w:ascii="Times New Roman" w:eastAsia="方正仿宋_GBK" w:hAnsi="Times New Roman" w:cs="Times New Roman" w:hint="eastAsia"/>
          <w:b/>
          <w:sz w:val="32"/>
          <w:szCs w:val="32"/>
        </w:rPr>
        <w:t>预算项目绩效目标</w:t>
      </w: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1</w:t>
      </w:r>
      <w:r>
        <w:rPr>
          <w:rFonts w:ascii="方正仿宋_GBK" w:eastAsia="方正仿宋_GBK" w:hint="eastAsia"/>
          <w:b/>
          <w:sz w:val="28"/>
        </w:rPr>
        <w:t>、第十三届河北省“五个一工程”获奖作品奖励资金绩效目标表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 w:name="_Toc28720882"/>
      <w:r>
        <w:rPr>
          <w:rFonts w:ascii="方正仿宋_GBK" w:eastAsia="方正仿宋_GBK" w:hint="eastAsia"/>
          <w:b/>
          <w:sz w:val="28"/>
        </w:rPr>
        <w:instrText>2、第十三届河北省\“五个一工程\”获奖作品奖励资金绩效目标表</w:instrText>
      </w:r>
      <w:bookmarkEnd w:id="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1、及时将奖励资金发放到位，完成奖励资金的发放工作。</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到位情况</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及时将奖励资金发放到位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及时</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效果作用</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激励广大作品出精品，出力作。</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激励作用</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获奖人员满意度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满意</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2</w:t>
      </w:r>
      <w:r>
        <w:rPr>
          <w:rFonts w:ascii="方正仿宋_GBK" w:eastAsia="方正仿宋_GBK" w:hint="eastAsia"/>
          <w:b/>
          <w:sz w:val="28"/>
        </w:rPr>
        <w:t>、省作协消防系统维修及风机盘管部分更换绩效目标表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28720883"/>
      <w:r>
        <w:rPr>
          <w:rFonts w:ascii="方正仿宋_GBK" w:eastAsia="方正仿宋_GBK" w:hint="eastAsia"/>
          <w:b/>
          <w:sz w:val="28"/>
        </w:rPr>
        <w:instrText>3、省作协消防系统维修及风机盘管部分更换绩效目标表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1、根据石家庄消防支队执法检查提出的意见对消防设施进行维修,，对河北省作协办公楼消防系统进行维修，消除消防隐患并以达到正常使用的效果。</w:t>
            </w:r>
          </w:p>
          <w:p w:rsidR="00DD738D" w:rsidRDefault="000E22A8">
            <w:pPr>
              <w:spacing w:line="300" w:lineRule="exact"/>
              <w:jc w:val="left"/>
              <w:rPr>
                <w:rFonts w:ascii="方正书宋_GBK" w:eastAsia="方正书宋_GBK"/>
              </w:rPr>
            </w:pPr>
            <w:r>
              <w:rPr>
                <w:rFonts w:ascii="方正书宋_GBK" w:eastAsia="方正书宋_GBK" w:hint="eastAsia"/>
              </w:rPr>
              <w:t>2、根据省作协检查中央空调风机盘管需要对115台风机盘管进行更换以达到使用效果。风机盘管达到使用效果夏天温度达到26°以下，冬天达到18°以上。</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各项工程完成的及时性</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在规定时间内按照合同计划完成各项安装更换工作</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4月前完成所有安装更换工作</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安装的风机盘管数量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3月份更换92台,4月份完成剩余23台更换</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115台</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更换火灾报警控制器数量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3月份、 4月份每月更换1台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2台</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更换典型光电感烟火灾探测器（含底座）</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3月份完成全部更换</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204个</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安装排烟防火阀</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4月份完成全部安装</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12个</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室内环境温度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保证夏季冬季室内温度达到舒适的标准</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夏季温度达26度以下，冬季温度达18度以上。</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各项更换设施</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确保在保质期内安装更换的各项消防设施能够达到正常使用率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工程完成所花费的成本</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按照合同规定内预算开支，不超过合同预算</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≤49.59万元</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合同计划安排</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保证消防安全</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确保河北省作协办公楼内消防设施的正常使用，达到规定的使用效果</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国家消防法律法规</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国家消防安全政策</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贯彻落实国家消防安全相关法律法规，对消防安全工作给予充分的重视</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国家消防法律法规</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河北省作协全体干部职工满意率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满意度测评</w:t>
            </w: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3</w:t>
      </w:r>
      <w:r>
        <w:rPr>
          <w:rFonts w:ascii="方正仿宋_GBK" w:eastAsia="方正仿宋_GBK" w:hint="eastAsia"/>
          <w:b/>
          <w:sz w:val="28"/>
        </w:rPr>
        <w:t>、推动支持省社科、文化系统开展文明实践志愿服务活动绩效目标表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28720884"/>
      <w:r>
        <w:rPr>
          <w:rFonts w:ascii="方正仿宋_GBK" w:eastAsia="方正仿宋_GBK" w:hint="eastAsia"/>
          <w:b/>
          <w:sz w:val="28"/>
        </w:rPr>
        <w:instrText>4、推动支持省社科、文化系统开展文明实践志愿服务活动绩效目标表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1、完成活动方案，制定每期活动子方案。</w:t>
            </w:r>
          </w:p>
          <w:p w:rsidR="00DD738D" w:rsidRDefault="000E22A8">
            <w:pPr>
              <w:spacing w:line="300" w:lineRule="exact"/>
              <w:jc w:val="left"/>
              <w:rPr>
                <w:rFonts w:ascii="方正书宋_GBK" w:eastAsia="方正书宋_GBK"/>
              </w:rPr>
            </w:pPr>
            <w:r>
              <w:rPr>
                <w:rFonts w:ascii="方正书宋_GBK" w:eastAsia="方正书宋_GBK" w:hint="eastAsia"/>
              </w:rPr>
              <w:t>2、按月开展活动，完成全年共8期活动任务。</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按期完成率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活动开展的及时情况及效率情况</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按照活动方案开展活动的次数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8期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讲座效果良好率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讲座内容准确完整、语言风格为受众接受的比率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活动开展花费的费用</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不超过财政支持经费规模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≤15万</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对我省文化强省和基层文学事业持续繁荣及基层作家队伍建设产生积极影响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反馈意见</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讲座活动影响程度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通过讲座，基层作家、文学爱好者及群众对文学知识的知晓度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反馈意见</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促进基层文学事业繁荣</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对基层文学事业的发展产生长远影响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反馈意见</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听众满意度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参加公益讲座听众满意度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≥95%</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反馈意见</w:t>
            </w: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4</w:t>
      </w:r>
      <w:r>
        <w:rPr>
          <w:rFonts w:ascii="方正仿宋_GBK" w:eastAsia="方正仿宋_GBK" w:hint="eastAsia"/>
          <w:b/>
          <w:sz w:val="28"/>
        </w:rPr>
        <w:t>、“扎根人民、扎根生活”主题创作经费绩效目标表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28720885"/>
      <w:r>
        <w:rPr>
          <w:rFonts w:ascii="方正仿宋_GBK" w:eastAsia="方正仿宋_GBK" w:hint="eastAsia"/>
          <w:b/>
          <w:sz w:val="28"/>
        </w:rPr>
        <w:instrText>5、\“扎根人民、扎根生活\”主题创作经费绩效目标表</w:instrText>
      </w:r>
      <w:bookmarkEnd w:id="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1、通过组织开展专题创作采风活动，创作出更多反映全省经济社会发展的文学作品。</w:t>
            </w:r>
          </w:p>
          <w:p w:rsidR="00DD738D" w:rsidRDefault="000E22A8">
            <w:pPr>
              <w:spacing w:line="300" w:lineRule="exact"/>
              <w:jc w:val="left"/>
              <w:rPr>
                <w:rFonts w:ascii="方正书宋_GBK" w:eastAsia="方正书宋_GBK"/>
              </w:rPr>
            </w:pPr>
            <w:r>
              <w:rPr>
                <w:rFonts w:ascii="方正书宋_GBK" w:eastAsia="方正书宋_GBK" w:hint="eastAsia"/>
              </w:rPr>
              <w:t>2、通过组织开展座谈会及基层作家文学作品研讨及改稿活动，为基层作家文学作品把脉会诊，提高基层作家文学创作水平。</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按期完成率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活动开展的及时情况及效率情况</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采风活动开展的次数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≥1次</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座谈会及基层作家研讨改稿会活动次数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≥2次</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主题创作采风成果数量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主题创作采风成果编辑发表情况</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1部</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去年采风成果发表情况</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座谈及研讨改稿会文学作品发表数量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活动开展市县基层作家文学作品发表情况</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≥3篇</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活动开展花费的费用</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不超过财政支持经费规模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≤50万元</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对我省文化强省和基层文学事业持续繁荣及基层作家队伍建设产生积极影响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活动影响程度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通过采风、座谈会及研讨改稿活动，基层作家的文学作品水平显著提高</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较明显</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促进基层文学事业繁荣</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对基层文学事业的发展产生长远影响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DD738D">
            <w:pPr>
              <w:spacing w:line="300" w:lineRule="exact"/>
              <w:jc w:val="left"/>
              <w:rPr>
                <w:rFonts w:ascii="方正书宋_GBK" w:eastAsia="方正书宋_GBK"/>
              </w:rPr>
            </w:pP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作家满意度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参加主题创作采风和改稿活动作家满意度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≥95%</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DD738D">
            <w:pPr>
              <w:spacing w:line="300" w:lineRule="exact"/>
              <w:jc w:val="left"/>
              <w:rPr>
                <w:rFonts w:ascii="方正书宋_GBK" w:eastAsia="方正书宋_GBK"/>
              </w:rPr>
            </w:pP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5</w:t>
      </w:r>
      <w:r>
        <w:rPr>
          <w:rFonts w:ascii="方正仿宋_GBK" w:eastAsia="方正仿宋_GBK" w:hint="eastAsia"/>
          <w:b/>
          <w:sz w:val="28"/>
        </w:rPr>
        <w:t>、《人物周报》办刊工作经费绩效目标表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28720886"/>
      <w:r>
        <w:rPr>
          <w:rFonts w:ascii="方正仿宋_GBK" w:eastAsia="方正仿宋_GBK" w:hint="eastAsia"/>
          <w:b/>
          <w:sz w:val="28"/>
        </w:rPr>
        <w:instrText>6、《人物周报》办刊工作经费绩效目标表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1、完成全年《人物周报》的出版、印刷、发行工作</w:t>
            </w:r>
          </w:p>
          <w:p w:rsidR="00DD738D" w:rsidRDefault="000E22A8">
            <w:pPr>
              <w:spacing w:line="300" w:lineRule="exact"/>
              <w:jc w:val="left"/>
              <w:rPr>
                <w:rFonts w:ascii="方正书宋_GBK" w:eastAsia="方正书宋_GBK"/>
              </w:rPr>
            </w:pPr>
            <w:r>
              <w:rPr>
                <w:rFonts w:ascii="方正书宋_GBK" w:eastAsia="方正书宋_GBK" w:hint="eastAsia"/>
              </w:rPr>
              <w:t>2、读者人群覆盖达10万人。</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按时出版完成率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每月按时出版报纸期数占全年出版比重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出版报纸期数</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每周完成1期报纸（法定假日酌情）</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≥50期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邮局订阅人数</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邮局订阅人数与往年基本持平</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≥4500份</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报纸编辑、设计、印刷质量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报纸导向鲜明、内容新颖、可读性强、受众度高，选题符合要求，排版印刷质量较高，发放及时</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总成本</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项目完成总成本</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≤65.87万元</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社会反响度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报纸出版发行后，社会反响好，读者认可度高，在订户和读者中影响较为广泛</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≥10万人</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订阅群体满意率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订户满意度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≥90%</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往年指标</w:t>
            </w:r>
          </w:p>
        </w:tc>
      </w:tr>
    </w:tbl>
    <w:p w:rsidR="00DD738D" w:rsidRDefault="000E22A8">
      <w:pPr>
        <w:jc w:val="left"/>
        <w:outlineLvl w:val="1"/>
        <w:rPr>
          <w:rFonts w:ascii="Times New Roman" w:hAnsi="宋体"/>
          <w:b/>
          <w:sz w:val="28"/>
        </w:rPr>
      </w:pPr>
      <w:r>
        <w:rPr>
          <w:rFonts w:ascii="方正仿宋_GBK" w:eastAsia="方正仿宋_GBK"/>
          <w:b/>
          <w:sz w:val="28"/>
        </w:rPr>
        <w:t>6</w:t>
      </w:r>
      <w:r>
        <w:rPr>
          <w:rFonts w:ascii="方正仿宋_GBK" w:eastAsia="方正仿宋_GBK" w:hint="eastAsia"/>
          <w:b/>
          <w:sz w:val="28"/>
        </w:rPr>
        <w:t>、河北作家网舆情安全防控、文学展馆建设项目绩效目标表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28720888"/>
      <w:r>
        <w:rPr>
          <w:rFonts w:ascii="方正仿宋_GBK" w:eastAsia="方正仿宋_GBK" w:hint="eastAsia"/>
          <w:b/>
          <w:sz w:val="28"/>
        </w:rPr>
        <w:instrText>8、河北作家网舆情安全防控、文学展馆建设项目绩效目标表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贯彻落实习近平总书记在网络安全和信息化工作座谈会上关于实施“互联网+文化”战略讲话精神，加强融合发展，拓展文艺空间。主动适应媒体融合发展的新趋势，运用多媒体、数字化、人工智能等现代技术手段，提升艺术品质，创新展示平台，加强网络文艺创作，用优秀文艺作品占领互联网，移动客户端等新媒体。使省作协更好的用信息化手段感知社会态势，及时了解作家群体的创作动态及读者的关注热点，有针对性地发挥舆论引导作用，提升服务作家的能力和水平。</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按计划完成建设的比例</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按计划完成建设的数量占立项项目的比例</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100%</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项目建设计划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立项项目数量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工程年度完成项目规定的数量</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3项</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项目建设计划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项目正常使用率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项目能够满足设计要求可以使用的比率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≥60%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项目建设计划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不超过财政支持经费规模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≤20万元</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不超过项目总经费</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对我省经济社会发展产生积极影响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与完成的部分信息化建设工作比较</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服务作家，拓展文艺空间能力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及时了解作家群体的创作动态、进行舆论引导、弘扬社会主义价值观</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与完成的部分信息化建设工作比较</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广大作家和文学工作者对项目实施效果的满意率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服务对象对项目实施效果的满意度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满意度测评</w:t>
            </w: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7</w:t>
      </w:r>
      <w:r>
        <w:rPr>
          <w:rFonts w:ascii="方正仿宋_GBK" w:eastAsia="方正仿宋_GBK" w:hint="eastAsia"/>
          <w:b/>
          <w:sz w:val="28"/>
        </w:rPr>
        <w:t>、青年作家人才培养经费绩效目标表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28720889"/>
      <w:r>
        <w:rPr>
          <w:rFonts w:ascii="方正仿宋_GBK" w:eastAsia="方正仿宋_GBK" w:hint="eastAsia"/>
          <w:b/>
          <w:sz w:val="28"/>
        </w:rPr>
        <w:instrText>9、青年作家人才培养经费绩效目标表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组织召开河北青年作家高级研修活动、河北青年作家全国文学大刊改稿会活动、河北网络文学高级研修活动。提高作家文学素养、理论素养，提高作家创作水平，增加发表作品数量，扩大河北文学作品影响力。</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出版、发表文学作品数量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在省级以上刊物出版、发表文学作品数量</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≥50篇</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年度工作计划</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对我省经济社会发展产生的影响力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文学作品在国家级、省级重要报刊发表或形成著作出版，扩大河北文学作家作品的社会影响力，更好地为经济社会发展提供精神支持。</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与去年相比较</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精品成果达标率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发表作品达到文学院要求的大刊、名刊发表比率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≥80%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文学院精品扶持奖励相关规定</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不超过财政支持经费规模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≤200万元</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年度工作计划</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培训、改稿效果影响程度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通过邀请文学名家、评论家、编辑家指导作家创作，开阔作家视野、提升创作水平</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参与活动的作家反馈意见</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促进文学繁荣</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对河北文学事业产生长远积极影响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与去年相比较</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培训对象满意率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培训活动参与作家满意率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参与活动的作家反馈意见</w:t>
            </w: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t>8</w:t>
      </w:r>
      <w:r>
        <w:rPr>
          <w:rFonts w:ascii="方正仿宋_GBK" w:eastAsia="方正仿宋_GBK" w:hint="eastAsia"/>
          <w:b/>
          <w:sz w:val="28"/>
        </w:rPr>
        <w:t>、省作协河北文学馆馆藏复制项目绩效目标表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28720890"/>
      <w:r>
        <w:rPr>
          <w:rFonts w:ascii="方正仿宋_GBK" w:eastAsia="方正仿宋_GBK" w:hint="eastAsia"/>
          <w:b/>
          <w:sz w:val="28"/>
        </w:rPr>
        <w:instrText>10、省作协河北文学馆馆藏复制项目绩效目标表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1、通过对重要的馆藏文物级藏品进行复制，用复制品代替真品用于展览，将真品存放于专业库房之中，从而得以在稳定的保存条件下，有效延长藏品的收藏期，同时便于藏品的研究利用和馆际交流展示。</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复制工作进度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2020年1季度，完成对馆藏文物级藏品及已损、易损藏品的摸排，制定复制保护方案，复制前期准备工作。</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≤3月</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复制工作进度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2020年4月至12月，对需复制藏品进行逐一复制。</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≤9月</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复制品数量确定</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对以下三类藏品进行复制：已严重受损,难以长久保存的和濒临毁坏且有珍贵价值的藏品;虽未损坏，但属重要作家的重要资料，且独一无二的藏品;因陈列需要，应避免受损的藏品。</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≥108件</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年初工作要点及馆藏实际情况</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复制品质量要求</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复制品在造型、规格、纹饰、文学、色彩、质感、风格、完残等方面，均与原件保持一致</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文图逼真、做旧如旧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《文物复制拓印管理办法》及其它展馆相关工作经验</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成果花费的成本</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不超过财政支持经费规模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≤30万元</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将逼真的复制品用于陈列，在保护原件的同时又能保证展览的效果和观众满意度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满意</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与往年效果比较</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社会服务效果</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重要藏品得到妥善长期保存，展览效果良好。</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与往年效果比较</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观展群体满意度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将复制品用于展览后，能够适用于陈列需要，让观众通过复制品也能领略原件风采，观展人员满意率较高。</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观众满意度测评表</w:t>
            </w:r>
          </w:p>
        </w:tc>
      </w:tr>
    </w:tbl>
    <w:p w:rsidR="00DD738D" w:rsidRDefault="00DD738D">
      <w:pPr>
        <w:spacing w:line="300" w:lineRule="exact"/>
        <w:ind w:firstLineChars="200" w:firstLine="420"/>
        <w:jc w:val="left"/>
      </w:pPr>
    </w:p>
    <w:p w:rsidR="00DD738D" w:rsidRDefault="000E22A8" w:rsidP="00765349">
      <w:pPr>
        <w:ind w:firstLineChars="200" w:firstLine="562"/>
        <w:jc w:val="left"/>
        <w:outlineLvl w:val="1"/>
        <w:rPr>
          <w:rFonts w:ascii="Times New Roman" w:hAnsi="宋体"/>
          <w:b/>
          <w:sz w:val="28"/>
        </w:rPr>
      </w:pPr>
      <w:r>
        <w:rPr>
          <w:rFonts w:ascii="方正仿宋_GBK" w:eastAsia="方正仿宋_GBK"/>
          <w:b/>
          <w:sz w:val="28"/>
        </w:rPr>
        <w:lastRenderedPageBreak/>
        <w:t>9</w:t>
      </w:r>
      <w:r>
        <w:rPr>
          <w:rFonts w:ascii="方正仿宋_GBK" w:eastAsia="方正仿宋_GBK" w:hint="eastAsia"/>
          <w:b/>
          <w:sz w:val="28"/>
        </w:rPr>
        <w:t>、重点创作选题扶持经费绩效目标表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28720892"/>
      <w:r>
        <w:rPr>
          <w:rFonts w:ascii="方正仿宋_GBK" w:eastAsia="方正仿宋_GBK" w:hint="eastAsia"/>
          <w:b/>
          <w:sz w:val="28"/>
        </w:rPr>
        <w:instrText>12、重点创作选题扶持经费绩效目标表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DD738D">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DD738D" w:rsidRDefault="00DD738D">
            <w:pPr>
              <w:spacing w:line="300" w:lineRule="exact"/>
              <w:jc w:val="right"/>
              <w:rPr>
                <w:rFonts w:ascii="方正书宋_GBK" w:eastAsia="方正书宋_GBK"/>
              </w:rPr>
            </w:pPr>
          </w:p>
        </w:tc>
      </w:tr>
      <w:tr w:rsidR="00DD738D">
        <w:trPr>
          <w:trHeight w:val="369"/>
          <w:jc w:val="center"/>
        </w:trPr>
        <w:tc>
          <w:tcPr>
            <w:tcW w:w="1134" w:type="dxa"/>
            <w:tcBorders>
              <w:bottom w:val="nil"/>
            </w:tcBorders>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1、聚焦河北重大战略和先进典型，讲好新时代河北故事。</w:t>
            </w:r>
          </w:p>
          <w:p w:rsidR="00DD738D" w:rsidRDefault="000E22A8">
            <w:pPr>
              <w:spacing w:line="300" w:lineRule="exact"/>
              <w:jc w:val="left"/>
              <w:rPr>
                <w:rFonts w:ascii="方正书宋_GBK" w:eastAsia="方正书宋_GBK"/>
              </w:rPr>
            </w:pPr>
            <w:r>
              <w:rPr>
                <w:rFonts w:ascii="方正书宋_GBK" w:eastAsia="方正书宋_GBK" w:hint="eastAsia"/>
              </w:rPr>
              <w:t>2、加强现实题材创作，创作出一批河北文学精品。</w:t>
            </w:r>
          </w:p>
          <w:p w:rsidR="00DD738D" w:rsidRDefault="000E22A8">
            <w:pPr>
              <w:spacing w:line="300" w:lineRule="exact"/>
              <w:jc w:val="left"/>
              <w:rPr>
                <w:rFonts w:ascii="方正书宋_GBK" w:eastAsia="方正书宋_GBK"/>
              </w:rPr>
            </w:pPr>
            <w:r>
              <w:rPr>
                <w:rFonts w:ascii="方正书宋_GBK" w:eastAsia="方正书宋_GBK" w:hint="eastAsia"/>
              </w:rPr>
              <w:t>3、扩大“文学冀军”影响力，传播河北声音。</w:t>
            </w:r>
          </w:p>
        </w:tc>
      </w:tr>
    </w:tbl>
    <w:p w:rsidR="00DD738D" w:rsidRDefault="000E22A8">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DD738D">
        <w:trPr>
          <w:cantSplit/>
          <w:trHeight w:val="397"/>
          <w:tblHeader/>
          <w:jc w:val="center"/>
        </w:trPr>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指标值确定依据</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工作按时完成率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全年按时间节点完成工作</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100%</w:t>
            </w:r>
          </w:p>
          <w:p w:rsidR="00DD738D" w:rsidRDefault="00DD738D">
            <w:pPr>
              <w:spacing w:line="300" w:lineRule="exact"/>
              <w:jc w:val="left"/>
              <w:rPr>
                <w:rFonts w:ascii="方正书宋_GBK" w:eastAsia="方正书宋_GBK"/>
              </w:rPr>
            </w:pP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发表作品数量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在全国公开发行报刊发表文学作品篇数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≥5篇</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出版作品数量</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在出版社出版图书部数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≥1部</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召开创作会议次数</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根据年度实际情况适当召开与重点创作选题相关的年度创作规划会、作品改稿会、作品研讨会、作品推介会等会议次数</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≥1次</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国家级大报大刊发表率</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在国家级大报大刊发表作品比例</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≥50%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年初工作要点</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不超过财政支持经费规模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≤300万</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预算总额</w:t>
            </w:r>
          </w:p>
        </w:tc>
      </w:tr>
      <w:tr w:rsidR="00DD738D">
        <w:trPr>
          <w:cantSplit/>
          <w:trHeight w:val="369"/>
          <w:jc w:val="center"/>
        </w:trPr>
        <w:tc>
          <w:tcPr>
            <w:tcW w:w="1134" w:type="dxa"/>
            <w:vMerge w:val="restart"/>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社会舆论</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营造良好的社会氛围，受到读者和群众的热烈拥护和欢迎</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历史标准</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产生积极的社会反响，提升河北文学实力，扩大河北作家作品影响</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较大</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历史标准</w:t>
            </w:r>
          </w:p>
        </w:tc>
      </w:tr>
      <w:tr w:rsidR="00DD738D">
        <w:trPr>
          <w:cantSplit/>
          <w:trHeight w:val="369"/>
          <w:jc w:val="center"/>
        </w:trPr>
        <w:tc>
          <w:tcPr>
            <w:tcW w:w="1134" w:type="dxa"/>
            <w:vMerge/>
            <w:shd w:val="clear" w:color="auto" w:fill="auto"/>
            <w:vAlign w:val="center"/>
          </w:tcPr>
          <w:p w:rsidR="00DD738D" w:rsidRDefault="00DD738D">
            <w:pPr>
              <w:spacing w:line="300" w:lineRule="exact"/>
              <w:jc w:val="center"/>
              <w:rPr>
                <w:rFonts w:ascii="方正书宋_GBK" w:eastAsia="方正书宋_GBK"/>
              </w:rPr>
            </w:pP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影响期限</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促进河北文学事业繁荣发展，提升文化软实力，增强爱国主义情怀，坚定文化自信</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历史标准</w:t>
            </w:r>
          </w:p>
        </w:tc>
      </w:tr>
      <w:tr w:rsidR="00DD738D">
        <w:trPr>
          <w:cantSplit/>
          <w:trHeight w:val="369"/>
          <w:jc w:val="center"/>
        </w:trPr>
        <w:tc>
          <w:tcPr>
            <w:tcW w:w="1134"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我省作家、读者的满意程度</w:t>
            </w:r>
          </w:p>
        </w:tc>
        <w:tc>
          <w:tcPr>
            <w:tcW w:w="1276"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满意度测评</w:t>
            </w:r>
          </w:p>
        </w:tc>
      </w:tr>
    </w:tbl>
    <w:p w:rsidR="00DD738D" w:rsidRDefault="00DD738D" w:rsidP="0050262D">
      <w:pPr>
        <w:spacing w:line="300" w:lineRule="exact"/>
        <w:jc w:val="left"/>
        <w:sectPr w:rsidR="00DD738D">
          <w:pgSz w:w="11907" w:h="16839"/>
          <w:pgMar w:top="1984" w:right="1304" w:bottom="1134" w:left="1304" w:header="851" w:footer="992" w:gutter="0"/>
          <w:cols w:space="425"/>
          <w:docGrid w:type="lines" w:linePitch="312"/>
        </w:sectPr>
      </w:pPr>
    </w:p>
    <w:bookmarkEnd w:id="0"/>
    <w:p w:rsidR="00DD738D" w:rsidRDefault="000E22A8" w:rsidP="0050262D">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lastRenderedPageBreak/>
        <w:t xml:space="preserve">六、政府采购预算情况  </w:t>
      </w:r>
    </w:p>
    <w:p w:rsidR="00DD738D" w:rsidRDefault="000E22A8" w:rsidP="0050262D">
      <w:pPr>
        <w:ind w:firstLineChars="300" w:firstLine="960"/>
        <w:outlineLvl w:val="0"/>
        <w:rPr>
          <w:rFonts w:ascii="Times New Roman" w:eastAsia="方正仿宋_GBK" w:hAnsi="Times New Roman" w:cs="Times New Roman"/>
          <w:sz w:val="32"/>
          <w:szCs w:val="24"/>
        </w:rPr>
      </w:pPr>
      <w:bookmarkStart w:id="10" w:name="_Toc471398468"/>
      <w:r>
        <w:rPr>
          <w:rFonts w:ascii="Times New Roman" w:eastAsia="方正仿宋_GBK" w:hAnsi="Times New Roman" w:cs="Times New Roman"/>
          <w:sz w:val="32"/>
          <w:szCs w:val="24"/>
        </w:rPr>
        <w:t>20</w:t>
      </w:r>
      <w:r>
        <w:rPr>
          <w:rFonts w:ascii="Times New Roman" w:eastAsia="方正仿宋_GBK" w:hAnsi="Times New Roman" w:cs="Times New Roman" w:hint="eastAsia"/>
          <w:sz w:val="32"/>
          <w:szCs w:val="24"/>
        </w:rPr>
        <w:t>20</w:t>
      </w:r>
      <w:r>
        <w:rPr>
          <w:rFonts w:ascii="Times New Roman" w:eastAsia="方正仿宋_GBK" w:hAnsi="Times New Roman" w:cs="Times New Roman"/>
          <w:sz w:val="32"/>
          <w:szCs w:val="24"/>
        </w:rPr>
        <w:t>年，我</w:t>
      </w:r>
      <w:r>
        <w:rPr>
          <w:rFonts w:ascii="Times New Roman" w:eastAsia="方正仿宋_GBK" w:hAnsi="Times New Roman" w:cs="Times New Roman" w:hint="eastAsia"/>
          <w:sz w:val="32"/>
          <w:szCs w:val="24"/>
        </w:rPr>
        <w:t>会</w:t>
      </w:r>
      <w:r>
        <w:rPr>
          <w:rFonts w:ascii="Times New Roman" w:eastAsia="方正仿宋_GBK" w:hAnsi="Times New Roman" w:cs="Times New Roman"/>
          <w:sz w:val="32"/>
          <w:szCs w:val="24"/>
        </w:rPr>
        <w:t>安排政府采购预算</w:t>
      </w:r>
      <w:r w:rsidR="0050262D">
        <w:rPr>
          <w:rFonts w:ascii="Times New Roman" w:eastAsia="方正仿宋_GBK" w:hAnsi="Times New Roman" w:cs="Times New Roman" w:hint="eastAsia"/>
          <w:sz w:val="32"/>
          <w:szCs w:val="24"/>
        </w:rPr>
        <w:t>6.87</w:t>
      </w:r>
      <w:r>
        <w:rPr>
          <w:rFonts w:ascii="Times New Roman" w:eastAsia="方正仿宋_GBK" w:hAnsi="Times New Roman" w:cs="Times New Roman"/>
          <w:sz w:val="32"/>
          <w:szCs w:val="24"/>
        </w:rPr>
        <w:t>万元。具体内容见下表。</w:t>
      </w:r>
    </w:p>
    <w:p w:rsidR="00DD738D" w:rsidRDefault="000E22A8">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10"/>
    </w:p>
    <w:tbl>
      <w:tblPr>
        <w:tblW w:w="82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4"/>
        <w:gridCol w:w="742"/>
        <w:gridCol w:w="427"/>
        <w:gridCol w:w="1057"/>
        <w:gridCol w:w="427"/>
        <w:gridCol w:w="859"/>
        <w:gridCol w:w="626"/>
        <w:gridCol w:w="626"/>
        <w:gridCol w:w="626"/>
        <w:gridCol w:w="626"/>
        <w:gridCol w:w="427"/>
        <w:gridCol w:w="427"/>
        <w:gridCol w:w="427"/>
        <w:gridCol w:w="427"/>
      </w:tblGrid>
      <w:tr w:rsidR="00DD738D" w:rsidTr="0050262D">
        <w:trPr>
          <w:cantSplit/>
          <w:tblHeader/>
          <w:jc w:val="center"/>
        </w:trPr>
        <w:tc>
          <w:tcPr>
            <w:tcW w:w="4682" w:type="dxa"/>
            <w:gridSpan w:val="7"/>
            <w:tcBorders>
              <w:top w:val="single" w:sz="6" w:space="0" w:color="FFFFFF"/>
              <w:left w:val="single" w:sz="6" w:space="0" w:color="FFFFFF"/>
              <w:right w:val="single" w:sz="6" w:space="0" w:color="FFFFFF"/>
            </w:tcBorders>
            <w:shd w:val="clear" w:color="auto" w:fill="auto"/>
            <w:vAlign w:val="center"/>
          </w:tcPr>
          <w:p w:rsidR="00DD738D" w:rsidRDefault="000E22A8">
            <w:pPr>
              <w:spacing w:line="300" w:lineRule="exact"/>
              <w:jc w:val="left"/>
              <w:rPr>
                <w:rFonts w:ascii="方正小标宋_GBK" w:eastAsia="方正小标宋_GBK"/>
                <w:sz w:val="24"/>
              </w:rPr>
            </w:pPr>
            <w:r>
              <w:rPr>
                <w:rFonts w:ascii="方正小标宋_GBK" w:eastAsia="方正小标宋_GBK" w:hint="eastAsia"/>
                <w:sz w:val="24"/>
              </w:rPr>
              <w:t>部门编码  河北省作家协会</w:t>
            </w:r>
          </w:p>
        </w:tc>
        <w:tc>
          <w:tcPr>
            <w:tcW w:w="3586" w:type="dxa"/>
            <w:gridSpan w:val="7"/>
            <w:tcBorders>
              <w:top w:val="single" w:sz="6" w:space="0" w:color="FFFFFF"/>
              <w:left w:val="single" w:sz="6" w:space="0" w:color="FFFFFF"/>
              <w:right w:val="single" w:sz="6" w:space="0" w:color="FFFFFF"/>
            </w:tcBorders>
            <w:shd w:val="clear" w:color="auto" w:fill="auto"/>
            <w:vAlign w:val="center"/>
          </w:tcPr>
          <w:p w:rsidR="00DD738D" w:rsidRDefault="000E22A8">
            <w:pPr>
              <w:spacing w:line="300" w:lineRule="exact"/>
              <w:jc w:val="right"/>
              <w:rPr>
                <w:rFonts w:ascii="方正书宋_GBK" w:eastAsia="方正书宋_GBK"/>
                <w:sz w:val="24"/>
              </w:rPr>
            </w:pPr>
            <w:r>
              <w:rPr>
                <w:rFonts w:ascii="方正书宋_GBK" w:eastAsia="方正书宋_GBK" w:hint="eastAsia"/>
                <w:sz w:val="24"/>
              </w:rPr>
              <w:t>单位：万元</w:t>
            </w:r>
          </w:p>
        </w:tc>
      </w:tr>
      <w:tr w:rsidR="00DD738D" w:rsidTr="0050262D">
        <w:trPr>
          <w:cantSplit/>
          <w:tblHeader/>
          <w:jc w:val="center"/>
        </w:trPr>
        <w:tc>
          <w:tcPr>
            <w:tcW w:w="1286" w:type="dxa"/>
            <w:gridSpan w:val="2"/>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政府采购项目来源</w:t>
            </w:r>
          </w:p>
        </w:tc>
        <w:tc>
          <w:tcPr>
            <w:tcW w:w="427"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采购物品名称</w:t>
            </w:r>
          </w:p>
        </w:tc>
        <w:tc>
          <w:tcPr>
            <w:tcW w:w="1057"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政府采购目录序号</w:t>
            </w:r>
          </w:p>
        </w:tc>
        <w:tc>
          <w:tcPr>
            <w:tcW w:w="427"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数量  单位</w:t>
            </w:r>
          </w:p>
        </w:tc>
        <w:tc>
          <w:tcPr>
            <w:tcW w:w="859"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数量</w:t>
            </w:r>
          </w:p>
        </w:tc>
        <w:tc>
          <w:tcPr>
            <w:tcW w:w="626"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单价</w:t>
            </w:r>
          </w:p>
        </w:tc>
        <w:tc>
          <w:tcPr>
            <w:tcW w:w="3586" w:type="dxa"/>
            <w:gridSpan w:val="7"/>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政府采购金额</w:t>
            </w:r>
          </w:p>
        </w:tc>
      </w:tr>
      <w:tr w:rsidR="00DD738D" w:rsidTr="0050262D">
        <w:trPr>
          <w:cantSplit/>
          <w:tblHeader/>
          <w:jc w:val="center"/>
        </w:trPr>
        <w:tc>
          <w:tcPr>
            <w:tcW w:w="544"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项目名称</w:t>
            </w:r>
          </w:p>
        </w:tc>
        <w:tc>
          <w:tcPr>
            <w:tcW w:w="742"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预算资金</w:t>
            </w:r>
          </w:p>
        </w:tc>
        <w:tc>
          <w:tcPr>
            <w:tcW w:w="427" w:type="dxa"/>
            <w:vMerge/>
            <w:shd w:val="clear" w:color="auto" w:fill="auto"/>
            <w:vAlign w:val="center"/>
          </w:tcPr>
          <w:p w:rsidR="00DD738D" w:rsidRDefault="00DD738D">
            <w:pPr>
              <w:spacing w:line="300" w:lineRule="exact"/>
              <w:jc w:val="left"/>
              <w:outlineLvl w:val="0"/>
            </w:pPr>
          </w:p>
        </w:tc>
        <w:tc>
          <w:tcPr>
            <w:tcW w:w="1057" w:type="dxa"/>
            <w:vMerge/>
            <w:shd w:val="clear" w:color="auto" w:fill="auto"/>
            <w:vAlign w:val="center"/>
          </w:tcPr>
          <w:p w:rsidR="00DD738D" w:rsidRDefault="00DD738D">
            <w:pPr>
              <w:spacing w:line="300" w:lineRule="exact"/>
              <w:jc w:val="left"/>
              <w:outlineLvl w:val="0"/>
            </w:pPr>
          </w:p>
        </w:tc>
        <w:tc>
          <w:tcPr>
            <w:tcW w:w="427" w:type="dxa"/>
            <w:vMerge/>
            <w:shd w:val="clear" w:color="auto" w:fill="auto"/>
            <w:vAlign w:val="center"/>
          </w:tcPr>
          <w:p w:rsidR="00DD738D" w:rsidRDefault="00DD738D">
            <w:pPr>
              <w:spacing w:line="300" w:lineRule="exact"/>
              <w:jc w:val="left"/>
              <w:outlineLvl w:val="0"/>
            </w:pPr>
          </w:p>
        </w:tc>
        <w:tc>
          <w:tcPr>
            <w:tcW w:w="859" w:type="dxa"/>
            <w:vMerge/>
            <w:shd w:val="clear" w:color="auto" w:fill="auto"/>
            <w:vAlign w:val="center"/>
          </w:tcPr>
          <w:p w:rsidR="00DD738D" w:rsidRDefault="00DD738D">
            <w:pPr>
              <w:spacing w:line="300" w:lineRule="exact"/>
              <w:jc w:val="left"/>
              <w:outlineLvl w:val="0"/>
            </w:pPr>
          </w:p>
        </w:tc>
        <w:tc>
          <w:tcPr>
            <w:tcW w:w="626" w:type="dxa"/>
            <w:vMerge/>
            <w:shd w:val="clear" w:color="auto" w:fill="auto"/>
            <w:vAlign w:val="center"/>
          </w:tcPr>
          <w:p w:rsidR="00DD738D" w:rsidRDefault="00DD738D">
            <w:pPr>
              <w:spacing w:line="300" w:lineRule="exact"/>
              <w:jc w:val="left"/>
              <w:outlineLvl w:val="0"/>
            </w:pPr>
          </w:p>
        </w:tc>
        <w:tc>
          <w:tcPr>
            <w:tcW w:w="626"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总计</w:t>
            </w:r>
          </w:p>
        </w:tc>
        <w:tc>
          <w:tcPr>
            <w:tcW w:w="2533" w:type="dxa"/>
            <w:gridSpan w:val="5"/>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当年部门预算安排资金</w:t>
            </w:r>
          </w:p>
        </w:tc>
        <w:tc>
          <w:tcPr>
            <w:tcW w:w="427" w:type="dxa"/>
            <w:vMerge w:val="restart"/>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其他渠道资金</w:t>
            </w:r>
          </w:p>
        </w:tc>
      </w:tr>
      <w:tr w:rsidR="00DD738D" w:rsidTr="0050262D">
        <w:trPr>
          <w:cantSplit/>
          <w:tblHeader/>
          <w:jc w:val="center"/>
        </w:trPr>
        <w:tc>
          <w:tcPr>
            <w:tcW w:w="544" w:type="dxa"/>
            <w:vMerge/>
            <w:shd w:val="clear" w:color="auto" w:fill="auto"/>
            <w:vAlign w:val="center"/>
          </w:tcPr>
          <w:p w:rsidR="00DD738D" w:rsidRDefault="00DD738D">
            <w:pPr>
              <w:spacing w:line="300" w:lineRule="exact"/>
              <w:jc w:val="left"/>
              <w:outlineLvl w:val="0"/>
            </w:pPr>
          </w:p>
        </w:tc>
        <w:tc>
          <w:tcPr>
            <w:tcW w:w="742" w:type="dxa"/>
            <w:vMerge/>
            <w:shd w:val="clear" w:color="auto" w:fill="auto"/>
            <w:vAlign w:val="center"/>
          </w:tcPr>
          <w:p w:rsidR="00DD738D" w:rsidRDefault="00DD738D">
            <w:pPr>
              <w:spacing w:line="300" w:lineRule="exact"/>
              <w:jc w:val="left"/>
              <w:outlineLvl w:val="0"/>
            </w:pPr>
          </w:p>
        </w:tc>
        <w:tc>
          <w:tcPr>
            <w:tcW w:w="427" w:type="dxa"/>
            <w:vMerge/>
            <w:shd w:val="clear" w:color="auto" w:fill="auto"/>
            <w:vAlign w:val="center"/>
          </w:tcPr>
          <w:p w:rsidR="00DD738D" w:rsidRDefault="00DD738D">
            <w:pPr>
              <w:spacing w:line="300" w:lineRule="exact"/>
              <w:jc w:val="left"/>
              <w:outlineLvl w:val="0"/>
            </w:pPr>
          </w:p>
        </w:tc>
        <w:tc>
          <w:tcPr>
            <w:tcW w:w="1057" w:type="dxa"/>
            <w:vMerge/>
            <w:shd w:val="clear" w:color="auto" w:fill="auto"/>
            <w:vAlign w:val="center"/>
          </w:tcPr>
          <w:p w:rsidR="00DD738D" w:rsidRDefault="00DD738D">
            <w:pPr>
              <w:spacing w:line="300" w:lineRule="exact"/>
              <w:jc w:val="left"/>
              <w:outlineLvl w:val="0"/>
            </w:pPr>
          </w:p>
        </w:tc>
        <w:tc>
          <w:tcPr>
            <w:tcW w:w="427" w:type="dxa"/>
            <w:vMerge/>
            <w:shd w:val="clear" w:color="auto" w:fill="auto"/>
            <w:vAlign w:val="center"/>
          </w:tcPr>
          <w:p w:rsidR="00DD738D" w:rsidRDefault="00DD738D">
            <w:pPr>
              <w:spacing w:line="300" w:lineRule="exact"/>
              <w:jc w:val="left"/>
              <w:outlineLvl w:val="0"/>
            </w:pPr>
          </w:p>
        </w:tc>
        <w:tc>
          <w:tcPr>
            <w:tcW w:w="859" w:type="dxa"/>
            <w:vMerge/>
            <w:shd w:val="clear" w:color="auto" w:fill="auto"/>
            <w:vAlign w:val="center"/>
          </w:tcPr>
          <w:p w:rsidR="00DD738D" w:rsidRDefault="00DD738D">
            <w:pPr>
              <w:spacing w:line="300" w:lineRule="exact"/>
              <w:jc w:val="left"/>
              <w:outlineLvl w:val="0"/>
            </w:pPr>
          </w:p>
        </w:tc>
        <w:tc>
          <w:tcPr>
            <w:tcW w:w="626" w:type="dxa"/>
            <w:vMerge/>
            <w:shd w:val="clear" w:color="auto" w:fill="auto"/>
            <w:vAlign w:val="center"/>
          </w:tcPr>
          <w:p w:rsidR="00DD738D" w:rsidRDefault="00DD738D">
            <w:pPr>
              <w:spacing w:line="300" w:lineRule="exact"/>
              <w:jc w:val="left"/>
              <w:outlineLvl w:val="0"/>
            </w:pPr>
          </w:p>
        </w:tc>
        <w:tc>
          <w:tcPr>
            <w:tcW w:w="626" w:type="dxa"/>
            <w:vMerge/>
            <w:shd w:val="clear" w:color="auto" w:fill="auto"/>
            <w:vAlign w:val="center"/>
          </w:tcPr>
          <w:p w:rsidR="00DD738D" w:rsidRDefault="00DD738D">
            <w:pPr>
              <w:spacing w:line="300" w:lineRule="exact"/>
              <w:jc w:val="left"/>
              <w:outlineLvl w:val="0"/>
            </w:pPr>
          </w:p>
        </w:tc>
        <w:tc>
          <w:tcPr>
            <w:tcW w:w="62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合计</w:t>
            </w:r>
          </w:p>
        </w:tc>
        <w:tc>
          <w:tcPr>
            <w:tcW w:w="626"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一般公共预算拨款</w:t>
            </w:r>
          </w:p>
        </w:tc>
        <w:tc>
          <w:tcPr>
            <w:tcW w:w="427"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基金预算拨款</w:t>
            </w:r>
          </w:p>
        </w:tc>
        <w:tc>
          <w:tcPr>
            <w:tcW w:w="427"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财政专户核拨</w:t>
            </w:r>
          </w:p>
        </w:tc>
        <w:tc>
          <w:tcPr>
            <w:tcW w:w="427"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其他来源收入</w:t>
            </w:r>
          </w:p>
        </w:tc>
        <w:tc>
          <w:tcPr>
            <w:tcW w:w="427" w:type="dxa"/>
            <w:vMerge/>
            <w:shd w:val="clear" w:color="auto" w:fill="auto"/>
            <w:vAlign w:val="center"/>
          </w:tcPr>
          <w:p w:rsidR="00DD738D" w:rsidRDefault="00DD738D">
            <w:pPr>
              <w:spacing w:line="300" w:lineRule="exact"/>
              <w:jc w:val="left"/>
              <w:outlineLvl w:val="0"/>
            </w:pPr>
          </w:p>
        </w:tc>
      </w:tr>
      <w:tr w:rsidR="00DD738D" w:rsidTr="0050262D">
        <w:trPr>
          <w:cantSplit/>
          <w:jc w:val="center"/>
        </w:trPr>
        <w:tc>
          <w:tcPr>
            <w:tcW w:w="544" w:type="dxa"/>
            <w:shd w:val="clear" w:color="auto" w:fill="auto"/>
            <w:vAlign w:val="center"/>
          </w:tcPr>
          <w:p w:rsidR="00DD738D" w:rsidRDefault="000E22A8">
            <w:pPr>
              <w:spacing w:line="300" w:lineRule="exact"/>
              <w:jc w:val="center"/>
              <w:rPr>
                <w:rFonts w:ascii="方正书宋_GBK" w:eastAsia="方正书宋_GBK"/>
                <w:b/>
              </w:rPr>
            </w:pPr>
            <w:r>
              <w:rPr>
                <w:rFonts w:ascii="方正书宋_GBK" w:eastAsia="方正书宋_GBK" w:hint="eastAsia"/>
                <w:b/>
              </w:rPr>
              <w:t>合　计</w:t>
            </w:r>
          </w:p>
        </w:tc>
        <w:tc>
          <w:tcPr>
            <w:tcW w:w="742"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left"/>
              <w:rPr>
                <w:rFonts w:ascii="方正书宋_GBK" w:eastAsia="方正书宋_GBK"/>
                <w:b/>
              </w:rPr>
            </w:pPr>
          </w:p>
        </w:tc>
        <w:tc>
          <w:tcPr>
            <w:tcW w:w="1057" w:type="dxa"/>
            <w:shd w:val="clear" w:color="auto" w:fill="auto"/>
            <w:vAlign w:val="center"/>
          </w:tcPr>
          <w:p w:rsidR="00DD738D" w:rsidRDefault="00DD738D">
            <w:pPr>
              <w:spacing w:line="300" w:lineRule="exact"/>
              <w:jc w:val="left"/>
              <w:rPr>
                <w:rFonts w:ascii="方正书宋_GBK" w:eastAsia="方正书宋_GBK"/>
                <w:b/>
              </w:rPr>
            </w:pPr>
          </w:p>
        </w:tc>
        <w:tc>
          <w:tcPr>
            <w:tcW w:w="427" w:type="dxa"/>
            <w:shd w:val="clear" w:color="auto" w:fill="auto"/>
            <w:vAlign w:val="center"/>
          </w:tcPr>
          <w:p w:rsidR="00DD738D" w:rsidRDefault="00DD738D">
            <w:pPr>
              <w:spacing w:line="300" w:lineRule="exact"/>
              <w:jc w:val="left"/>
              <w:rPr>
                <w:rFonts w:ascii="方正书宋_GBK" w:eastAsia="方正书宋_GBK"/>
                <w:b/>
              </w:rPr>
            </w:pPr>
          </w:p>
        </w:tc>
        <w:tc>
          <w:tcPr>
            <w:tcW w:w="859" w:type="dxa"/>
            <w:shd w:val="clear" w:color="auto" w:fill="auto"/>
            <w:vAlign w:val="center"/>
          </w:tcPr>
          <w:p w:rsidR="00DD738D" w:rsidRDefault="00DD738D">
            <w:pPr>
              <w:spacing w:line="300" w:lineRule="exact"/>
              <w:jc w:val="right"/>
              <w:rPr>
                <w:rFonts w:ascii="方正书宋_GBK" w:eastAsia="方正书宋_GBK"/>
                <w:b/>
              </w:rPr>
            </w:pPr>
          </w:p>
        </w:tc>
        <w:tc>
          <w:tcPr>
            <w:tcW w:w="626" w:type="dxa"/>
            <w:shd w:val="clear" w:color="auto" w:fill="auto"/>
            <w:vAlign w:val="center"/>
          </w:tcPr>
          <w:p w:rsidR="00DD738D" w:rsidRDefault="00DD738D">
            <w:pPr>
              <w:spacing w:line="300" w:lineRule="exact"/>
              <w:jc w:val="right"/>
              <w:rPr>
                <w:rFonts w:ascii="方正书宋_GBK" w:eastAsia="方正书宋_GBK"/>
                <w:b/>
              </w:rPr>
            </w:pPr>
          </w:p>
        </w:tc>
        <w:tc>
          <w:tcPr>
            <w:tcW w:w="626" w:type="dxa"/>
            <w:shd w:val="clear" w:color="auto" w:fill="auto"/>
            <w:vAlign w:val="center"/>
          </w:tcPr>
          <w:p w:rsidR="00DD738D" w:rsidRDefault="000E22A8">
            <w:pPr>
              <w:spacing w:line="300" w:lineRule="exact"/>
              <w:jc w:val="right"/>
              <w:rPr>
                <w:rFonts w:ascii="方正书宋_GBK" w:eastAsia="方正书宋_GBK"/>
                <w:b/>
              </w:rPr>
            </w:pPr>
            <w:r>
              <w:rPr>
                <w:rFonts w:ascii="方正书宋_GBK" w:eastAsia="方正书宋_GBK" w:hint="eastAsia"/>
                <w:b/>
              </w:rPr>
              <w:t>6.87</w:t>
            </w:r>
          </w:p>
        </w:tc>
        <w:tc>
          <w:tcPr>
            <w:tcW w:w="626" w:type="dxa"/>
            <w:shd w:val="clear" w:color="auto" w:fill="auto"/>
            <w:vAlign w:val="center"/>
          </w:tcPr>
          <w:p w:rsidR="00DD738D" w:rsidRDefault="000E22A8">
            <w:pPr>
              <w:spacing w:line="300" w:lineRule="exact"/>
              <w:jc w:val="right"/>
              <w:rPr>
                <w:rFonts w:ascii="方正书宋_GBK" w:eastAsia="方正书宋_GBK"/>
                <w:b/>
              </w:rPr>
            </w:pPr>
            <w:r>
              <w:rPr>
                <w:rFonts w:ascii="方正书宋_GBK" w:eastAsia="方正书宋_GBK" w:hint="eastAsia"/>
                <w:b/>
              </w:rPr>
              <w:t>6.87</w:t>
            </w:r>
          </w:p>
        </w:tc>
        <w:tc>
          <w:tcPr>
            <w:tcW w:w="626" w:type="dxa"/>
            <w:shd w:val="clear" w:color="auto" w:fill="auto"/>
            <w:vAlign w:val="center"/>
          </w:tcPr>
          <w:p w:rsidR="00DD738D" w:rsidRDefault="000E22A8">
            <w:pPr>
              <w:spacing w:line="300" w:lineRule="exact"/>
              <w:jc w:val="right"/>
              <w:rPr>
                <w:rFonts w:ascii="方正书宋_GBK" w:eastAsia="方正书宋_GBK"/>
                <w:b/>
              </w:rPr>
            </w:pPr>
            <w:r>
              <w:rPr>
                <w:rFonts w:ascii="方正书宋_GBK" w:eastAsia="方正书宋_GBK" w:hint="eastAsia"/>
                <w:b/>
              </w:rPr>
              <w:t>6.87</w:t>
            </w:r>
          </w:p>
        </w:tc>
        <w:tc>
          <w:tcPr>
            <w:tcW w:w="427"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right"/>
              <w:rPr>
                <w:rFonts w:ascii="方正书宋_GBK" w:eastAsia="方正书宋_GBK"/>
                <w:b/>
              </w:rPr>
            </w:pPr>
          </w:p>
        </w:tc>
      </w:tr>
      <w:tr w:rsidR="00DD738D" w:rsidTr="0050262D">
        <w:trPr>
          <w:cantSplit/>
          <w:jc w:val="center"/>
        </w:trPr>
        <w:tc>
          <w:tcPr>
            <w:tcW w:w="54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日常公用经费</w:t>
            </w:r>
          </w:p>
        </w:tc>
        <w:tc>
          <w:tcPr>
            <w:tcW w:w="742"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84.54</w:t>
            </w:r>
          </w:p>
        </w:tc>
        <w:tc>
          <w:tcPr>
            <w:tcW w:w="42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复印纸</w:t>
            </w:r>
          </w:p>
        </w:tc>
        <w:tc>
          <w:tcPr>
            <w:tcW w:w="105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A090101</w:t>
            </w:r>
          </w:p>
        </w:tc>
        <w:tc>
          <w:tcPr>
            <w:tcW w:w="427"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箱</w:t>
            </w:r>
          </w:p>
        </w:tc>
        <w:tc>
          <w:tcPr>
            <w:tcW w:w="859"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15.00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0.03</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0.45</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0.45</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hint="eastAsia"/>
              </w:rPr>
              <w:t>0.45</w:t>
            </w:r>
          </w:p>
        </w:tc>
        <w:tc>
          <w:tcPr>
            <w:tcW w:w="427"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right"/>
              <w:rPr>
                <w:rFonts w:ascii="方正书宋_GBK" w:eastAsia="方正书宋_GBK"/>
                <w:b/>
              </w:rPr>
            </w:pPr>
          </w:p>
        </w:tc>
        <w:tc>
          <w:tcPr>
            <w:tcW w:w="427" w:type="dxa"/>
            <w:shd w:val="clear" w:color="auto" w:fill="auto"/>
            <w:vAlign w:val="center"/>
          </w:tcPr>
          <w:p w:rsidR="00DD738D" w:rsidRDefault="00DD738D">
            <w:pPr>
              <w:spacing w:line="300" w:lineRule="exact"/>
              <w:jc w:val="right"/>
              <w:rPr>
                <w:rFonts w:ascii="方正书宋_GBK" w:eastAsia="方正书宋_GBK"/>
                <w:b/>
              </w:rPr>
            </w:pPr>
          </w:p>
        </w:tc>
      </w:tr>
      <w:tr w:rsidR="00DD738D" w:rsidTr="0050262D">
        <w:trPr>
          <w:cantSplit/>
          <w:jc w:val="center"/>
        </w:trPr>
        <w:tc>
          <w:tcPr>
            <w:tcW w:w="54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日常公用经费</w:t>
            </w:r>
          </w:p>
        </w:tc>
        <w:tc>
          <w:tcPr>
            <w:tcW w:w="742"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84.54</w:t>
            </w:r>
          </w:p>
        </w:tc>
        <w:tc>
          <w:tcPr>
            <w:tcW w:w="42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复印纸</w:t>
            </w:r>
          </w:p>
        </w:tc>
        <w:tc>
          <w:tcPr>
            <w:tcW w:w="105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A090101</w:t>
            </w:r>
          </w:p>
        </w:tc>
        <w:tc>
          <w:tcPr>
            <w:tcW w:w="427"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箱</w:t>
            </w:r>
          </w:p>
        </w:tc>
        <w:tc>
          <w:tcPr>
            <w:tcW w:w="859"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50.00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0.03</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1.50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1.50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1.50</w:t>
            </w: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r>
      <w:tr w:rsidR="00DD738D" w:rsidTr="0050262D">
        <w:trPr>
          <w:cantSplit/>
          <w:jc w:val="center"/>
        </w:trPr>
        <w:tc>
          <w:tcPr>
            <w:tcW w:w="54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日常公用经费</w:t>
            </w:r>
          </w:p>
        </w:tc>
        <w:tc>
          <w:tcPr>
            <w:tcW w:w="742"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84.54</w:t>
            </w:r>
          </w:p>
        </w:tc>
        <w:tc>
          <w:tcPr>
            <w:tcW w:w="42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鼓粉盒</w:t>
            </w:r>
          </w:p>
        </w:tc>
        <w:tc>
          <w:tcPr>
            <w:tcW w:w="105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A090201</w:t>
            </w:r>
          </w:p>
        </w:tc>
        <w:tc>
          <w:tcPr>
            <w:tcW w:w="427"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个</w:t>
            </w:r>
          </w:p>
        </w:tc>
        <w:tc>
          <w:tcPr>
            <w:tcW w:w="859"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150.00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0.03</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4.50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4.50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4.50</w:t>
            </w: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r>
      <w:tr w:rsidR="00DD738D" w:rsidTr="0050262D">
        <w:trPr>
          <w:cantSplit/>
          <w:jc w:val="center"/>
        </w:trPr>
        <w:tc>
          <w:tcPr>
            <w:tcW w:w="544"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742"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84.54</w:t>
            </w:r>
          </w:p>
        </w:tc>
        <w:tc>
          <w:tcPr>
            <w:tcW w:w="42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hint="eastAsia"/>
              </w:rPr>
              <w:t>鼓粉盒</w:t>
            </w:r>
          </w:p>
        </w:tc>
        <w:tc>
          <w:tcPr>
            <w:tcW w:w="1057" w:type="dxa"/>
            <w:shd w:val="clear" w:color="auto" w:fill="auto"/>
            <w:vAlign w:val="center"/>
          </w:tcPr>
          <w:p w:rsidR="00DD738D" w:rsidRDefault="000E22A8">
            <w:pPr>
              <w:spacing w:line="300" w:lineRule="exact"/>
              <w:jc w:val="left"/>
              <w:rPr>
                <w:rFonts w:ascii="方正书宋_GBK" w:eastAsia="方正书宋_GBK"/>
              </w:rPr>
            </w:pPr>
            <w:r>
              <w:rPr>
                <w:rFonts w:ascii="方正书宋_GBK" w:eastAsia="方正书宋_GBK"/>
              </w:rPr>
              <w:t>A090201</w:t>
            </w:r>
          </w:p>
        </w:tc>
        <w:tc>
          <w:tcPr>
            <w:tcW w:w="427" w:type="dxa"/>
            <w:shd w:val="clear" w:color="auto" w:fill="auto"/>
            <w:vAlign w:val="center"/>
          </w:tcPr>
          <w:p w:rsidR="00DD738D" w:rsidRDefault="000E22A8">
            <w:pPr>
              <w:spacing w:line="300" w:lineRule="exact"/>
              <w:jc w:val="center"/>
              <w:rPr>
                <w:rFonts w:ascii="方正书宋_GBK" w:eastAsia="方正书宋_GBK"/>
              </w:rPr>
            </w:pPr>
            <w:r>
              <w:rPr>
                <w:rFonts w:ascii="方正书宋_GBK" w:eastAsia="方正书宋_GBK" w:hint="eastAsia"/>
              </w:rPr>
              <w:t>个</w:t>
            </w:r>
          </w:p>
        </w:tc>
        <w:tc>
          <w:tcPr>
            <w:tcW w:w="859"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1.00</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0.42</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0.42</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rPr>
              <w:t>0.42</w:t>
            </w:r>
          </w:p>
        </w:tc>
        <w:tc>
          <w:tcPr>
            <w:tcW w:w="626" w:type="dxa"/>
            <w:shd w:val="clear" w:color="auto" w:fill="auto"/>
            <w:vAlign w:val="center"/>
          </w:tcPr>
          <w:p w:rsidR="00DD738D" w:rsidRDefault="000E22A8">
            <w:pPr>
              <w:spacing w:line="300" w:lineRule="exact"/>
              <w:jc w:val="right"/>
              <w:rPr>
                <w:rFonts w:ascii="方正书宋_GBK" w:eastAsia="方正书宋_GBK"/>
              </w:rPr>
            </w:pPr>
            <w:r>
              <w:rPr>
                <w:rFonts w:ascii="方正书宋_GBK" w:eastAsia="方正书宋_GBK" w:hint="eastAsia"/>
              </w:rPr>
              <w:t>0.42</w:t>
            </w: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c>
          <w:tcPr>
            <w:tcW w:w="427" w:type="dxa"/>
            <w:shd w:val="clear" w:color="auto" w:fill="auto"/>
            <w:vAlign w:val="center"/>
          </w:tcPr>
          <w:p w:rsidR="00DD738D" w:rsidRDefault="00DD738D">
            <w:pPr>
              <w:spacing w:line="300" w:lineRule="exact"/>
              <w:jc w:val="right"/>
              <w:rPr>
                <w:rFonts w:ascii="方正书宋_GBK" w:eastAsia="方正书宋_GBK"/>
              </w:rPr>
            </w:pPr>
          </w:p>
        </w:tc>
      </w:tr>
    </w:tbl>
    <w:p w:rsidR="00DD738D" w:rsidRDefault="00DD738D">
      <w:pPr>
        <w:autoSpaceDE w:val="0"/>
        <w:autoSpaceDN w:val="0"/>
        <w:adjustRightInd w:val="0"/>
        <w:jc w:val="left"/>
        <w:rPr>
          <w:rFonts w:ascii="黑体" w:eastAsia="黑体" w:hAnsi="黑体" w:cs="Times New Roman"/>
          <w:sz w:val="32"/>
          <w:szCs w:val="32"/>
        </w:rPr>
      </w:pPr>
    </w:p>
    <w:p w:rsidR="00DD738D" w:rsidRDefault="000E22A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DD738D" w:rsidRDefault="000E22A8">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河北省作家协会（含所属单位）上年末固定资产金额为</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995.62</w:t>
      </w:r>
      <w:r>
        <w:rPr>
          <w:rFonts w:ascii="仿宋_GB2312" w:eastAsia="仿宋_GB2312" w:hAnsi="黑体" w:cs="Times New Roman" w:hint="eastAsia"/>
          <w:sz w:val="32"/>
          <w:szCs w:val="32"/>
        </w:rPr>
        <w:t>万元（</w:t>
      </w:r>
      <w:r>
        <w:rPr>
          <w:rFonts w:ascii="Times New Roman" w:eastAsia="方正仿宋_GBK" w:hAnsi="Times New Roman" w:cs="Times New Roman" w:hint="eastAsia"/>
          <w:sz w:val="32"/>
          <w:szCs w:val="32"/>
        </w:rPr>
        <w:t>详见下表），</w:t>
      </w:r>
      <w:r>
        <w:rPr>
          <w:rFonts w:ascii="仿宋_GB2312" w:eastAsia="仿宋_GB2312" w:hAnsi="黑体" w:cs="Times New Roman" w:hint="eastAsia"/>
          <w:sz w:val="32"/>
          <w:szCs w:val="32"/>
        </w:rPr>
        <w:t>本年度各单位（处室）拟购置固定资产</w:t>
      </w:r>
      <w:r>
        <w:rPr>
          <w:rFonts w:ascii="Times New Roman" w:eastAsia="方正仿宋_GBK" w:hAnsi="Times New Roman" w:cs="Times New Roman" w:hint="eastAsia"/>
          <w:sz w:val="32"/>
          <w:szCs w:val="32"/>
        </w:rPr>
        <w:t>总额为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仿宋_GB2312" w:eastAsia="仿宋_GB2312" w:hAnsi="黑体" w:cs="Times New Roman" w:hint="eastAsia"/>
          <w:sz w:val="32"/>
          <w:szCs w:val="32"/>
        </w:rPr>
        <w:t>主要为计算机设备、打印设备、空调、办公家具等，已列入政府采购预算，详见政府采购预算表。</w:t>
      </w:r>
    </w:p>
    <w:tbl>
      <w:tblPr>
        <w:tblW w:w="8520" w:type="dxa"/>
        <w:tblInd w:w="93" w:type="dxa"/>
        <w:tblLayout w:type="fixed"/>
        <w:tblLook w:val="04A0" w:firstRow="1" w:lastRow="0" w:firstColumn="1" w:lastColumn="0" w:noHBand="0" w:noVBand="1"/>
      </w:tblPr>
      <w:tblGrid>
        <w:gridCol w:w="2425"/>
        <w:gridCol w:w="1418"/>
        <w:gridCol w:w="4677"/>
      </w:tblGrid>
      <w:tr w:rsidR="00DD738D" w:rsidTr="0050262D">
        <w:trPr>
          <w:cantSplit/>
          <w:trHeight w:val="705"/>
        </w:trPr>
        <w:tc>
          <w:tcPr>
            <w:tcW w:w="8520" w:type="dxa"/>
            <w:gridSpan w:val="3"/>
            <w:tcBorders>
              <w:top w:val="nil"/>
              <w:left w:val="nil"/>
              <w:bottom w:val="nil"/>
              <w:right w:val="nil"/>
            </w:tcBorders>
            <w:shd w:val="clear" w:color="auto" w:fill="auto"/>
            <w:vAlign w:val="center"/>
          </w:tcPr>
          <w:p w:rsidR="00DD738D" w:rsidRDefault="000E22A8">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河北省省直部门固定资产占用情况表</w:t>
            </w:r>
          </w:p>
        </w:tc>
      </w:tr>
      <w:tr w:rsidR="00DD738D" w:rsidTr="0050262D">
        <w:trPr>
          <w:cantSplit/>
          <w:trHeight w:val="510"/>
        </w:trPr>
        <w:tc>
          <w:tcPr>
            <w:tcW w:w="3843" w:type="dxa"/>
            <w:gridSpan w:val="2"/>
            <w:tcBorders>
              <w:top w:val="nil"/>
              <w:left w:val="nil"/>
              <w:bottom w:val="nil"/>
              <w:right w:val="nil"/>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t>编制部门：河北省作家</w:t>
            </w:r>
            <w:r>
              <w:rPr>
                <w:rFonts w:ascii="宋体" w:eastAsia="宋体" w:hAnsi="宋体" w:cs="宋体"/>
                <w:kern w:val="0"/>
                <w:sz w:val="22"/>
              </w:rPr>
              <w:t>协会</w:t>
            </w:r>
          </w:p>
        </w:tc>
        <w:tc>
          <w:tcPr>
            <w:tcW w:w="4677" w:type="dxa"/>
            <w:tcBorders>
              <w:top w:val="nil"/>
              <w:left w:val="nil"/>
              <w:bottom w:val="nil"/>
              <w:right w:val="nil"/>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t xml:space="preserve">截止时间：2019年12月31日  </w:t>
            </w:r>
          </w:p>
        </w:tc>
      </w:tr>
      <w:tr w:rsidR="00DD738D" w:rsidTr="0050262D">
        <w:trPr>
          <w:cantSplit/>
          <w:trHeight w:val="64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DD738D" w:rsidRDefault="000E22A8">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1418" w:type="dxa"/>
            <w:tcBorders>
              <w:top w:val="single" w:sz="4" w:space="0" w:color="auto"/>
              <w:left w:val="nil"/>
              <w:bottom w:val="single" w:sz="4" w:space="0" w:color="auto"/>
              <w:right w:val="single" w:sz="4" w:space="0" w:color="auto"/>
            </w:tcBorders>
            <w:shd w:val="clear" w:color="auto" w:fill="auto"/>
            <w:vAlign w:val="center"/>
          </w:tcPr>
          <w:p w:rsidR="00DD738D" w:rsidRDefault="000E22A8">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4677" w:type="dxa"/>
            <w:tcBorders>
              <w:top w:val="single" w:sz="4" w:space="0" w:color="auto"/>
              <w:left w:val="nil"/>
              <w:bottom w:val="single" w:sz="4" w:space="0" w:color="auto"/>
              <w:right w:val="single" w:sz="4" w:space="0" w:color="auto"/>
            </w:tcBorders>
            <w:shd w:val="clear" w:color="auto" w:fill="auto"/>
            <w:vAlign w:val="center"/>
          </w:tcPr>
          <w:p w:rsidR="00DD738D" w:rsidRDefault="000E22A8">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DD738D" w:rsidTr="0050262D">
        <w:trPr>
          <w:cantSplit/>
          <w:trHeight w:val="645"/>
        </w:trPr>
        <w:tc>
          <w:tcPr>
            <w:tcW w:w="2425" w:type="dxa"/>
            <w:tcBorders>
              <w:top w:val="nil"/>
              <w:left w:val="single" w:sz="4" w:space="0" w:color="auto"/>
              <w:bottom w:val="single" w:sz="4" w:space="0" w:color="auto"/>
              <w:right w:val="single" w:sz="4" w:space="0" w:color="auto"/>
            </w:tcBorders>
            <w:shd w:val="clear" w:color="auto" w:fill="auto"/>
            <w:vAlign w:val="center"/>
          </w:tcPr>
          <w:p w:rsidR="00DD738D" w:rsidRDefault="000E22A8">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1418" w:type="dxa"/>
            <w:tcBorders>
              <w:top w:val="nil"/>
              <w:left w:val="nil"/>
              <w:bottom w:val="single" w:sz="4" w:space="0" w:color="auto"/>
              <w:right w:val="single" w:sz="4" w:space="0" w:color="auto"/>
            </w:tcBorders>
            <w:shd w:val="clear" w:color="auto" w:fill="auto"/>
            <w:vAlign w:val="center"/>
          </w:tcPr>
          <w:p w:rsidR="00DD738D" w:rsidRDefault="000E22A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w:t>
            </w:r>
          </w:p>
        </w:tc>
        <w:tc>
          <w:tcPr>
            <w:tcW w:w="4677" w:type="dxa"/>
            <w:tcBorders>
              <w:top w:val="nil"/>
              <w:left w:val="nil"/>
              <w:bottom w:val="single" w:sz="4" w:space="0" w:color="auto"/>
              <w:right w:val="single" w:sz="4" w:space="0" w:color="auto"/>
            </w:tcBorders>
            <w:shd w:val="clear" w:color="auto" w:fill="auto"/>
            <w:vAlign w:val="center"/>
          </w:tcPr>
          <w:p w:rsidR="00DD738D" w:rsidRDefault="000E22A8">
            <w:pPr>
              <w:widowControl/>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59</w:t>
            </w:r>
            <w:r>
              <w:rPr>
                <w:rFonts w:ascii="Times New Roman" w:eastAsia="宋体" w:hAnsi="Times New Roman" w:cs="Times New Roman"/>
                <w:kern w:val="0"/>
                <w:sz w:val="22"/>
              </w:rPr>
              <w:t>9</w:t>
            </w:r>
            <w:r>
              <w:rPr>
                <w:rFonts w:ascii="Times New Roman" w:eastAsia="宋体" w:hAnsi="Times New Roman" w:cs="Times New Roman" w:hint="eastAsia"/>
                <w:kern w:val="0"/>
                <w:sz w:val="22"/>
              </w:rPr>
              <w:t>5.62</w:t>
            </w:r>
          </w:p>
        </w:tc>
      </w:tr>
      <w:tr w:rsidR="00DD738D" w:rsidTr="0050262D">
        <w:trPr>
          <w:cantSplit/>
          <w:trHeight w:val="645"/>
        </w:trPr>
        <w:tc>
          <w:tcPr>
            <w:tcW w:w="2425" w:type="dxa"/>
            <w:tcBorders>
              <w:top w:val="nil"/>
              <w:left w:val="single" w:sz="4" w:space="0" w:color="auto"/>
              <w:bottom w:val="single" w:sz="4" w:space="0" w:color="auto"/>
              <w:right w:val="single" w:sz="4" w:space="0" w:color="auto"/>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1418"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hint="eastAsia"/>
                <w:sz w:val="22"/>
              </w:rPr>
              <w:t>9700</w:t>
            </w:r>
          </w:p>
        </w:tc>
        <w:tc>
          <w:tcPr>
            <w:tcW w:w="4677"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hint="eastAsia"/>
                <w:sz w:val="22"/>
              </w:rPr>
              <w:t>5577.44</w:t>
            </w:r>
          </w:p>
        </w:tc>
      </w:tr>
      <w:tr w:rsidR="00DD738D" w:rsidTr="0050262D">
        <w:trPr>
          <w:cantSplit/>
          <w:trHeight w:val="645"/>
        </w:trPr>
        <w:tc>
          <w:tcPr>
            <w:tcW w:w="2425" w:type="dxa"/>
            <w:tcBorders>
              <w:top w:val="nil"/>
              <w:left w:val="single" w:sz="4" w:space="0" w:color="auto"/>
              <w:bottom w:val="single" w:sz="4" w:space="0" w:color="auto"/>
              <w:right w:val="single" w:sz="4" w:space="0" w:color="auto"/>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1418"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hint="eastAsia"/>
                <w:sz w:val="22"/>
              </w:rPr>
              <w:t>9700</w:t>
            </w:r>
          </w:p>
        </w:tc>
        <w:tc>
          <w:tcPr>
            <w:tcW w:w="4677"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hint="eastAsia"/>
                <w:sz w:val="22"/>
              </w:rPr>
              <w:t>5577.44</w:t>
            </w:r>
          </w:p>
        </w:tc>
      </w:tr>
      <w:tr w:rsidR="00DD738D" w:rsidTr="0050262D">
        <w:trPr>
          <w:cantSplit/>
          <w:trHeight w:val="645"/>
        </w:trPr>
        <w:tc>
          <w:tcPr>
            <w:tcW w:w="2425" w:type="dxa"/>
            <w:tcBorders>
              <w:top w:val="nil"/>
              <w:left w:val="single" w:sz="4" w:space="0" w:color="auto"/>
              <w:bottom w:val="single" w:sz="4" w:space="0" w:color="auto"/>
              <w:right w:val="single" w:sz="4" w:space="0" w:color="auto"/>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1418"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hint="eastAsia"/>
                <w:sz w:val="22"/>
              </w:rPr>
              <w:t>6</w:t>
            </w:r>
            <w:bookmarkStart w:id="11" w:name="_GoBack"/>
            <w:bookmarkEnd w:id="11"/>
          </w:p>
        </w:tc>
        <w:tc>
          <w:tcPr>
            <w:tcW w:w="4677"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hint="eastAsia"/>
                <w:sz w:val="22"/>
              </w:rPr>
              <w:t>159.16</w:t>
            </w:r>
          </w:p>
        </w:tc>
      </w:tr>
      <w:tr w:rsidR="00DD738D" w:rsidTr="0050262D">
        <w:trPr>
          <w:cantSplit/>
          <w:trHeight w:val="645"/>
        </w:trPr>
        <w:tc>
          <w:tcPr>
            <w:tcW w:w="2425" w:type="dxa"/>
            <w:tcBorders>
              <w:top w:val="nil"/>
              <w:left w:val="single" w:sz="4" w:space="0" w:color="auto"/>
              <w:bottom w:val="single" w:sz="4" w:space="0" w:color="auto"/>
              <w:right w:val="single" w:sz="4" w:space="0" w:color="auto"/>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lastRenderedPageBreak/>
              <w:t>3、单价在20万元以上的设备</w:t>
            </w:r>
          </w:p>
        </w:tc>
        <w:tc>
          <w:tcPr>
            <w:tcW w:w="1418" w:type="dxa"/>
            <w:tcBorders>
              <w:top w:val="nil"/>
              <w:left w:val="nil"/>
              <w:bottom w:val="single" w:sz="4" w:space="0" w:color="auto"/>
              <w:right w:val="single" w:sz="4" w:space="0" w:color="auto"/>
            </w:tcBorders>
            <w:shd w:val="clear" w:color="auto" w:fill="auto"/>
            <w:vAlign w:val="center"/>
          </w:tcPr>
          <w:p w:rsidR="00DD738D" w:rsidRDefault="00DD738D">
            <w:pPr>
              <w:jc w:val="center"/>
              <w:rPr>
                <w:rFonts w:ascii="Times New Roman" w:hAnsi="Times New Roman" w:cs="Times New Roman"/>
                <w:sz w:val="22"/>
              </w:rPr>
            </w:pPr>
          </w:p>
        </w:tc>
        <w:tc>
          <w:tcPr>
            <w:tcW w:w="4677" w:type="dxa"/>
            <w:tcBorders>
              <w:top w:val="nil"/>
              <w:left w:val="nil"/>
              <w:bottom w:val="single" w:sz="4" w:space="0" w:color="auto"/>
              <w:right w:val="single" w:sz="4" w:space="0" w:color="auto"/>
            </w:tcBorders>
            <w:shd w:val="clear" w:color="auto" w:fill="auto"/>
            <w:vAlign w:val="center"/>
          </w:tcPr>
          <w:p w:rsidR="00DD738D" w:rsidRDefault="00DD738D">
            <w:pPr>
              <w:jc w:val="center"/>
              <w:rPr>
                <w:rFonts w:ascii="Times New Roman" w:hAnsi="Times New Roman" w:cs="Times New Roman"/>
                <w:sz w:val="22"/>
              </w:rPr>
            </w:pPr>
          </w:p>
        </w:tc>
      </w:tr>
      <w:tr w:rsidR="00DD738D" w:rsidTr="0050262D">
        <w:trPr>
          <w:cantSplit/>
          <w:trHeight w:val="645"/>
        </w:trPr>
        <w:tc>
          <w:tcPr>
            <w:tcW w:w="2425" w:type="dxa"/>
            <w:tcBorders>
              <w:top w:val="nil"/>
              <w:left w:val="single" w:sz="4" w:space="0" w:color="auto"/>
              <w:bottom w:val="single" w:sz="4" w:space="0" w:color="auto"/>
              <w:right w:val="single" w:sz="4" w:space="0" w:color="auto"/>
            </w:tcBorders>
            <w:shd w:val="clear" w:color="auto" w:fill="auto"/>
            <w:vAlign w:val="center"/>
          </w:tcPr>
          <w:p w:rsidR="00DD738D" w:rsidRDefault="000E22A8">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1418" w:type="dxa"/>
            <w:tcBorders>
              <w:top w:val="nil"/>
              <w:left w:val="nil"/>
              <w:bottom w:val="single" w:sz="4" w:space="0" w:color="auto"/>
              <w:right w:val="single" w:sz="4" w:space="0" w:color="auto"/>
            </w:tcBorders>
            <w:shd w:val="clear" w:color="auto" w:fill="auto"/>
            <w:vAlign w:val="center"/>
          </w:tcPr>
          <w:p w:rsidR="00DD738D" w:rsidRDefault="00DD738D">
            <w:pPr>
              <w:jc w:val="center"/>
              <w:rPr>
                <w:rFonts w:ascii="Times New Roman" w:hAnsi="Times New Roman" w:cs="Times New Roman"/>
                <w:sz w:val="22"/>
              </w:rPr>
            </w:pPr>
          </w:p>
        </w:tc>
        <w:tc>
          <w:tcPr>
            <w:tcW w:w="4677" w:type="dxa"/>
            <w:tcBorders>
              <w:top w:val="nil"/>
              <w:left w:val="nil"/>
              <w:bottom w:val="single" w:sz="4" w:space="0" w:color="auto"/>
              <w:right w:val="single" w:sz="4" w:space="0" w:color="auto"/>
            </w:tcBorders>
            <w:shd w:val="clear" w:color="auto" w:fill="auto"/>
            <w:vAlign w:val="center"/>
          </w:tcPr>
          <w:p w:rsidR="00DD738D" w:rsidRDefault="000E22A8">
            <w:pPr>
              <w:jc w:val="center"/>
              <w:rPr>
                <w:rFonts w:ascii="Times New Roman" w:hAnsi="Times New Roman" w:cs="Times New Roman"/>
                <w:sz w:val="22"/>
              </w:rPr>
            </w:pPr>
            <w:r>
              <w:rPr>
                <w:rFonts w:ascii="Times New Roman" w:hAnsi="Times New Roman" w:cs="Times New Roman"/>
                <w:sz w:val="22"/>
              </w:rPr>
              <w:t>259.02</w:t>
            </w:r>
          </w:p>
        </w:tc>
      </w:tr>
    </w:tbl>
    <w:p w:rsidR="00DD738D" w:rsidRDefault="000E22A8">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指省级财政当年拨付的资金。</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DD738D" w:rsidRDefault="000E22A8" w:rsidP="00765349">
      <w:pPr>
        <w:tabs>
          <w:tab w:val="left" w:pos="11490"/>
        </w:tabs>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6</w:t>
      </w:r>
      <w:r>
        <w:rPr>
          <w:rFonts w:ascii="Times New Roman" w:eastAsia="方正仿宋_GBK" w:hAnsi="Times New Roman" w:cs="Times New Roman"/>
          <w:b/>
          <w:sz w:val="32"/>
          <w:szCs w:val="32"/>
        </w:rPr>
        <w:t>、上缴上级支出：</w:t>
      </w:r>
      <w:r>
        <w:rPr>
          <w:rFonts w:ascii="Times New Roman" w:eastAsia="方正仿宋_GBK" w:hAnsi="Times New Roman" w:cs="Times New Roman" w:hint="eastAsia"/>
          <w:sz w:val="32"/>
          <w:szCs w:val="32"/>
        </w:rPr>
        <w:t>指下级单位上缴上级的支出。</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7</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费和公务接待费。其中，因公出国（境）费反映单位公务出国（境）的住宿费、旅费、伙食补助费、杂费、培训费等支出；公务用车购置及运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费反映单位公务用车购置费及租用费、燃料费、维修费、过路过桥费、保险费、安全奖励费用等支出；公务接待费反映单位按规定开支的各类</w:t>
      </w:r>
      <w:r>
        <w:rPr>
          <w:rFonts w:ascii="Times New Roman" w:eastAsia="方正仿宋_GBK" w:hAnsi="Times New Roman" w:cs="Times New Roman"/>
          <w:sz w:val="32"/>
          <w:szCs w:val="32"/>
        </w:rPr>
        <w:lastRenderedPageBreak/>
        <w:t>公务接待（含外宾接待）支出。</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sz w:val="32"/>
          <w:szCs w:val="32"/>
        </w:rPr>
        <w:t>8</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9</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DD738D" w:rsidRDefault="000E22A8" w:rsidP="00765349">
      <w:pPr>
        <w:tabs>
          <w:tab w:val="left" w:pos="11490"/>
        </w:tabs>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10</w:t>
      </w:r>
      <w:r>
        <w:rPr>
          <w:rFonts w:ascii="Times New Roman" w:eastAsia="方正仿宋_GBK" w:hAnsi="Times New Roman" w:cs="Times New Roman" w:hint="eastAsia"/>
          <w:b/>
          <w:sz w:val="32"/>
          <w:szCs w:val="32"/>
        </w:rPr>
        <w:t>、事业单位经营支出：</w:t>
      </w:r>
      <w:r>
        <w:rPr>
          <w:rFonts w:ascii="Times New Roman" w:eastAsia="方正仿宋_GBK" w:hAnsi="Times New Roman" w:cs="Times New Roman" w:hint="eastAsia"/>
          <w:sz w:val="32"/>
          <w:szCs w:val="32"/>
        </w:rPr>
        <w:t>指事业单位在专业业务活动及其辅助活动之外开展非独立核算经营活动发生的支出。</w:t>
      </w:r>
    </w:p>
    <w:p w:rsidR="00DD738D" w:rsidRDefault="000E22A8">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DD738D" w:rsidRDefault="000E22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我部门无其他需要说明的事项。</w:t>
      </w:r>
    </w:p>
    <w:sectPr w:rsidR="00DD7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A7" w:rsidRDefault="002311A7" w:rsidP="00535EF9">
      <w:r>
        <w:separator/>
      </w:r>
    </w:p>
  </w:endnote>
  <w:endnote w:type="continuationSeparator" w:id="0">
    <w:p w:rsidR="002311A7" w:rsidRDefault="002311A7" w:rsidP="0053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A7" w:rsidRDefault="002311A7" w:rsidP="00535EF9">
      <w:r>
        <w:separator/>
      </w:r>
    </w:p>
  </w:footnote>
  <w:footnote w:type="continuationSeparator" w:id="0">
    <w:p w:rsidR="002311A7" w:rsidRDefault="002311A7" w:rsidP="00535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05D0"/>
    <w:rsid w:val="0004257D"/>
    <w:rsid w:val="00042F57"/>
    <w:rsid w:val="0006483E"/>
    <w:rsid w:val="00075D5F"/>
    <w:rsid w:val="0008102F"/>
    <w:rsid w:val="00087AAF"/>
    <w:rsid w:val="000B529B"/>
    <w:rsid w:val="000C10E1"/>
    <w:rsid w:val="000C3A19"/>
    <w:rsid w:val="000E22A8"/>
    <w:rsid w:val="000E617A"/>
    <w:rsid w:val="00104D5C"/>
    <w:rsid w:val="001245BB"/>
    <w:rsid w:val="00124A91"/>
    <w:rsid w:val="001251A3"/>
    <w:rsid w:val="00146AA7"/>
    <w:rsid w:val="0017239C"/>
    <w:rsid w:val="001B4EF3"/>
    <w:rsid w:val="001B5B76"/>
    <w:rsid w:val="001F0C1C"/>
    <w:rsid w:val="001F7873"/>
    <w:rsid w:val="002311A7"/>
    <w:rsid w:val="00241FD4"/>
    <w:rsid w:val="00251B12"/>
    <w:rsid w:val="00296113"/>
    <w:rsid w:val="002A673A"/>
    <w:rsid w:val="002C07BE"/>
    <w:rsid w:val="002C5E13"/>
    <w:rsid w:val="002C62BC"/>
    <w:rsid w:val="002C7DF9"/>
    <w:rsid w:val="002E0EB8"/>
    <w:rsid w:val="002E1920"/>
    <w:rsid w:val="002F126F"/>
    <w:rsid w:val="002F3E58"/>
    <w:rsid w:val="0030542C"/>
    <w:rsid w:val="00311B7A"/>
    <w:rsid w:val="00372FA3"/>
    <w:rsid w:val="003D24CB"/>
    <w:rsid w:val="003D2C83"/>
    <w:rsid w:val="003D417F"/>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E3066"/>
    <w:rsid w:val="004E74CD"/>
    <w:rsid w:val="0050262D"/>
    <w:rsid w:val="005069C1"/>
    <w:rsid w:val="00516E04"/>
    <w:rsid w:val="00535EF9"/>
    <w:rsid w:val="00565588"/>
    <w:rsid w:val="00572067"/>
    <w:rsid w:val="00573562"/>
    <w:rsid w:val="00590ECE"/>
    <w:rsid w:val="00592ADD"/>
    <w:rsid w:val="005A2F44"/>
    <w:rsid w:val="00602878"/>
    <w:rsid w:val="00614A29"/>
    <w:rsid w:val="00643AA7"/>
    <w:rsid w:val="00673D76"/>
    <w:rsid w:val="00674CD7"/>
    <w:rsid w:val="006854F0"/>
    <w:rsid w:val="0069624B"/>
    <w:rsid w:val="006B1C4A"/>
    <w:rsid w:val="006B610D"/>
    <w:rsid w:val="006C3067"/>
    <w:rsid w:val="006D2233"/>
    <w:rsid w:val="006E49F5"/>
    <w:rsid w:val="006E7E97"/>
    <w:rsid w:val="007013C8"/>
    <w:rsid w:val="00717B1E"/>
    <w:rsid w:val="00740D8B"/>
    <w:rsid w:val="00753836"/>
    <w:rsid w:val="0075393C"/>
    <w:rsid w:val="00754592"/>
    <w:rsid w:val="00765349"/>
    <w:rsid w:val="0077207E"/>
    <w:rsid w:val="00776C08"/>
    <w:rsid w:val="00786726"/>
    <w:rsid w:val="007C180B"/>
    <w:rsid w:val="007C219A"/>
    <w:rsid w:val="007C4F9B"/>
    <w:rsid w:val="007E1DA8"/>
    <w:rsid w:val="007F6C26"/>
    <w:rsid w:val="00813208"/>
    <w:rsid w:val="008334AE"/>
    <w:rsid w:val="00836FED"/>
    <w:rsid w:val="0083724E"/>
    <w:rsid w:val="00845CD2"/>
    <w:rsid w:val="008461E9"/>
    <w:rsid w:val="00852B0D"/>
    <w:rsid w:val="0086664C"/>
    <w:rsid w:val="00881692"/>
    <w:rsid w:val="00883D1A"/>
    <w:rsid w:val="008A25C2"/>
    <w:rsid w:val="008A6576"/>
    <w:rsid w:val="008B3CC5"/>
    <w:rsid w:val="008B52CD"/>
    <w:rsid w:val="008E4261"/>
    <w:rsid w:val="008F4662"/>
    <w:rsid w:val="00905D08"/>
    <w:rsid w:val="00925753"/>
    <w:rsid w:val="00930F7A"/>
    <w:rsid w:val="009425F4"/>
    <w:rsid w:val="00966C5C"/>
    <w:rsid w:val="00973104"/>
    <w:rsid w:val="00995BF0"/>
    <w:rsid w:val="009A16D5"/>
    <w:rsid w:val="009A353D"/>
    <w:rsid w:val="009B0B77"/>
    <w:rsid w:val="009B511E"/>
    <w:rsid w:val="009E7D5E"/>
    <w:rsid w:val="00A02FED"/>
    <w:rsid w:val="00A3211D"/>
    <w:rsid w:val="00A44E3D"/>
    <w:rsid w:val="00A62942"/>
    <w:rsid w:val="00A72D2E"/>
    <w:rsid w:val="00A74447"/>
    <w:rsid w:val="00A74CE5"/>
    <w:rsid w:val="00A911E7"/>
    <w:rsid w:val="00A939D9"/>
    <w:rsid w:val="00B00E89"/>
    <w:rsid w:val="00B07D9E"/>
    <w:rsid w:val="00B20712"/>
    <w:rsid w:val="00B43238"/>
    <w:rsid w:val="00B450AA"/>
    <w:rsid w:val="00B45DD3"/>
    <w:rsid w:val="00B52632"/>
    <w:rsid w:val="00B727A9"/>
    <w:rsid w:val="00B75216"/>
    <w:rsid w:val="00B91D52"/>
    <w:rsid w:val="00B9490F"/>
    <w:rsid w:val="00BA1ACD"/>
    <w:rsid w:val="00BA534E"/>
    <w:rsid w:val="00BD09F8"/>
    <w:rsid w:val="00BD4B2D"/>
    <w:rsid w:val="00BE0E8E"/>
    <w:rsid w:val="00C0360F"/>
    <w:rsid w:val="00C54306"/>
    <w:rsid w:val="00CA7176"/>
    <w:rsid w:val="00CB3D48"/>
    <w:rsid w:val="00CB4665"/>
    <w:rsid w:val="00CC75B0"/>
    <w:rsid w:val="00CD2773"/>
    <w:rsid w:val="00CD31CC"/>
    <w:rsid w:val="00CD7D6C"/>
    <w:rsid w:val="00CE143B"/>
    <w:rsid w:val="00D0024A"/>
    <w:rsid w:val="00D27003"/>
    <w:rsid w:val="00D71B25"/>
    <w:rsid w:val="00DA7AD6"/>
    <w:rsid w:val="00DB4A9B"/>
    <w:rsid w:val="00DD738D"/>
    <w:rsid w:val="00DE0873"/>
    <w:rsid w:val="00E14AEB"/>
    <w:rsid w:val="00E167C7"/>
    <w:rsid w:val="00E2482E"/>
    <w:rsid w:val="00E273A5"/>
    <w:rsid w:val="00E41AAA"/>
    <w:rsid w:val="00E602ED"/>
    <w:rsid w:val="00E61DF2"/>
    <w:rsid w:val="00E73D47"/>
    <w:rsid w:val="00E7682C"/>
    <w:rsid w:val="00E97A6B"/>
    <w:rsid w:val="00EC47F6"/>
    <w:rsid w:val="00EE65B8"/>
    <w:rsid w:val="00EF5B96"/>
    <w:rsid w:val="00F149E2"/>
    <w:rsid w:val="00F159B6"/>
    <w:rsid w:val="00F66032"/>
    <w:rsid w:val="00F728BF"/>
    <w:rsid w:val="00F87C1E"/>
    <w:rsid w:val="00F958C2"/>
    <w:rsid w:val="00FA3D33"/>
    <w:rsid w:val="00FA5034"/>
    <w:rsid w:val="00FE75D7"/>
    <w:rsid w:val="5DE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unhideWhenUsed/>
    <w:pPr>
      <w:snapToGrid w:val="0"/>
      <w:jc w:val="left"/>
    </w:pPr>
    <w:rPr>
      <w:rFonts w:ascii="Calibri" w:eastAsia="宋体" w:hAnsi="Calibri" w:cs="Times New Roman"/>
      <w:sz w:val="18"/>
      <w:szCs w:val="18"/>
    </w:rPr>
  </w:style>
  <w:style w:type="paragraph" w:styleId="2">
    <w:name w:val="toc 2"/>
    <w:basedOn w:val="a"/>
    <w:next w:val="a"/>
    <w:uiPriority w:val="39"/>
    <w:pPr>
      <w:ind w:leftChars="200" w:left="420"/>
    </w:pPr>
    <w:rPr>
      <w:rFonts w:ascii="Times New Roman" w:eastAsia="宋体" w:hAnsi="Times New Roman" w:cs="Times New Roman"/>
      <w:szCs w:val="24"/>
    </w:rPr>
  </w:style>
  <w:style w:type="character" w:styleId="a7">
    <w:name w:val="page number"/>
    <w:uiPriority w:val="99"/>
    <w:unhideWhenUsed/>
  </w:style>
  <w:style w:type="character" w:styleId="a8">
    <w:name w:val="Hyperlink"/>
    <w:uiPriority w:val="99"/>
    <w:unhideWhenUsed/>
    <w:rPr>
      <w:color w:val="0000FF"/>
      <w:u w:val="single"/>
    </w:rPr>
  </w:style>
  <w:style w:type="character" w:styleId="a9">
    <w:name w:val="footnote reference"/>
    <w:uiPriority w:val="99"/>
    <w:unhideWhenUsed/>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rPr>
      <w:rFonts w:ascii="Times New Roman" w:eastAsia="宋体" w:hAnsi="Times New Roman" w:cs="Times New Roman"/>
      <w:szCs w:val="24"/>
    </w:rPr>
  </w:style>
  <w:style w:type="paragraph" w:styleId="a6">
    <w:name w:val="footnote text"/>
    <w:basedOn w:val="a"/>
    <w:link w:val="Char2"/>
    <w:uiPriority w:val="99"/>
    <w:unhideWhenUsed/>
    <w:pPr>
      <w:snapToGrid w:val="0"/>
      <w:jc w:val="left"/>
    </w:pPr>
    <w:rPr>
      <w:rFonts w:ascii="Calibri" w:eastAsia="宋体" w:hAnsi="Calibri" w:cs="Times New Roman"/>
      <w:sz w:val="18"/>
      <w:szCs w:val="18"/>
    </w:rPr>
  </w:style>
  <w:style w:type="paragraph" w:styleId="2">
    <w:name w:val="toc 2"/>
    <w:basedOn w:val="a"/>
    <w:next w:val="a"/>
    <w:uiPriority w:val="39"/>
    <w:pPr>
      <w:ind w:leftChars="200" w:left="420"/>
    </w:pPr>
    <w:rPr>
      <w:rFonts w:ascii="Times New Roman" w:eastAsia="宋体" w:hAnsi="Times New Roman" w:cs="Times New Roman"/>
      <w:szCs w:val="24"/>
    </w:rPr>
  </w:style>
  <w:style w:type="character" w:styleId="a7">
    <w:name w:val="page number"/>
    <w:uiPriority w:val="99"/>
    <w:unhideWhenUsed/>
  </w:style>
  <w:style w:type="character" w:styleId="a8">
    <w:name w:val="Hyperlink"/>
    <w:uiPriority w:val="99"/>
    <w:unhideWhenUsed/>
    <w:rPr>
      <w:color w:val="0000FF"/>
      <w:u w:val="single"/>
    </w:rPr>
  </w:style>
  <w:style w:type="character" w:styleId="a9">
    <w:name w:val="footnote reference"/>
    <w:uiPriority w:val="99"/>
    <w:unhideWhenUsed/>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0DF38-B36B-4F73-A837-C9192387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1625</Words>
  <Characters>9265</Characters>
  <Application>Microsoft Office Word</Application>
  <DocSecurity>0</DocSecurity>
  <Lines>77</Lines>
  <Paragraphs>21</Paragraphs>
  <ScaleCrop>false</ScaleCrop>
  <Company>Microsoft</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3</cp:revision>
  <cp:lastPrinted>2017-11-09T01:12:00Z</cp:lastPrinted>
  <dcterms:created xsi:type="dcterms:W3CDTF">2020-01-10T07:21:00Z</dcterms:created>
  <dcterms:modified xsi:type="dcterms:W3CDTF">2020-01-10T10:23:00Z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