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D3A1C">
      <w:pPr>
        <w:pageBreakBefore w:val="0"/>
        <w:kinsoku/>
        <w:wordWrap/>
        <w:overflowPunct/>
        <w:topLinePunct w:val="0"/>
        <w:autoSpaceDE/>
        <w:autoSpaceDN/>
        <w:bidi w:val="0"/>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附件1</w:t>
      </w:r>
    </w:p>
    <w:p w14:paraId="7677B651">
      <w:pPr>
        <w:autoSpaceDE w:val="0"/>
        <w:autoSpaceDN w:val="0"/>
        <w:adjustRightInd w:val="0"/>
        <w:spacing w:line="579" w:lineRule="exact"/>
        <w:jc w:val="center"/>
        <w:outlineLvl w:val="0"/>
        <w:rPr>
          <w:rFonts w:hint="eastAsia" w:ascii="宋体" w:hAnsi="宋体" w:eastAsia="宋体" w:cs="宋体"/>
          <w:b w:val="0"/>
          <w:bCs w:val="0"/>
          <w:kern w:val="0"/>
          <w:sz w:val="44"/>
          <w:szCs w:val="44"/>
          <w:lang w:eastAsia="zh-CN"/>
        </w:rPr>
      </w:pPr>
    </w:p>
    <w:p w14:paraId="72412B01">
      <w:pPr>
        <w:autoSpaceDE w:val="0"/>
        <w:autoSpaceDN w:val="0"/>
        <w:adjustRightInd w:val="0"/>
        <w:spacing w:line="579" w:lineRule="exact"/>
        <w:jc w:val="center"/>
        <w:outlineLvl w:val="0"/>
        <w:rPr>
          <w:rFonts w:hint="eastAsia" w:ascii="宋体" w:hAnsi="宋体" w:eastAsia="宋体" w:cs="宋体"/>
          <w:b w:val="0"/>
          <w:bCs w:val="0"/>
          <w:kern w:val="0"/>
          <w:sz w:val="44"/>
          <w:szCs w:val="44"/>
          <w:lang w:eastAsia="zh-CN"/>
        </w:rPr>
      </w:pPr>
      <w:r>
        <w:rPr>
          <w:rFonts w:hint="eastAsia" w:ascii="宋体" w:hAnsi="宋体" w:eastAsia="宋体" w:cs="宋体"/>
          <w:b w:val="0"/>
          <w:bCs w:val="0"/>
          <w:kern w:val="0"/>
          <w:sz w:val="44"/>
          <w:szCs w:val="44"/>
          <w:lang w:eastAsia="zh-CN"/>
        </w:rPr>
        <w:t>政府采购违法行为风险知悉确认书</w:t>
      </w:r>
    </w:p>
    <w:p w14:paraId="67BDDB1F">
      <w:pPr>
        <w:numPr>
          <w:ilvl w:val="0"/>
          <w:numId w:val="0"/>
        </w:numPr>
        <w:spacing w:line="579" w:lineRule="exact"/>
        <w:ind w:firstLine="640" w:firstLineChars="200"/>
        <w:rPr>
          <w:rFonts w:hint="eastAsia" w:ascii="宋体" w:hAnsi="宋体" w:eastAsia="宋体" w:cs="宋体"/>
          <w:sz w:val="32"/>
          <w:szCs w:val="32"/>
          <w:lang w:val="en-US" w:eastAsia="zh-CN"/>
        </w:rPr>
      </w:pPr>
    </w:p>
    <w:p w14:paraId="78BE6318">
      <w:pPr>
        <w:numPr>
          <w:ilvl w:val="0"/>
          <w:numId w:val="0"/>
        </w:numPr>
        <w:spacing w:line="579" w:lineRule="exact"/>
        <w:ind w:firstLine="640" w:firstLineChars="200"/>
        <w:rPr>
          <w:rFonts w:hint="eastAsia" w:ascii="宋体" w:hAnsi="宋体" w:eastAsia="宋体" w:cs="宋体"/>
          <w:b w:val="0"/>
          <w:bCs w:val="0"/>
          <w:kern w:val="0"/>
          <w:sz w:val="32"/>
          <w:szCs w:val="32"/>
          <w:lang w:eastAsia="zh-CN"/>
        </w:rPr>
      </w:pPr>
      <w:r>
        <w:rPr>
          <w:rFonts w:hint="eastAsia" w:ascii="宋体" w:hAnsi="宋体" w:eastAsia="宋体" w:cs="宋体"/>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09A7662A">
      <w:pPr>
        <w:numPr>
          <w:ilvl w:val="0"/>
          <w:numId w:val="0"/>
        </w:numPr>
        <w:spacing w:line="579" w:lineRule="exact"/>
        <w:ind w:firstLine="643" w:firstLineChars="20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一、本公司已充分知悉“隐瞒真实情况，提供虚假</w:t>
      </w:r>
      <w:r>
        <w:rPr>
          <w:rFonts w:hint="eastAsia" w:ascii="宋体" w:hAnsi="宋体" w:eastAsia="宋体" w:cs="宋体"/>
          <w:b/>
          <w:bCs/>
          <w:sz w:val="32"/>
          <w:szCs w:val="32"/>
          <w:highlight w:val="none"/>
          <w:lang w:val="en-US" w:eastAsia="zh-CN"/>
        </w:rPr>
        <w:t>资料</w:t>
      </w:r>
      <w:r>
        <w:rPr>
          <w:rFonts w:hint="eastAsia" w:ascii="宋体" w:hAnsi="宋体" w:eastAsia="宋体" w:cs="宋体"/>
          <w:b/>
          <w:bCs/>
          <w:sz w:val="32"/>
          <w:szCs w:val="32"/>
          <w:lang w:val="en-US" w:eastAsia="zh-CN"/>
        </w:rPr>
        <w:t>”的法定情形，相关情形包括但不限于</w:t>
      </w:r>
      <w:r>
        <w:rPr>
          <w:rFonts w:hint="eastAsia" w:ascii="宋体" w:hAnsi="宋体" w:eastAsia="宋体" w:cs="宋体"/>
          <w:sz w:val="32"/>
          <w:szCs w:val="32"/>
          <w:lang w:val="en-US" w:eastAsia="zh-CN"/>
        </w:rPr>
        <w:t>：</w:t>
      </w:r>
    </w:p>
    <w:p w14:paraId="5937B838">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（一）通过转让或者租借等方式从其他单位获取资格或者资质证书投标的。</w:t>
      </w:r>
    </w:p>
    <w:p w14:paraId="026B867A">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（二）由其他单位或者其他单位负责人在投标供应商编制的投标文件上加盖印章或者签字的。</w:t>
      </w:r>
    </w:p>
    <w:p w14:paraId="55DDF6AF">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（三）项目负责人或者主要技术人员不是本单位人员的。</w:t>
      </w:r>
    </w:p>
    <w:p w14:paraId="26AF0440">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（四）投标保证金不是从投标供应商基本账户转出的。</w:t>
      </w:r>
    </w:p>
    <w:p w14:paraId="1BB552A2">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（五）其他隐瞒真实情况、提供虚假资料的行为。</w:t>
      </w:r>
    </w:p>
    <w:p w14:paraId="1D45F608">
      <w:pPr>
        <w:numPr>
          <w:ilvl w:val="0"/>
          <w:numId w:val="0"/>
        </w:numPr>
        <w:spacing w:line="579" w:lineRule="exact"/>
        <w:ind w:firstLine="643" w:firstLineChars="20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二、本公司已充分知悉“与其他采购参加人串通投标”的法定情形，相关情形包括但不限于：</w:t>
      </w:r>
    </w:p>
    <w:p w14:paraId="6A7CF4BA">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（一）投标供应商之间相互约定给予未中标的供应商利益补偿。 </w:t>
      </w:r>
    </w:p>
    <w:p w14:paraId="68C51C20">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（二）不同投标供应商的法定代表人、主要经营负责人、项目投标授权代表人、项目负责人、主要技术人员为同一人、属同一单位或者在同一单位缴纳社会保险。</w:t>
      </w:r>
    </w:p>
    <w:p w14:paraId="3C5E626B">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（三）不同投标供应商的投标文件由同一单位或者同一人编制，或者由同一人分阶段参与编制的。</w:t>
      </w:r>
    </w:p>
    <w:p w14:paraId="2B58C9F0">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（四）不同投标供应商的投标文件或部分投标文件相互混装。</w:t>
      </w:r>
    </w:p>
    <w:p w14:paraId="13981E95">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（五）不同投标供应商的投标文件内容存在非正常一致。</w:t>
      </w:r>
    </w:p>
    <w:p w14:paraId="25ADD69A">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（六）由同一单位工作人员为两家以上（含两家）供应商进行同一项投标活动的。</w:t>
      </w:r>
    </w:p>
    <w:p w14:paraId="3C991B6C">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（七）</w:t>
      </w:r>
      <w:r>
        <w:rPr>
          <w:rFonts w:hint="eastAsia" w:ascii="宋体" w:hAnsi="宋体" w:eastAsia="宋体" w:cs="宋体"/>
          <w:b w:val="0"/>
          <w:bCs w:val="0"/>
          <w:sz w:val="32"/>
          <w:szCs w:val="32"/>
          <w:u w:val="none"/>
          <w:lang w:val="en-US" w:eastAsia="zh-CN"/>
        </w:rPr>
        <w:t>不同投标人的投标报价呈规律性差异。</w:t>
      </w:r>
    </w:p>
    <w:p w14:paraId="2D704117">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（八）</w:t>
      </w:r>
      <w:r>
        <w:rPr>
          <w:rFonts w:hint="eastAsia" w:ascii="宋体" w:hAnsi="宋体" w:eastAsia="宋体" w:cs="宋体"/>
          <w:b w:val="0"/>
          <w:bCs w:val="0"/>
          <w:sz w:val="32"/>
          <w:szCs w:val="32"/>
          <w:u w:val="none"/>
          <w:lang w:val="en-US" w:eastAsia="zh-CN"/>
        </w:rPr>
        <w:t>不同投标人的投标保证金从同一单位或者个人的账户转出。</w:t>
      </w:r>
    </w:p>
    <w:p w14:paraId="0F5A9D82">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（九）主管部门依照法律、法规认定的其他情形。</w:t>
      </w:r>
    </w:p>
    <w:p w14:paraId="34D87620">
      <w:pPr>
        <w:numPr>
          <w:ilvl w:val="0"/>
          <w:numId w:val="0"/>
        </w:numPr>
        <w:spacing w:line="579" w:lineRule="exact"/>
        <w:ind w:firstLine="643" w:firstLineChars="200"/>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三、本公司已充分知悉下列情形所对应的法律风险，并在投标前已对相关风险事项进行排查。</w:t>
      </w:r>
    </w:p>
    <w:p w14:paraId="1F44BB32">
      <w:pPr>
        <w:numPr>
          <w:ilvl w:val="0"/>
          <w:numId w:val="0"/>
        </w:numPr>
        <w:spacing w:line="579" w:lineRule="exact"/>
        <w:ind w:firstLine="640" w:firstLineChars="200"/>
        <w:rPr>
          <w:rFonts w:hint="eastAsia" w:ascii="宋体" w:hAnsi="宋体" w:eastAsia="宋体" w:cs="宋体"/>
          <w:b/>
          <w:bCs/>
          <w:sz w:val="32"/>
          <w:szCs w:val="32"/>
          <w:lang w:val="en-US" w:eastAsia="zh-CN"/>
        </w:rPr>
      </w:pPr>
      <w:r>
        <w:rPr>
          <w:rFonts w:hint="eastAsia" w:ascii="宋体" w:hAnsi="宋体" w:eastAsia="宋体" w:cs="宋体"/>
          <w:sz w:val="32"/>
          <w:szCs w:val="32"/>
          <w:lang w:val="en-US" w:eastAsia="zh-CN"/>
        </w:rPr>
        <w:t>（一）对于</w:t>
      </w:r>
      <w:r>
        <w:rPr>
          <w:rFonts w:hint="eastAsia" w:ascii="宋体" w:hAnsi="宋体" w:eastAsia="宋体" w:cs="宋体"/>
          <w:sz w:val="32"/>
          <w:szCs w:val="32"/>
          <w:lang w:eastAsia="zh-CN"/>
        </w:rPr>
        <w:t>从</w:t>
      </w:r>
      <w:r>
        <w:rPr>
          <w:rFonts w:hint="eastAsia" w:ascii="宋体" w:hAnsi="宋体" w:eastAsia="宋体" w:cs="宋体"/>
          <w:sz w:val="32"/>
          <w:szCs w:val="32"/>
          <w:lang w:val="en-US" w:eastAsia="zh-CN"/>
        </w:rPr>
        <w:t>其他主体</w:t>
      </w:r>
      <w:r>
        <w:rPr>
          <w:rFonts w:hint="eastAsia" w:ascii="宋体" w:hAnsi="宋体" w:eastAsia="宋体" w:cs="宋体"/>
          <w:sz w:val="32"/>
          <w:szCs w:val="32"/>
          <w:lang w:eastAsia="zh-CN"/>
        </w:rPr>
        <w:t>获取</w:t>
      </w:r>
      <w:r>
        <w:rPr>
          <w:rFonts w:hint="eastAsia" w:ascii="宋体" w:hAnsi="宋体" w:eastAsia="宋体" w:cs="宋体"/>
          <w:sz w:val="32"/>
          <w:szCs w:val="32"/>
          <w:lang w:val="en-US" w:eastAsia="zh-CN"/>
        </w:rPr>
        <w:t>的投标资料，供应商应审慎核查，确保投标资料的真实性。</w:t>
      </w:r>
      <w:r>
        <w:rPr>
          <w:rFonts w:hint="eastAsia" w:ascii="宋体" w:hAnsi="宋体" w:eastAsia="宋体" w:cs="宋体"/>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200AF31A">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01485CAB">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（三）对于涉及安全生产、特种作业、抢险救灾、防疫等政府采购项目，供应商实施提供虚假资料、串通投标等违法行为的，主管部门将依法从严处理。 </w:t>
      </w:r>
    </w:p>
    <w:p w14:paraId="0EAAF990">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（四）供应商应严格规范项目授权代表、员工参与招标投标的行为，加强对投标文件的审核。项目授权代表、员工</w:t>
      </w:r>
      <w:r>
        <w:rPr>
          <w:rFonts w:hint="eastAsia" w:ascii="宋体" w:hAnsi="宋体" w:eastAsia="宋体" w:cs="宋体"/>
          <w:sz w:val="32"/>
          <w:szCs w:val="32"/>
          <w:lang w:eastAsia="zh-CN"/>
        </w:rPr>
        <w:t>编制、上传</w:t>
      </w:r>
      <w:r>
        <w:rPr>
          <w:rFonts w:hint="eastAsia" w:ascii="宋体" w:hAnsi="宋体" w:eastAsia="宋体" w:cs="宋体"/>
          <w:sz w:val="32"/>
          <w:szCs w:val="32"/>
          <w:lang w:val="en-US" w:eastAsia="zh-CN"/>
        </w:rPr>
        <w:t>投标文件</w:t>
      </w:r>
      <w:r>
        <w:rPr>
          <w:rFonts w:hint="eastAsia" w:ascii="宋体" w:hAnsi="宋体" w:eastAsia="宋体" w:cs="宋体"/>
          <w:sz w:val="32"/>
          <w:szCs w:val="32"/>
          <w:lang w:eastAsia="zh-CN"/>
        </w:rPr>
        <w:t>等行为</w:t>
      </w:r>
      <w:r>
        <w:rPr>
          <w:rFonts w:hint="eastAsia" w:ascii="宋体" w:hAnsi="宋体" w:eastAsia="宋体" w:cs="宋体"/>
          <w:sz w:val="32"/>
          <w:szCs w:val="32"/>
          <w:lang w:val="en-US" w:eastAsia="zh-CN"/>
        </w:rPr>
        <w:t>违反政府采购法律法规或招标文件要求的，投标供应商应当依法承担相应法律责任。</w:t>
      </w:r>
    </w:p>
    <w:p w14:paraId="1CAA6174">
      <w:pPr>
        <w:numPr>
          <w:ilvl w:val="0"/>
          <w:numId w:val="0"/>
        </w:numPr>
        <w:spacing w:line="579" w:lineRule="exact"/>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4A45995">
      <w:pPr>
        <w:numPr>
          <w:ilvl w:val="0"/>
          <w:numId w:val="0"/>
        </w:numPr>
        <w:spacing w:line="579" w:lineRule="exact"/>
        <w:ind w:firstLine="640" w:firstLineChars="20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lang w:val="en-US" w:eastAsia="zh-CN"/>
        </w:rPr>
        <w:t>（六）</w:t>
      </w:r>
      <w:r>
        <w:rPr>
          <w:rFonts w:hint="eastAsia" w:ascii="宋体" w:hAnsi="宋体" w:eastAsia="宋体" w:cs="宋体"/>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宋体" w:hAnsi="宋体" w:eastAsia="宋体" w:cs="宋体"/>
          <w:sz w:val="32"/>
          <w:szCs w:val="32"/>
          <w:lang w:eastAsia="zh-CN"/>
        </w:rPr>
        <w:t>如</w:t>
      </w:r>
      <w:r>
        <w:rPr>
          <w:rFonts w:hint="eastAsia" w:ascii="宋体" w:hAnsi="宋体" w:eastAsia="宋体" w:cs="宋体"/>
          <w:b w:val="0"/>
          <w:bCs w:val="0"/>
          <w:sz w:val="32"/>
          <w:szCs w:val="32"/>
          <w:highlight w:val="none"/>
          <w:lang w:val="en-US" w:eastAsia="zh-CN"/>
        </w:rPr>
        <w:t>查实，依法作投标无效处理；涉嫌串通投标等违法行为的，主管部门将依法调查处理。</w:t>
      </w:r>
    </w:p>
    <w:p w14:paraId="38FDBF11">
      <w:pPr>
        <w:numPr>
          <w:ilvl w:val="0"/>
          <w:numId w:val="0"/>
        </w:numPr>
        <w:spacing w:line="579" w:lineRule="exact"/>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highlight w:val="none"/>
          <w:lang w:val="en-US" w:eastAsia="zh-CN"/>
        </w:rPr>
        <w:t>四、本公司已充分知悉</w:t>
      </w:r>
      <w:r>
        <w:rPr>
          <w:rFonts w:hint="eastAsia" w:ascii="宋体" w:hAnsi="宋体" w:eastAsia="宋体" w:cs="宋体"/>
          <w:b/>
          <w:bCs/>
          <w:sz w:val="32"/>
          <w:szCs w:val="32"/>
          <w:highlight w:val="none"/>
          <w:u w:val="none"/>
          <w:lang w:val="en-US" w:eastAsia="zh-CN"/>
        </w:rPr>
        <w:t>政府采购违法、违规行为</w:t>
      </w:r>
      <w:r>
        <w:rPr>
          <w:rFonts w:hint="eastAsia" w:ascii="宋体" w:hAnsi="宋体" w:eastAsia="宋体" w:cs="宋体"/>
          <w:b/>
          <w:bCs/>
          <w:sz w:val="32"/>
          <w:szCs w:val="32"/>
          <w:highlight w:val="none"/>
          <w:lang w:val="en-US" w:eastAsia="zh-CN"/>
        </w:rPr>
        <w:t>的法律后果。</w:t>
      </w:r>
      <w:r>
        <w:rPr>
          <w:rFonts w:hint="eastAsia" w:ascii="宋体" w:hAnsi="宋体" w:eastAsia="宋体" w:cs="宋体"/>
          <w:sz w:val="32"/>
          <w:szCs w:val="32"/>
          <w:lang w:val="en-US" w:eastAsia="zh-CN"/>
        </w:rPr>
        <w:t>经查实，若投标供应商存在</w:t>
      </w:r>
      <w:r>
        <w:rPr>
          <w:rFonts w:hint="eastAsia" w:ascii="宋体" w:hAnsi="宋体" w:eastAsia="宋体" w:cs="宋体"/>
          <w:sz w:val="32"/>
          <w:szCs w:val="32"/>
          <w:u w:val="none"/>
          <w:lang w:val="en-US" w:eastAsia="zh-CN"/>
        </w:rPr>
        <w:t>政府采购违法、违规行为</w:t>
      </w:r>
      <w:r>
        <w:rPr>
          <w:rFonts w:hint="eastAsia" w:ascii="宋体" w:hAnsi="宋体" w:eastAsia="宋体" w:cs="宋体"/>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C4F222">
      <w:pPr>
        <w:numPr>
          <w:ilvl w:val="0"/>
          <w:numId w:val="0"/>
        </w:numPr>
        <w:spacing w:line="579"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以下文字请投标供应商抄写并确认：“本公司已仔细阅读《政府采购违法行为风险知悉确认书》，充分知悉违法行为的法律后果，并承诺将</w:t>
      </w:r>
      <w:r>
        <w:rPr>
          <w:rFonts w:hint="eastAsia" w:ascii="宋体" w:hAnsi="宋体" w:eastAsia="宋体" w:cs="宋体"/>
          <w:b w:val="0"/>
          <w:bCs w:val="0"/>
          <w:sz w:val="32"/>
          <w:szCs w:val="32"/>
          <w:lang w:val="en-US" w:eastAsia="zh-CN"/>
        </w:rPr>
        <w:t>严谨、诚信、依法依规参与政府采购活动</w:t>
      </w:r>
      <w:r>
        <w:rPr>
          <w:rFonts w:hint="eastAsia" w:ascii="宋体" w:hAnsi="宋体" w:eastAsia="宋体" w:cs="宋体"/>
          <w:sz w:val="32"/>
          <w:szCs w:val="32"/>
          <w:lang w:val="en-US" w:eastAsia="zh-CN"/>
        </w:rPr>
        <w:t>”</w:t>
      </w:r>
      <w:r>
        <w:rPr>
          <w:rFonts w:hint="eastAsia" w:ascii="宋体" w:hAnsi="宋体" w:eastAsia="宋体" w:cs="宋体"/>
          <w:b w:val="0"/>
          <w:bCs w:val="0"/>
          <w:sz w:val="32"/>
          <w:szCs w:val="32"/>
          <w:lang w:val="en-US" w:eastAsia="zh-CN"/>
        </w:rPr>
        <w:t>。</w:t>
      </w:r>
    </w:p>
    <w:p w14:paraId="117962E6">
      <w:pPr>
        <w:numPr>
          <w:ilvl w:val="0"/>
          <w:numId w:val="0"/>
        </w:numPr>
        <w:spacing w:line="579" w:lineRule="exact"/>
        <w:rPr>
          <w:rFonts w:hint="eastAsia" w:ascii="宋体" w:hAnsi="宋体" w:eastAsia="宋体" w:cs="宋体"/>
          <w:sz w:val="32"/>
          <w:szCs w:val="32"/>
          <w:lang w:val="en-US" w:eastAsia="zh-CN"/>
        </w:rPr>
      </w:pPr>
      <w:r>
        <w:rPr>
          <w:rFonts w:hint="eastAsia" w:ascii="宋体" w:hAnsi="宋体" w:eastAsia="宋体" w:cs="宋体"/>
          <w:sz w:val="32"/>
          <w:szCs w:val="32"/>
          <w:u w:val="single"/>
          <w:lang w:val="en-US" w:eastAsia="zh-CN"/>
        </w:rPr>
        <w:t xml:space="preserve">                                                    </w:t>
      </w:r>
    </w:p>
    <w:p w14:paraId="529FE652">
      <w:pPr>
        <w:numPr>
          <w:ilvl w:val="0"/>
          <w:numId w:val="0"/>
        </w:numPr>
        <w:spacing w:line="579" w:lineRule="exact"/>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p>
    <w:p w14:paraId="5E5034D6">
      <w:pPr>
        <w:numPr>
          <w:ilvl w:val="0"/>
          <w:numId w:val="0"/>
        </w:numPr>
        <w:spacing w:line="579" w:lineRule="exact"/>
        <w:rPr>
          <w:rFonts w:hint="eastAsia" w:ascii="宋体" w:hAnsi="宋体" w:eastAsia="宋体" w:cs="宋体"/>
          <w:sz w:val="32"/>
          <w:szCs w:val="32"/>
          <w:lang w:val="en-US" w:eastAsia="zh-CN"/>
        </w:rPr>
      </w:pPr>
      <w:r>
        <w:rPr>
          <w:rFonts w:hint="eastAsia" w:ascii="宋体" w:hAnsi="宋体" w:eastAsia="宋体" w:cs="宋体"/>
          <w:sz w:val="32"/>
          <w:szCs w:val="32"/>
          <w:u w:val="single"/>
          <w:lang w:val="en-US" w:eastAsia="zh-CN"/>
        </w:rPr>
        <w:t xml:space="preserve">                                                    </w:t>
      </w:r>
    </w:p>
    <w:p w14:paraId="060F7B03">
      <w:pPr>
        <w:numPr>
          <w:ilvl w:val="0"/>
          <w:numId w:val="0"/>
        </w:numPr>
        <w:spacing w:line="579" w:lineRule="exact"/>
        <w:rPr>
          <w:rFonts w:hint="eastAsia" w:ascii="宋体" w:hAnsi="宋体" w:eastAsia="宋体" w:cs="宋体"/>
          <w:sz w:val="24"/>
          <w:szCs w:val="24"/>
          <w:lang w:val="en-US" w:eastAsia="zh-CN"/>
        </w:rPr>
      </w:pPr>
      <w:r>
        <w:rPr>
          <w:rFonts w:hint="eastAsia" w:ascii="宋体" w:hAnsi="宋体" w:eastAsia="宋体" w:cs="宋体"/>
          <w:sz w:val="32"/>
          <w:szCs w:val="32"/>
          <w:u w:val="single"/>
          <w:lang w:val="en-US" w:eastAsia="zh-CN"/>
        </w:rPr>
        <w:t xml:space="preserve">                                                    </w:t>
      </w:r>
    </w:p>
    <w:p w14:paraId="6C286756">
      <w:pPr>
        <w:numPr>
          <w:ilvl w:val="0"/>
          <w:numId w:val="0"/>
        </w:numPr>
        <w:spacing w:line="579" w:lineRule="exact"/>
        <w:rPr>
          <w:rFonts w:hint="eastAsia" w:ascii="宋体" w:hAnsi="宋体" w:eastAsia="宋体" w:cs="宋体"/>
          <w:sz w:val="32"/>
          <w:szCs w:val="32"/>
          <w:highlight w:val="yellow"/>
          <w:lang w:val="en-US" w:eastAsia="zh-CN"/>
        </w:rPr>
      </w:pPr>
    </w:p>
    <w:p w14:paraId="29F06C2D">
      <w:pPr>
        <w:numPr>
          <w:ilvl w:val="0"/>
          <w:numId w:val="0"/>
        </w:numPr>
        <w:spacing w:line="579"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负责人/投标授权代表签名：</w:t>
      </w:r>
    </w:p>
    <w:p w14:paraId="3F412058">
      <w:pPr>
        <w:numPr>
          <w:ilvl w:val="0"/>
          <w:numId w:val="0"/>
        </w:numPr>
        <w:spacing w:line="579" w:lineRule="exact"/>
        <w:ind w:firstLine="3200" w:firstLineChars="10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知悉人（公章）：</w:t>
      </w:r>
    </w:p>
    <w:p w14:paraId="42A65EC7">
      <w:pPr>
        <w:spacing w:line="579" w:lineRule="exact"/>
      </w:pPr>
      <w:r>
        <w:rPr>
          <w:rFonts w:hint="eastAsia" w:ascii="宋体" w:hAnsi="宋体" w:eastAsia="宋体" w:cs="宋体"/>
          <w:sz w:val="32"/>
          <w:szCs w:val="32"/>
          <w:lang w:val="en-US" w:eastAsia="zh-CN"/>
        </w:rPr>
        <w:t xml:space="preserve">                    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52165"/>
    <w:rsid w:val="756C1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kern w:val="0"/>
      <w:sz w:val="20"/>
    </w:rPr>
  </w:style>
  <w:style w:type="paragraph" w:styleId="3">
    <w:name w:val="Body Text"/>
    <w:basedOn w:val="1"/>
    <w:next w:val="4"/>
    <w:unhideWhenUsed/>
    <w:qFormat/>
    <w:uiPriority w:val="0"/>
    <w:pPr>
      <w:spacing w:after="120"/>
    </w:p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2025-02-24T09:33:42Z</dcterms:created>
  <dc:creator>Administrator</dc:creator>
  <cp:lastModifiedBy>LC</cp:lastModifiedBy>
  <dcterms:modified xsi:type="dcterms:W3CDTF">2025-02-24T09:33:55Z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eyJoZGlkIjoiMmFiMzVhN2I2Mjc5NTAyNTVkNTIxYzI0ZjM0ZDYzODMiLCJ1c2VySWQiOiIzNDgzMzEwNzQifQ==</vt:lpwstr>
  </property>
  <property fmtid="{D5CDD505-2E9C-101B-9397-08002B2CF9AE}" pid="4" name="ICV">
    <vt:lpwstr>45EE8B402DB949A4A5D866004EC626BE_12</vt:lpwstr>
  </property>
</Properties>
</file>