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55DA1">
      <w:pPr>
        <w:framePr w:wrap="auto" w:vAnchor="margin" w:hAnchor="text" w:yAlign="inline"/>
        <w:widowControl w:val="0"/>
        <w:wordWrap w:val="0"/>
        <w:spacing w:line="288" w:lineRule="auto"/>
        <w:jc w:val="center"/>
        <w:rPr>
          <w:rFonts w:hint="eastAsia" w:ascii="宋体" w:hAnsi="宋体" w:eastAsia="宋体" w:cs="宋体"/>
          <w:b/>
          <w:color w:val="auto"/>
          <w:sz w:val="40"/>
          <w:szCs w:val="40"/>
          <w:highlight w:val="none"/>
          <w:lang w:val="en-US" w:eastAsia="zh-CN"/>
        </w:rPr>
      </w:pPr>
      <w:bookmarkStart w:id="21" w:name="_GoBack"/>
    </w:p>
    <w:p w14:paraId="7C5AEC59">
      <w:pPr>
        <w:framePr w:wrap="auto" w:vAnchor="margin" w:hAnchor="text" w:yAlign="inline"/>
        <w:widowControl w:val="0"/>
        <w:wordWrap w:val="0"/>
        <w:spacing w:line="288" w:lineRule="auto"/>
        <w:jc w:val="center"/>
        <w:rPr>
          <w:rFonts w:hint="eastAsia" w:ascii="宋体" w:hAnsi="宋体" w:eastAsia="宋体" w:cs="宋体"/>
          <w:b/>
          <w:color w:val="auto"/>
          <w:sz w:val="48"/>
          <w:szCs w:val="48"/>
          <w:highlight w:val="none"/>
          <w:u w:val="none"/>
          <w:lang w:val="en-US" w:eastAsia="zh-CN"/>
        </w:rPr>
      </w:pPr>
    </w:p>
    <w:p w14:paraId="2DFD769F">
      <w:pPr>
        <w:framePr w:wrap="auto" w:vAnchor="margin" w:hAnchor="text" w:yAlign="inline"/>
        <w:widowControl w:val="0"/>
        <w:wordWrap w:val="0"/>
        <w:spacing w:line="288" w:lineRule="auto"/>
        <w:jc w:val="center"/>
        <w:rPr>
          <w:rFonts w:hint="eastAsia" w:ascii="宋体" w:hAnsi="宋体" w:eastAsia="宋体" w:cs="宋体"/>
          <w:b/>
          <w:color w:val="auto"/>
          <w:sz w:val="48"/>
          <w:szCs w:val="48"/>
          <w:highlight w:val="none"/>
          <w:u w:val="none"/>
          <w:lang w:val="en-US" w:eastAsia="zh-CN"/>
        </w:rPr>
      </w:pPr>
    </w:p>
    <w:p w14:paraId="755E4CD9">
      <w:pPr>
        <w:framePr w:wrap="auto" w:vAnchor="margin" w:hAnchor="text" w:yAlign="inline"/>
        <w:widowControl w:val="0"/>
        <w:wordWrap w:val="0"/>
        <w:spacing w:line="288" w:lineRule="auto"/>
        <w:jc w:val="center"/>
        <w:rPr>
          <w:rFonts w:hint="eastAsia" w:ascii="宋体" w:hAnsi="宋体" w:eastAsia="宋体" w:cs="宋体"/>
          <w:b/>
          <w:color w:val="auto"/>
          <w:sz w:val="48"/>
          <w:szCs w:val="48"/>
          <w:highlight w:val="none"/>
          <w:u w:val="none"/>
          <w:lang w:val="en-US" w:eastAsia="zh-CN"/>
        </w:rPr>
      </w:pPr>
    </w:p>
    <w:p w14:paraId="4525E20B">
      <w:pPr>
        <w:framePr w:wrap="auto" w:vAnchor="margin" w:hAnchor="text" w:yAlign="inline"/>
        <w:widowControl w:val="0"/>
        <w:wordWrap w:val="0"/>
        <w:spacing w:line="288" w:lineRule="auto"/>
        <w:jc w:val="center"/>
        <w:rPr>
          <w:rFonts w:hint="eastAsia" w:ascii="宋体" w:hAnsi="宋体" w:eastAsia="宋体" w:cs="宋体"/>
          <w:b/>
          <w:color w:val="auto"/>
          <w:sz w:val="48"/>
          <w:szCs w:val="48"/>
          <w:highlight w:val="none"/>
          <w:u w:val="none"/>
          <w:lang w:val="en-US" w:eastAsia="zh-CN"/>
        </w:rPr>
      </w:pPr>
    </w:p>
    <w:p w14:paraId="7A716A46">
      <w:pPr>
        <w:framePr w:wrap="auto" w:vAnchor="margin" w:hAnchor="text" w:yAlign="inline"/>
        <w:widowControl w:val="0"/>
        <w:wordWrap w:val="0"/>
        <w:spacing w:line="288" w:lineRule="auto"/>
        <w:jc w:val="center"/>
        <w:rPr>
          <w:rFonts w:hint="eastAsia" w:ascii="宋体" w:hAnsi="宋体" w:eastAsia="宋体" w:cs="宋体"/>
          <w:b/>
          <w:color w:val="auto"/>
          <w:sz w:val="48"/>
          <w:szCs w:val="48"/>
          <w:highlight w:val="none"/>
          <w:u w:val="none"/>
          <w:lang w:val="en-US" w:eastAsia="zh-CN"/>
        </w:rPr>
      </w:pPr>
      <w:r>
        <w:rPr>
          <w:rFonts w:hint="eastAsia" w:ascii="宋体" w:hAnsi="宋体" w:eastAsia="宋体" w:cs="宋体"/>
          <w:b/>
          <w:color w:val="auto"/>
          <w:sz w:val="48"/>
          <w:szCs w:val="48"/>
          <w:highlight w:val="none"/>
          <w:u w:val="none"/>
          <w:lang w:val="en-US" w:eastAsia="zh-CN"/>
        </w:rPr>
        <w:t>惠东县大洲片区新型城镇化基础设施建设项目(沿江北路)建设工程项目</w:t>
      </w:r>
    </w:p>
    <w:p w14:paraId="6F2702FE">
      <w:pPr>
        <w:framePr w:wrap="auto" w:vAnchor="margin" w:hAnchor="text" w:yAlign="inline"/>
        <w:widowControl w:val="0"/>
        <w:wordWrap w:val="0"/>
        <w:spacing w:line="288" w:lineRule="auto"/>
        <w:jc w:val="center"/>
        <w:rPr>
          <w:rFonts w:hint="eastAsia" w:ascii="宋体" w:hAnsi="宋体" w:eastAsia="宋体" w:cs="宋体"/>
          <w:b/>
          <w:color w:val="auto"/>
          <w:sz w:val="48"/>
          <w:szCs w:val="48"/>
          <w:highlight w:val="none"/>
          <w:u w:val="none"/>
          <w:lang w:eastAsia="zh-CN"/>
        </w:rPr>
      </w:pPr>
      <w:r>
        <w:rPr>
          <w:rFonts w:hint="eastAsia" w:ascii="宋体" w:hAnsi="宋体" w:eastAsia="宋体" w:cs="宋体"/>
          <w:b/>
          <w:color w:val="auto"/>
          <w:sz w:val="48"/>
          <w:szCs w:val="48"/>
          <w:highlight w:val="none"/>
          <w:u w:val="none"/>
          <w:lang w:val="en-US" w:eastAsia="zh-CN"/>
        </w:rPr>
        <w:t>编号（05）商品混凝土</w:t>
      </w:r>
      <w:r>
        <w:rPr>
          <w:rFonts w:hint="eastAsia" w:ascii="宋体" w:hAnsi="宋体" w:eastAsia="宋体" w:cs="宋体"/>
          <w:b/>
          <w:color w:val="auto"/>
          <w:sz w:val="48"/>
          <w:szCs w:val="48"/>
          <w:highlight w:val="none"/>
          <w:u w:val="none"/>
          <w:lang w:val="en-US" w:eastAsia="zh-CN"/>
        </w:rPr>
        <w:t>竞价</w:t>
      </w:r>
      <w:r>
        <w:rPr>
          <w:rFonts w:hint="eastAsia" w:ascii="宋体" w:hAnsi="宋体" w:eastAsia="宋体" w:cs="宋体"/>
          <w:b/>
          <w:color w:val="auto"/>
          <w:sz w:val="48"/>
          <w:szCs w:val="48"/>
          <w:highlight w:val="none"/>
          <w:u w:val="none"/>
          <w:lang w:eastAsia="zh-CN"/>
        </w:rPr>
        <w:t>文件</w:t>
      </w:r>
    </w:p>
    <w:p w14:paraId="52253012">
      <w:pPr>
        <w:framePr w:wrap="auto" w:vAnchor="margin" w:hAnchor="text" w:yAlign="inline"/>
        <w:widowControl w:val="0"/>
        <w:wordWrap w:val="0"/>
        <w:spacing w:line="288" w:lineRule="auto"/>
        <w:ind w:firstLine="880" w:firstLineChars="200"/>
        <w:jc w:val="both"/>
        <w:rPr>
          <w:rFonts w:hint="eastAsia" w:ascii="宋体" w:hAnsi="宋体" w:eastAsia="宋体" w:cs="宋体"/>
          <w:color w:val="auto"/>
          <w:sz w:val="44"/>
          <w:szCs w:val="44"/>
          <w:highlight w:val="none"/>
          <w:lang w:eastAsia="zh-CN"/>
        </w:rPr>
      </w:pPr>
    </w:p>
    <w:p w14:paraId="4B751C6E">
      <w:pPr>
        <w:framePr w:wrap="auto" w:vAnchor="margin" w:hAnchor="text" w:yAlign="inline"/>
        <w:widowControl w:val="0"/>
        <w:wordWrap w:val="0"/>
        <w:spacing w:line="288" w:lineRule="auto"/>
        <w:ind w:firstLine="640" w:firstLineChars="200"/>
        <w:jc w:val="both"/>
        <w:rPr>
          <w:rFonts w:hint="eastAsia" w:ascii="宋体" w:hAnsi="宋体" w:eastAsia="宋体" w:cs="宋体"/>
          <w:color w:val="auto"/>
          <w:sz w:val="32"/>
          <w:szCs w:val="32"/>
          <w:highlight w:val="none"/>
          <w:lang w:eastAsia="zh-CN"/>
        </w:rPr>
      </w:pPr>
    </w:p>
    <w:p w14:paraId="1F2A3B5C">
      <w:pPr>
        <w:framePr w:wrap="auto" w:vAnchor="margin" w:hAnchor="text" w:yAlign="inline"/>
        <w:widowControl w:val="0"/>
        <w:wordWrap w:val="0"/>
        <w:spacing w:line="360" w:lineRule="auto"/>
        <w:jc w:val="center"/>
        <w:rPr>
          <w:rFonts w:hint="eastAsia" w:ascii="宋体" w:hAnsi="宋体" w:eastAsia="宋体" w:cs="宋体"/>
          <w:b/>
          <w:color w:val="auto"/>
          <w:sz w:val="44"/>
          <w:szCs w:val="44"/>
          <w:highlight w:val="none"/>
          <w:lang w:eastAsia="zh-CN"/>
        </w:rPr>
      </w:pPr>
    </w:p>
    <w:p w14:paraId="79A238D3">
      <w:pPr>
        <w:framePr w:wrap="auto" w:vAnchor="margin" w:hAnchor="text" w:yAlign="inline"/>
        <w:widowControl w:val="0"/>
        <w:wordWrap w:val="0"/>
        <w:spacing w:line="360" w:lineRule="auto"/>
        <w:jc w:val="center"/>
        <w:rPr>
          <w:rFonts w:hint="eastAsia" w:ascii="宋体" w:hAnsi="宋体" w:eastAsia="宋体" w:cs="宋体"/>
          <w:b/>
          <w:color w:val="auto"/>
          <w:sz w:val="44"/>
          <w:szCs w:val="44"/>
          <w:highlight w:val="none"/>
          <w:lang w:eastAsia="zh-CN"/>
        </w:rPr>
      </w:pPr>
    </w:p>
    <w:p w14:paraId="2F3F4CE3">
      <w:pPr>
        <w:pStyle w:val="29"/>
        <w:framePr w:wrap="auto" w:vAnchor="margin" w:hAnchor="text" w:yAlign="inline"/>
        <w:rPr>
          <w:rFonts w:hint="eastAsia" w:ascii="宋体" w:hAnsi="宋体" w:eastAsia="宋体" w:cs="宋体"/>
          <w:color w:val="auto"/>
          <w:highlight w:val="none"/>
          <w:lang w:eastAsia="zh-CN"/>
        </w:rPr>
      </w:pPr>
    </w:p>
    <w:p w14:paraId="31CC510C">
      <w:pPr>
        <w:framePr w:wrap="auto" w:vAnchor="margin" w:hAnchor="text" w:yAlign="inline"/>
        <w:widowControl w:val="0"/>
        <w:wordWrap w:val="0"/>
        <w:spacing w:line="360" w:lineRule="auto"/>
        <w:jc w:val="both"/>
        <w:rPr>
          <w:rFonts w:hint="eastAsia" w:ascii="宋体" w:hAnsi="宋体" w:eastAsia="宋体" w:cs="宋体"/>
          <w:color w:val="auto"/>
          <w:sz w:val="32"/>
          <w:szCs w:val="32"/>
          <w:highlight w:val="none"/>
          <w:lang w:eastAsia="zh-CN"/>
        </w:rPr>
      </w:pPr>
    </w:p>
    <w:p w14:paraId="1D4D4FCE">
      <w:pPr>
        <w:pStyle w:val="29"/>
        <w:rPr>
          <w:rFonts w:hint="eastAsia" w:ascii="宋体" w:hAnsi="宋体" w:eastAsia="宋体" w:cs="宋体"/>
          <w:color w:val="auto"/>
          <w:highlight w:val="none"/>
          <w:lang w:eastAsia="zh-CN"/>
        </w:rPr>
      </w:pPr>
    </w:p>
    <w:p w14:paraId="2A256217">
      <w:pPr>
        <w:pStyle w:val="32"/>
        <w:framePr w:wrap="auto" w:vAnchor="margin" w:hAnchor="text" w:yAlign="inline"/>
        <w:wordWrap w:val="0"/>
        <w:spacing w:line="720" w:lineRule="exact"/>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广东路通达建设工程有限公司</w:t>
      </w:r>
    </w:p>
    <w:p w14:paraId="6630CF56">
      <w:pPr>
        <w:pStyle w:val="32"/>
        <w:framePr w:wrap="auto" w:vAnchor="margin" w:hAnchor="text" w:yAlign="inline"/>
        <w:wordWrap w:val="0"/>
        <w:spacing w:line="72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惠州中茂招标有限公司</w:t>
      </w:r>
    </w:p>
    <w:p w14:paraId="2BB404CD">
      <w:pPr>
        <w:pStyle w:val="32"/>
        <w:framePr w:wrap="auto" w:vAnchor="margin" w:hAnchor="text" w:yAlign="inline"/>
        <w:wordWrap w:val="0"/>
        <w:spacing w:line="720" w:lineRule="exact"/>
        <w:jc w:val="center"/>
        <w:rPr>
          <w:rFonts w:hint="eastAsia" w:ascii="宋体" w:hAnsi="宋体" w:eastAsia="宋体" w:cs="宋体"/>
          <w:b/>
          <w:bCs/>
          <w:color w:val="auto"/>
          <w:sz w:val="44"/>
          <w:szCs w:val="44"/>
          <w:highlight w:val="none"/>
          <w:lang w:eastAsia="zh-CN"/>
        </w:rPr>
      </w:pPr>
      <w:r>
        <w:rPr>
          <w:rFonts w:hint="eastAsia" w:ascii="宋体" w:hAnsi="宋体" w:eastAsia="宋体" w:cs="宋体"/>
          <w:b/>
          <w:color w:val="auto"/>
          <w:sz w:val="32"/>
          <w:szCs w:val="32"/>
          <w:highlight w:val="none"/>
          <w:lang w:eastAsia="zh-CN"/>
        </w:rPr>
        <w:t>2024年9月26日</w:t>
      </w:r>
    </w:p>
    <w:p w14:paraId="7337CCFB">
      <w:pPr>
        <w:framePr w:wrap="auto" w:vAnchor="margin" w:hAnchor="text" w:yAlign="inline"/>
        <w:wordWrap w:val="0"/>
        <w:rPr>
          <w:rFonts w:hint="eastAsia" w:ascii="宋体" w:hAnsi="宋体" w:eastAsia="宋体" w:cs="宋体"/>
          <w:b/>
          <w:bCs/>
          <w:color w:val="auto"/>
          <w:sz w:val="44"/>
          <w:szCs w:val="44"/>
          <w:highlight w:val="none"/>
          <w:lang w:val="zh-TW" w:eastAsia="zh-TW"/>
        </w:rPr>
        <w:sectPr>
          <w:headerReference r:id="rId3" w:type="default"/>
          <w:footerReference r:id="rId4" w:type="default"/>
          <w:pgSz w:w="11900" w:h="16840"/>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linePitch="0" w:charSpace="0"/>
        </w:sectPr>
      </w:pPr>
    </w:p>
    <w:p w14:paraId="4D071A2F">
      <w:pPr>
        <w:pStyle w:val="32"/>
        <w:framePr w:wrap="auto" w:vAnchor="margin" w:hAnchor="text" w:yAlign="inline"/>
        <w:wordWrap w:val="0"/>
        <w:spacing w:line="440" w:lineRule="exact"/>
        <w:jc w:val="center"/>
        <w:outlineLvl w:val="9"/>
        <w:rPr>
          <w:rFonts w:hint="eastAsia" w:ascii="宋体" w:hAnsi="宋体" w:eastAsia="宋体" w:cs="宋体"/>
          <w:b/>
          <w:bCs/>
          <w:color w:val="auto"/>
          <w:sz w:val="44"/>
          <w:szCs w:val="44"/>
          <w:highlight w:val="none"/>
          <w:lang w:val="zh-TW" w:eastAsia="zh-TW"/>
        </w:rPr>
      </w:pPr>
      <w:r>
        <w:rPr>
          <w:rFonts w:hint="eastAsia" w:ascii="宋体" w:hAnsi="宋体" w:eastAsia="宋体" w:cs="宋体"/>
          <w:b/>
          <w:bCs/>
          <w:color w:val="auto"/>
          <w:sz w:val="44"/>
          <w:szCs w:val="44"/>
          <w:highlight w:val="none"/>
          <w:lang w:val="zh-TW" w:eastAsia="zh-TW"/>
        </w:rPr>
        <w:t>目    录</w:t>
      </w:r>
    </w:p>
    <w:p w14:paraId="63247954">
      <w:pPr>
        <w:pStyle w:val="16"/>
        <w:keepNext w:val="0"/>
        <w:keepLines w:val="0"/>
        <w:pageBreakBefore w:val="0"/>
        <w:framePr w:wrap="auto" w:vAnchor="margin" w:hAnchor="text" w:yAlign="inline"/>
        <w:widowControl/>
        <w:tabs>
          <w:tab w:val="right" w:leader="dot" w:pos="81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rPr>
      </w:pPr>
    </w:p>
    <w:p w14:paraId="1DE34478">
      <w:pPr>
        <w:pStyle w:val="16"/>
        <w:keepNext w:val="0"/>
        <w:keepLines w:val="0"/>
        <w:pageBreakBefore w:val="0"/>
        <w:framePr w:wrap="auto" w:vAnchor="margin" w:hAnchor="text" w:yAlign="inline"/>
        <w:widowControl/>
        <w:tabs>
          <w:tab w:val="right" w:leader="dot" w:pos="8400"/>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"1-3"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_Toc32465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2"/>
          <w:sz w:val="28"/>
          <w:szCs w:val="28"/>
          <w:lang w:val="en-US" w:eastAsia="zh-CN" w:bidi="ar-SA"/>
        </w:rPr>
        <w:t>第一部分</w:t>
      </w:r>
      <w:r>
        <w:rPr>
          <w:rFonts w:hint="eastAsia" w:ascii="宋体" w:hAnsi="宋体" w:eastAsia="宋体" w:cs="宋体"/>
          <w:b/>
          <w:bCs/>
          <w:color w:val="auto"/>
          <w:sz w:val="28"/>
          <w:szCs w:val="28"/>
          <w:highlight w:val="none"/>
          <w:lang w:val="zh-TW" w:eastAsia="zh-TW"/>
        </w:rPr>
        <w:t xml:space="preserve">  </w:t>
      </w:r>
      <w:r>
        <w:rPr>
          <w:rFonts w:hint="eastAsia" w:ascii="宋体" w:hAnsi="宋体" w:eastAsia="宋体" w:cs="宋体"/>
          <w:b/>
          <w:bCs/>
          <w:color w:val="auto"/>
          <w:kern w:val="2"/>
          <w:sz w:val="28"/>
          <w:szCs w:val="28"/>
          <w:highlight w:val="none"/>
          <w:lang w:val="en-US" w:eastAsia="zh-CN"/>
        </w:rPr>
        <w:t>竞价</w:t>
      </w:r>
      <w:r>
        <w:rPr>
          <w:rFonts w:hint="eastAsia" w:ascii="宋体" w:hAnsi="宋体" w:eastAsia="宋体" w:cs="宋体"/>
          <w:b/>
          <w:bCs/>
          <w:color w:val="auto"/>
          <w:sz w:val="28"/>
          <w:szCs w:val="28"/>
          <w:highlight w:val="none"/>
        </w:rPr>
        <w:t>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_Toc32465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787F7D32">
      <w:pPr>
        <w:pStyle w:val="16"/>
        <w:keepNext w:val="0"/>
        <w:keepLines w:val="0"/>
        <w:pageBreakBefore w:val="0"/>
        <w:framePr w:wrap="auto" w:vAnchor="margin" w:hAnchor="text" w:yAlign="inline"/>
        <w:widowControl/>
        <w:tabs>
          <w:tab w:val="right" w:leader="dot" w:pos="8400"/>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_Toc29038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highlight w:val="none"/>
          <w:lang w:val="zh-TW" w:eastAsia="zh-TW"/>
        </w:rPr>
        <w:t>第</w:t>
      </w: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lang w:val="zh-TW" w:eastAsia="zh-TW"/>
        </w:rPr>
        <w:t xml:space="preserve">部分  </w:t>
      </w:r>
      <w:r>
        <w:rPr>
          <w:rFonts w:hint="eastAsia" w:ascii="宋体" w:hAnsi="宋体" w:eastAsia="宋体" w:cs="宋体"/>
          <w:b/>
          <w:bCs/>
          <w:color w:val="auto"/>
          <w:sz w:val="28"/>
          <w:szCs w:val="28"/>
          <w:highlight w:val="none"/>
          <w:lang w:eastAsia="zh-CN"/>
        </w:rPr>
        <w:t>参选人须知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_Toc29038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6</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282809ED">
      <w:pPr>
        <w:pStyle w:val="16"/>
        <w:keepNext w:val="0"/>
        <w:keepLines w:val="0"/>
        <w:pageBreakBefore w:val="0"/>
        <w:framePr w:wrap="auto" w:vAnchor="margin" w:hAnchor="text" w:yAlign="inline"/>
        <w:widowControl/>
        <w:tabs>
          <w:tab w:val="right" w:leader="dot" w:pos="8400"/>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_Toc14264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2"/>
          <w:sz w:val="28"/>
          <w:szCs w:val="28"/>
          <w:lang w:val="en-US" w:eastAsia="zh-CN" w:bidi="ar-SA"/>
        </w:rPr>
        <w:t>第三部分</w:t>
      </w:r>
      <w:r>
        <w:rPr>
          <w:rFonts w:hint="eastAsia" w:ascii="宋体" w:hAnsi="宋体" w:eastAsia="宋体" w:cs="宋体"/>
          <w:b/>
          <w:bCs/>
          <w:color w:val="auto"/>
          <w:sz w:val="28"/>
          <w:szCs w:val="28"/>
          <w:highlight w:val="none"/>
          <w:lang w:val="zh-TW" w:eastAsia="zh-TW"/>
        </w:rPr>
        <w:t xml:space="preserve">  </w:t>
      </w:r>
      <w:r>
        <w:rPr>
          <w:rFonts w:hint="eastAsia" w:ascii="宋体" w:hAnsi="宋体" w:eastAsia="宋体" w:cs="宋体"/>
          <w:b/>
          <w:bCs/>
          <w:color w:val="auto"/>
          <w:sz w:val="28"/>
          <w:szCs w:val="28"/>
          <w:highlight w:val="none"/>
        </w:rPr>
        <w:t>工程量清单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_Toc14264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721EA224">
      <w:pPr>
        <w:pStyle w:val="16"/>
        <w:keepNext w:val="0"/>
        <w:keepLines w:val="0"/>
        <w:pageBreakBefore w:val="0"/>
        <w:framePr w:wrap="auto" w:vAnchor="margin" w:hAnchor="text" w:yAlign="inline"/>
        <w:widowControl/>
        <w:tabs>
          <w:tab w:val="right" w:leader="dot" w:pos="8400"/>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_Toc6698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highlight w:val="none"/>
        </w:rPr>
        <w:t xml:space="preserve">第四部分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评选办法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_Toc6698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60314EAE">
      <w:pPr>
        <w:pStyle w:val="16"/>
        <w:keepNext w:val="0"/>
        <w:keepLines w:val="0"/>
        <w:pageBreakBefore w:val="0"/>
        <w:framePr w:wrap="auto" w:vAnchor="margin" w:hAnchor="text" w:yAlign="inline"/>
        <w:widowControl/>
        <w:tabs>
          <w:tab w:val="right" w:leader="dot" w:pos="8400"/>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_Toc25557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highlight w:val="none"/>
        </w:rPr>
        <w:t xml:space="preserve">第五部分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合同主要条款</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_Toc25557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3BA364CE">
      <w:pPr>
        <w:pStyle w:val="16"/>
        <w:keepNext w:val="0"/>
        <w:keepLines w:val="0"/>
        <w:pageBreakBefore w:val="0"/>
        <w:framePr w:wrap="auto" w:vAnchor="margin" w:hAnchor="text" w:yAlign="inline"/>
        <w:widowControl/>
        <w:tabs>
          <w:tab w:val="right" w:leader="dot" w:pos="8400"/>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_Toc16641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highlight w:val="none"/>
        </w:rPr>
        <w:t xml:space="preserve">第六部分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响应文件格式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_Toc16641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147072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rPr>
      </w:pPr>
      <w:r>
        <w:rPr>
          <w:rFonts w:hint="eastAsia" w:ascii="宋体" w:hAnsi="宋体" w:eastAsia="宋体" w:cs="宋体"/>
          <w:b/>
          <w:bCs/>
          <w:color w:val="auto"/>
          <w:sz w:val="28"/>
          <w:szCs w:val="28"/>
        </w:rPr>
        <w:fldChar w:fldCharType="end"/>
      </w:r>
    </w:p>
    <w:p w14:paraId="593E6214">
      <w:pPr>
        <w:pStyle w:val="32"/>
        <w:framePr w:wrap="auto" w:vAnchor="margin" w:hAnchor="text" w:yAlign="inline"/>
        <w:wordWrap w:val="0"/>
        <w:spacing w:line="440" w:lineRule="exact"/>
        <w:jc w:val="both"/>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bCs/>
          <w:color w:val="auto"/>
          <w:sz w:val="32"/>
          <w:szCs w:val="32"/>
          <w:highlight w:val="none"/>
        </w:rPr>
        <w:br w:type="page"/>
      </w:r>
    </w:p>
    <w:p w14:paraId="0F32ED90">
      <w:pPr>
        <w:keepNext w:val="0"/>
        <w:keepLines/>
        <w:pageBreakBefore w:val="0"/>
        <w:framePr w:wrap="auto" w:vAnchor="margin" w:hAnchor="text" w:yAlign="inline"/>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lang w:val="zh-TW" w:eastAsia="zh-TW"/>
        </w:rPr>
      </w:pPr>
      <w:bookmarkStart w:id="0" w:name="_Toc32465"/>
      <w:r>
        <w:rPr>
          <w:rFonts w:hint="eastAsia" w:ascii="宋体" w:hAnsi="宋体" w:eastAsia="宋体" w:cs="宋体"/>
          <w:b/>
          <w:bCs/>
          <w:color w:val="auto"/>
          <w:sz w:val="32"/>
          <w:szCs w:val="32"/>
          <w:highlight w:val="none"/>
          <w:lang w:val="en-US" w:eastAsia="zh-CN"/>
        </w:rPr>
        <w:t>第一部分</w:t>
      </w:r>
      <w:r>
        <w:rPr>
          <w:rFonts w:hint="eastAsia" w:ascii="宋体" w:hAnsi="宋体" w:eastAsia="宋体" w:cs="宋体"/>
          <w:b/>
          <w:bCs/>
          <w:color w:val="auto"/>
          <w:sz w:val="32"/>
          <w:szCs w:val="32"/>
          <w:highlight w:val="none"/>
          <w:lang w:val="zh-TW" w:eastAsia="zh-TW"/>
        </w:rPr>
        <w:t xml:space="preserve">  </w:t>
      </w:r>
      <w:r>
        <w:rPr>
          <w:rFonts w:hint="eastAsia" w:ascii="宋体" w:hAnsi="宋体" w:eastAsia="宋体" w:cs="宋体"/>
          <w:b/>
          <w:bCs/>
          <w:color w:val="auto"/>
          <w:sz w:val="32"/>
          <w:szCs w:val="32"/>
          <w:highlight w:val="none"/>
          <w:lang w:val="en-US" w:eastAsia="zh-CN"/>
        </w:rPr>
        <w:t>竞价</w:t>
      </w:r>
      <w:r>
        <w:rPr>
          <w:rFonts w:hint="eastAsia" w:ascii="宋体" w:hAnsi="宋体" w:eastAsia="宋体" w:cs="宋体"/>
          <w:b/>
          <w:bCs/>
          <w:color w:val="auto"/>
          <w:sz w:val="32"/>
          <w:szCs w:val="32"/>
          <w:highlight w:val="none"/>
          <w:lang w:val="zh-TW" w:eastAsia="zh-TW"/>
        </w:rPr>
        <w:t>公告</w:t>
      </w:r>
      <w:bookmarkEnd w:id="0"/>
    </w:p>
    <w:p w14:paraId="12D21037">
      <w:pPr>
        <w:keepNext w:val="0"/>
        <w:keepLines w:val="0"/>
        <w:pageBreakBefore w:val="0"/>
        <w:framePr w:wrap="auto" w:vAnchor="margin" w:hAnchor="text" w:yAlign="inline"/>
        <w:widowControl w:val="0"/>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b/>
          <w:bCs/>
          <w:color w:val="auto"/>
          <w:sz w:val="28"/>
          <w:szCs w:val="28"/>
          <w:highlight w:val="none"/>
        </w:rPr>
      </w:pPr>
      <w:bookmarkStart w:id="1" w:name="_Toc31806"/>
      <w:bookmarkStart w:id="2" w:name="_Toc152042304"/>
      <w:bookmarkStart w:id="3" w:name="_Toc21380"/>
      <w:bookmarkStart w:id="4" w:name="_Toc16780"/>
      <w:bookmarkStart w:id="5" w:name="_Toc392345907"/>
      <w:bookmarkStart w:id="6" w:name="_Toc16761"/>
      <w:bookmarkStart w:id="7" w:name="_Toc229646710"/>
      <w:bookmarkStart w:id="8" w:name="_Toc144974496"/>
      <w:bookmarkStart w:id="9" w:name="_Toc152045528"/>
      <w:bookmarkStart w:id="10" w:name="_Toc500491903"/>
      <w:bookmarkStart w:id="11" w:name="_Toc7164"/>
      <w:r>
        <w:rPr>
          <w:rFonts w:hint="eastAsia" w:ascii="宋体" w:hAnsi="宋体" w:eastAsia="宋体" w:cs="宋体"/>
          <w:color w:val="auto"/>
          <w:sz w:val="28"/>
          <w:szCs w:val="28"/>
          <w:highlight w:val="none"/>
          <w:u w:val="none" w:color="auto"/>
          <w:lang w:val="en-US" w:eastAsia="zh-CN"/>
        </w:rPr>
        <w:t>惠州中茂招标有限公司（以下简称“采购代理机构”）受广东路通达建设工程有限公司（以下简称“采购人</w:t>
      </w:r>
      <w:r>
        <w:rPr>
          <w:rFonts w:hint="default" w:ascii="宋体" w:hAnsi="宋体" w:eastAsia="宋体" w:cs="宋体"/>
          <w:color w:val="auto"/>
          <w:sz w:val="28"/>
          <w:szCs w:val="28"/>
          <w:highlight w:val="none"/>
          <w:u w:val="none" w:color="auto"/>
          <w:lang w:val="en-US" w:eastAsia="zh-CN"/>
        </w:rPr>
        <w:t>”</w:t>
      </w:r>
      <w:r>
        <w:rPr>
          <w:rFonts w:hint="eastAsia" w:ascii="宋体" w:hAnsi="宋体" w:eastAsia="宋体" w:cs="宋体"/>
          <w:color w:val="auto"/>
          <w:sz w:val="28"/>
          <w:szCs w:val="28"/>
          <w:highlight w:val="none"/>
          <w:u w:val="none" w:color="auto"/>
          <w:lang w:val="en-US" w:eastAsia="zh-CN"/>
        </w:rPr>
        <w:t>）的委托，诚邀国内合格参选人就</w:t>
      </w:r>
      <w:r>
        <w:rPr>
          <w:rFonts w:hint="eastAsia" w:ascii="宋体" w:hAnsi="宋体" w:eastAsia="宋体" w:cs="宋体"/>
          <w:color w:val="auto"/>
          <w:sz w:val="28"/>
          <w:szCs w:val="28"/>
          <w:highlight w:val="none"/>
          <w:u w:val="none" w:color="auto"/>
          <w:lang w:val="en-US" w:eastAsia="zh-CN"/>
        </w:rPr>
        <w:t>惠东县大洲片区新型城镇化基础设施建设项目(沿江北路)建设工程项目编号（05）商品混凝土</w:t>
      </w:r>
      <w:r>
        <w:rPr>
          <w:rFonts w:hint="eastAsia" w:ascii="宋体" w:hAnsi="宋体" w:eastAsia="宋体" w:cs="宋体"/>
          <w:b w:val="0"/>
          <w:bCs w:val="0"/>
          <w:i w:val="0"/>
          <w:iCs w:val="0"/>
          <w:caps w:val="0"/>
          <w:color w:val="auto"/>
          <w:spacing w:val="0"/>
          <w:kern w:val="0"/>
          <w:sz w:val="28"/>
          <w:szCs w:val="28"/>
          <w:highlight w:val="none"/>
          <w:u w:val="none" w:color="auto"/>
          <w:shd w:val="clear" w:fill="FFFFFF"/>
          <w:lang w:val="en-US" w:eastAsia="zh-CN" w:bidi="ar"/>
        </w:rPr>
        <w:t>的采购(以下称</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“项目”或“本项目”)提交竞价申请文件：</w:t>
      </w:r>
    </w:p>
    <w:p w14:paraId="1BC49E7B">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rPr>
        <w:t>方式：</w:t>
      </w:r>
      <w:r>
        <w:rPr>
          <w:rFonts w:hint="eastAsia" w:ascii="宋体" w:hAnsi="宋体" w:eastAsia="宋体" w:cs="宋体"/>
          <w:color w:val="auto"/>
          <w:sz w:val="28"/>
          <w:szCs w:val="28"/>
          <w:highlight w:val="none"/>
        </w:rPr>
        <w:t>公开</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竞价</w:t>
      </w:r>
    </w:p>
    <w:p w14:paraId="482B8CF2">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二、项目概况与</w:t>
      </w: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rPr>
        <w:t>内容</w:t>
      </w:r>
    </w:p>
    <w:p w14:paraId="6399B4DC">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bCs/>
          <w:color w:val="auto"/>
          <w:sz w:val="28"/>
          <w:szCs w:val="28"/>
          <w:highlight w:val="none"/>
        </w:rPr>
        <w:t>1、项目概况：</w:t>
      </w:r>
    </w:p>
    <w:p w14:paraId="4F225CF7">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0" w:firstLineChars="200"/>
        <w:jc w:val="lef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惠东县大洲片区新型城镇化基础设施建设项目(沿江北路)建设工程项目</w:t>
      </w:r>
      <w:r>
        <w:rPr>
          <w:rFonts w:hint="eastAsia" w:ascii="宋体" w:hAnsi="宋体" w:eastAsia="宋体" w:cs="宋体"/>
          <w:b w:val="0"/>
          <w:bCs w:val="0"/>
          <w:color w:val="auto"/>
          <w:sz w:val="28"/>
          <w:szCs w:val="28"/>
          <w:highlight w:val="none"/>
          <w:lang w:val="en-US" w:eastAsia="zh-CN"/>
        </w:rPr>
        <w:t>道路红线宽度为30米，按照城市主干路标准建设，双向4车道，设计速度50公里/小时，项目全长5.18公里。主要建设内容包括道路工程、桥梁、涵洞工程、交通工程、给水、排水工程、照明工程、电力、通信工程及绿化工程等。(具体施工内容以发包人提供的施工图及工程量清单为准)。</w:t>
      </w:r>
    </w:p>
    <w:p w14:paraId="0A5EC38C">
      <w:pPr>
        <w:pStyle w:val="18"/>
        <w:keepNext w:val="0"/>
        <w:keepLines w:val="0"/>
        <w:pageBreakBefore w:val="0"/>
        <w:framePr w:wrap="auto" w:vAnchor="margin" w:hAnchor="text" w:yAlign="inline"/>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2" w:firstLineChars="200"/>
        <w:jc w:val="left"/>
        <w:textAlignment w:val="auto"/>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rPr>
        <w:t>内容：</w:t>
      </w:r>
    </w:p>
    <w:p w14:paraId="4140DF0C">
      <w:pPr>
        <w:pStyle w:val="18"/>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rightChars="0"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eastAsia="zh-CN"/>
        </w:rPr>
        <w:t>承包人现场施工所需的商品混凝土</w:t>
      </w:r>
    </w:p>
    <w:p w14:paraId="537480CB">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2"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Style w:val="24"/>
          <w:rFonts w:hint="eastAsia" w:ascii="宋体" w:hAnsi="宋体" w:eastAsia="宋体" w:cs="宋体"/>
          <w:i w:val="0"/>
          <w:iCs w:val="0"/>
          <w:caps w:val="0"/>
          <w:color w:val="auto"/>
          <w:spacing w:val="0"/>
          <w:sz w:val="28"/>
          <w:szCs w:val="28"/>
          <w:highlight w:val="none"/>
          <w:u w:val="none"/>
          <w:shd w:val="clear" w:fill="FFFFFF"/>
        </w:rPr>
        <w:t>三、</w:t>
      </w:r>
      <w:r>
        <w:rPr>
          <w:rStyle w:val="24"/>
          <w:rFonts w:hint="eastAsia" w:ascii="宋体" w:hAnsi="宋体" w:eastAsia="宋体" w:cs="宋体"/>
          <w:i w:val="0"/>
          <w:iCs w:val="0"/>
          <w:caps w:val="0"/>
          <w:color w:val="auto"/>
          <w:spacing w:val="0"/>
          <w:sz w:val="28"/>
          <w:szCs w:val="28"/>
          <w:highlight w:val="none"/>
          <w:u w:val="none"/>
          <w:shd w:val="clear" w:fill="FFFFFF"/>
          <w:lang w:eastAsia="zh-CN"/>
        </w:rPr>
        <w:t>参选人</w:t>
      </w:r>
      <w:r>
        <w:rPr>
          <w:rStyle w:val="24"/>
          <w:rFonts w:hint="eastAsia" w:ascii="宋体" w:hAnsi="宋体" w:eastAsia="宋体" w:cs="宋体"/>
          <w:i w:val="0"/>
          <w:iCs w:val="0"/>
          <w:caps w:val="0"/>
          <w:color w:val="auto"/>
          <w:spacing w:val="0"/>
          <w:sz w:val="28"/>
          <w:szCs w:val="28"/>
          <w:highlight w:val="none"/>
          <w:u w:val="none"/>
          <w:shd w:val="clear" w:fill="FFFFFF"/>
        </w:rPr>
        <w:t>资格要求</w:t>
      </w:r>
    </w:p>
    <w:p w14:paraId="0516871B">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1、</w:t>
      </w:r>
      <w:r>
        <w:rPr>
          <w:rFonts w:hint="eastAsia" w:ascii="宋体" w:hAnsi="宋体" w:eastAsia="宋体" w:cs="宋体"/>
          <w:b w:val="0"/>
          <w:bCs w:val="0"/>
          <w:i w:val="0"/>
          <w:iCs w:val="0"/>
          <w:caps w:val="0"/>
          <w:color w:val="auto"/>
          <w:spacing w:val="0"/>
          <w:sz w:val="28"/>
          <w:szCs w:val="28"/>
          <w:highlight w:val="none"/>
          <w:u w:val="none"/>
          <w:shd w:val="clear" w:fill="FFFFFF"/>
        </w:rPr>
        <w:t>在中华人民共和国境内注册的法人或其他组织，</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rPr>
        <w:t>参选</w:t>
      </w:r>
      <w:r>
        <w:rPr>
          <w:rFonts w:hint="eastAsia" w:ascii="宋体" w:hAnsi="宋体" w:eastAsia="宋体" w:cs="宋体"/>
          <w:b w:val="0"/>
          <w:bCs w:val="0"/>
          <w:i w:val="0"/>
          <w:iCs w:val="0"/>
          <w:caps w:val="0"/>
          <w:color w:val="auto"/>
          <w:spacing w:val="0"/>
          <w:sz w:val="28"/>
          <w:szCs w:val="28"/>
          <w:highlight w:val="none"/>
          <w:u w:val="none"/>
          <w:shd w:val="clear" w:fill="FFFFFF"/>
        </w:rPr>
        <w:t>时提交有效的营业执照（或事业法人登记证等相关证明）副本复印件。分支机构投标的，须提供总公司和分公司营业执照副本复印件，总公司出具给分支机构的授权书</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w:t>
      </w:r>
    </w:p>
    <w:p w14:paraId="546FA678">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2、</w:t>
      </w:r>
      <w:r>
        <w:rPr>
          <w:rFonts w:hint="eastAsia" w:ascii="宋体" w:hAnsi="宋体" w:eastAsia="宋体" w:cs="宋体"/>
          <w:b w:val="0"/>
          <w:bCs w:val="0"/>
          <w:i w:val="0"/>
          <w:iCs w:val="0"/>
          <w:caps w:val="0"/>
          <w:color w:val="auto"/>
          <w:spacing w:val="0"/>
          <w:sz w:val="28"/>
          <w:szCs w:val="28"/>
          <w:highlight w:val="none"/>
          <w:u w:val="none"/>
          <w:shd w:val="clear" w:fill="FFFFFF"/>
        </w:rPr>
        <w:t>与</w:t>
      </w:r>
      <w:r>
        <w:rPr>
          <w:rFonts w:hint="eastAsia" w:ascii="宋体" w:hAnsi="宋体" w:eastAsia="宋体" w:cs="宋体"/>
          <w:b w:val="0"/>
          <w:bCs w:val="0"/>
          <w:i w:val="0"/>
          <w:iCs w:val="0"/>
          <w:caps w:val="0"/>
          <w:color w:val="auto"/>
          <w:spacing w:val="0"/>
          <w:sz w:val="28"/>
          <w:szCs w:val="28"/>
          <w:highlight w:val="none"/>
          <w:u w:val="none"/>
          <w:shd w:val="clear" w:fill="FFFFFF"/>
          <w:lang w:eastAsia="zh-CN"/>
        </w:rPr>
        <w:t>采购人</w:t>
      </w:r>
      <w:r>
        <w:rPr>
          <w:rFonts w:hint="eastAsia" w:ascii="宋体" w:hAnsi="宋体" w:eastAsia="宋体" w:cs="宋体"/>
          <w:b w:val="0"/>
          <w:bCs w:val="0"/>
          <w:i w:val="0"/>
          <w:iCs w:val="0"/>
          <w:caps w:val="0"/>
          <w:color w:val="auto"/>
          <w:spacing w:val="0"/>
          <w:sz w:val="28"/>
          <w:szCs w:val="28"/>
          <w:highlight w:val="none"/>
          <w:u w:val="none"/>
          <w:shd w:val="clear" w:fill="FFFFFF"/>
        </w:rPr>
        <w:t>存在利害关系可能影响</w:t>
      </w:r>
      <w:r>
        <w:rPr>
          <w:rFonts w:hint="eastAsia" w:ascii="宋体" w:hAnsi="宋体" w:eastAsia="宋体" w:cs="宋体"/>
          <w:b w:val="0"/>
          <w:bCs w:val="0"/>
          <w:i w:val="0"/>
          <w:iCs w:val="0"/>
          <w:caps w:val="0"/>
          <w:color w:val="auto"/>
          <w:spacing w:val="0"/>
          <w:sz w:val="28"/>
          <w:szCs w:val="28"/>
          <w:highlight w:val="none"/>
          <w:u w:val="none"/>
          <w:shd w:val="clear" w:fill="FFFFFF"/>
          <w:lang w:eastAsia="zh-CN"/>
        </w:rPr>
        <w:t>采购</w:t>
      </w:r>
      <w:r>
        <w:rPr>
          <w:rFonts w:hint="eastAsia" w:ascii="宋体" w:hAnsi="宋体" w:eastAsia="宋体" w:cs="宋体"/>
          <w:b w:val="0"/>
          <w:bCs w:val="0"/>
          <w:i w:val="0"/>
          <w:iCs w:val="0"/>
          <w:caps w:val="0"/>
          <w:color w:val="auto"/>
          <w:spacing w:val="0"/>
          <w:sz w:val="28"/>
          <w:szCs w:val="28"/>
          <w:highlight w:val="none"/>
          <w:u w:val="none"/>
          <w:shd w:val="clear" w:fill="FFFFFF"/>
        </w:rPr>
        <w:t>公正性的法人、其他组织或者个人，不得参加本项目响应；单位负责人为同一人或者存在控股（含法定代表人控股）、管理关系的不同单位，不得参加同一项目响应，否则均按否决响应处理。</w:t>
      </w:r>
    </w:p>
    <w:p w14:paraId="0B7FF86F">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360" w:lineRule="auto"/>
        <w:ind w:left="0" w:right="0" w:firstLine="555"/>
        <w:textAlignment w:val="auto"/>
        <w:rPr>
          <w:rFonts w:hint="eastAsia" w:ascii="宋体" w:hAnsi="宋体" w:eastAsia="宋体" w:cs="宋体"/>
          <w:b/>
          <w:bCs/>
          <w:color w:val="auto"/>
          <w:sz w:val="28"/>
          <w:szCs w:val="28"/>
          <w:highlight w:val="none"/>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3、</w:t>
      </w:r>
      <w:r>
        <w:rPr>
          <w:rFonts w:hint="eastAsia" w:ascii="宋体" w:hAnsi="宋体" w:eastAsia="宋体" w:cs="宋体"/>
          <w:b w:val="0"/>
          <w:bCs w:val="0"/>
          <w:i w:val="0"/>
          <w:iCs w:val="0"/>
          <w:caps w:val="0"/>
          <w:color w:val="auto"/>
          <w:spacing w:val="0"/>
          <w:sz w:val="28"/>
          <w:szCs w:val="28"/>
          <w:highlight w:val="none"/>
          <w:u w:val="none"/>
          <w:shd w:val="clear" w:fill="FFFFFF"/>
        </w:rPr>
        <w:t>本次</w:t>
      </w:r>
      <w:r>
        <w:rPr>
          <w:rFonts w:hint="eastAsia" w:ascii="宋体" w:hAnsi="宋体" w:eastAsia="宋体" w:cs="宋体"/>
          <w:b w:val="0"/>
          <w:bCs w:val="0"/>
          <w:i w:val="0"/>
          <w:iCs w:val="0"/>
          <w:caps w:val="0"/>
          <w:color w:val="auto"/>
          <w:spacing w:val="0"/>
          <w:sz w:val="28"/>
          <w:szCs w:val="28"/>
          <w:highlight w:val="none"/>
          <w:u w:val="none"/>
          <w:shd w:val="clear" w:fill="FFFFFF"/>
          <w:lang w:eastAsia="zh-CN"/>
        </w:rPr>
        <w:t>采购</w:t>
      </w:r>
      <w:r>
        <w:rPr>
          <w:rFonts w:hint="eastAsia" w:ascii="宋体" w:hAnsi="宋体" w:eastAsia="宋体" w:cs="宋体"/>
          <w:b w:val="0"/>
          <w:bCs w:val="0"/>
          <w:i w:val="0"/>
          <w:iCs w:val="0"/>
          <w:caps w:val="0"/>
          <w:color w:val="auto"/>
          <w:spacing w:val="0"/>
          <w:sz w:val="28"/>
          <w:szCs w:val="28"/>
          <w:highlight w:val="none"/>
          <w:u w:val="none"/>
          <w:shd w:val="clear" w:fill="FFFFFF"/>
        </w:rPr>
        <w:t>不接受联合体响应</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w:t>
      </w:r>
    </w:p>
    <w:p w14:paraId="46F802A1">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w:t>
      </w:r>
      <w:r>
        <w:rPr>
          <w:rFonts w:hint="eastAsia" w:ascii="宋体" w:hAnsi="宋体" w:eastAsia="宋体" w:cs="宋体"/>
          <w:b/>
          <w:bCs/>
          <w:i w:val="0"/>
          <w:iCs w:val="0"/>
          <w:caps w:val="0"/>
          <w:color w:val="auto"/>
          <w:spacing w:val="0"/>
          <w:kern w:val="0"/>
          <w:sz w:val="28"/>
          <w:szCs w:val="28"/>
          <w:highlight w:val="none"/>
          <w:u w:val="none"/>
          <w:shd w:val="clear" w:fill="FFFFFF"/>
          <w:lang w:val="en-US" w:eastAsia="zh-CN" w:bidi="ar"/>
        </w:rPr>
        <w:t>竞价文件</w:t>
      </w:r>
      <w:r>
        <w:rPr>
          <w:rFonts w:hint="eastAsia" w:ascii="宋体" w:hAnsi="宋体" w:eastAsia="宋体" w:cs="宋体"/>
          <w:b/>
          <w:bCs/>
          <w:color w:val="auto"/>
          <w:sz w:val="28"/>
          <w:szCs w:val="28"/>
          <w:highlight w:val="none"/>
        </w:rPr>
        <w:t>的获取</w:t>
      </w:r>
    </w:p>
    <w:p w14:paraId="722287D0">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w:t>
      </w:r>
      <w:r>
        <w:rPr>
          <w:rFonts w:hint="eastAsia" w:ascii="宋体" w:hAnsi="宋体" w:eastAsia="宋体" w:cs="宋体"/>
          <w:color w:val="auto"/>
          <w:sz w:val="28"/>
          <w:szCs w:val="28"/>
          <w:highlight w:val="none"/>
          <w:lang w:eastAsia="zh-CN"/>
        </w:rPr>
        <w:t>竞价文件</w:t>
      </w:r>
      <w:r>
        <w:rPr>
          <w:rFonts w:hint="eastAsia" w:ascii="宋体" w:hAnsi="宋体" w:eastAsia="宋体" w:cs="宋体"/>
          <w:color w:val="auto"/>
          <w:sz w:val="28"/>
          <w:szCs w:val="28"/>
          <w:highlight w:val="none"/>
        </w:rPr>
        <w:t>、补遗书（补充、澄清、修改文件）以网上下载方式发放。如需图纸请自行联系本项目联系人获取。</w:t>
      </w:r>
    </w:p>
    <w:p w14:paraId="418B91E3">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2、澄清、补充、修改等更正补充公告请自行登录</w:t>
      </w:r>
      <w:r>
        <w:rPr>
          <w:rFonts w:hint="eastAsia" w:ascii="宋体" w:hAnsi="宋体" w:eastAsia="宋体" w:cs="宋体"/>
          <w:color w:val="auto"/>
          <w:sz w:val="28"/>
          <w:szCs w:val="28"/>
          <w:highlight w:val="none"/>
          <w:lang w:val="en-US" w:eastAsia="zh-CN"/>
        </w:rPr>
        <w:t>http://www.gdltdjs.com</w:t>
      </w:r>
      <w:r>
        <w:rPr>
          <w:rFonts w:hint="eastAsia" w:ascii="宋体" w:hAnsi="宋体" w:eastAsia="宋体" w:cs="宋体"/>
          <w:color w:val="auto"/>
          <w:sz w:val="28"/>
          <w:szCs w:val="28"/>
          <w:highlight w:val="none"/>
        </w:rPr>
        <w:t>进行下载，</w:t>
      </w: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人不再另行通知。</w:t>
      </w:r>
    </w:p>
    <w:p w14:paraId="7E624360">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五、响应文件的递交</w:t>
      </w:r>
    </w:p>
    <w:p w14:paraId="3F683A41">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人不统一组织工程现场踏勘和响应预备会,响应人视需要自行前往现场踏勘。</w:t>
      </w:r>
    </w:p>
    <w:p w14:paraId="6B5EDCFD">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2、响应文</w:t>
      </w:r>
      <w:r>
        <w:rPr>
          <w:rFonts w:hint="eastAsia" w:ascii="宋体" w:hAnsi="宋体" w:eastAsia="宋体" w:cs="宋体"/>
          <w:color w:val="auto"/>
          <w:sz w:val="28"/>
          <w:szCs w:val="28"/>
          <w:highlight w:val="none"/>
          <w:u w:val="none" w:color="auto"/>
        </w:rPr>
        <w:t>件递交的截止时间</w:t>
      </w:r>
      <w:r>
        <w:rPr>
          <w:rFonts w:hint="eastAsia" w:ascii="宋体" w:hAnsi="宋体" w:eastAsia="宋体" w:cs="宋体"/>
          <w:color w:val="auto"/>
          <w:sz w:val="28"/>
          <w:szCs w:val="28"/>
          <w:highlight w:val="none"/>
          <w:u w:val="none" w:color="auto"/>
          <w:lang w:eastAsia="zh-CN"/>
        </w:rPr>
        <w:t>：</w:t>
      </w:r>
      <w:r>
        <w:rPr>
          <w:rFonts w:hint="eastAsia" w:ascii="宋体" w:hAnsi="宋体" w:eastAsia="宋体" w:cs="宋体"/>
          <w:color w:val="auto"/>
          <w:sz w:val="28"/>
          <w:szCs w:val="28"/>
          <w:highlight w:val="none"/>
          <w:u w:val="single" w:color="auto"/>
          <w:lang w:eastAsia="zh-CN"/>
        </w:rPr>
        <w:t>2024年</w:t>
      </w:r>
      <w:r>
        <w:rPr>
          <w:rFonts w:hint="eastAsia" w:ascii="宋体" w:hAnsi="宋体" w:eastAsia="宋体" w:cs="宋体"/>
          <w:color w:val="auto"/>
          <w:sz w:val="28"/>
          <w:szCs w:val="28"/>
          <w:highlight w:val="none"/>
          <w:u w:val="single" w:color="auto"/>
          <w:lang w:val="en-US" w:eastAsia="zh-CN"/>
        </w:rPr>
        <w:t>10</w:t>
      </w:r>
      <w:r>
        <w:rPr>
          <w:rFonts w:hint="eastAsia" w:ascii="宋体" w:hAnsi="宋体" w:eastAsia="宋体" w:cs="宋体"/>
          <w:color w:val="auto"/>
          <w:sz w:val="28"/>
          <w:szCs w:val="28"/>
          <w:highlight w:val="none"/>
          <w:u w:val="single" w:color="auto"/>
          <w:lang w:eastAsia="zh-CN"/>
        </w:rPr>
        <w:t>月</w:t>
      </w:r>
      <w:r>
        <w:rPr>
          <w:rFonts w:hint="eastAsia" w:ascii="宋体" w:hAnsi="宋体" w:eastAsia="宋体" w:cs="宋体"/>
          <w:color w:val="auto"/>
          <w:sz w:val="28"/>
          <w:szCs w:val="28"/>
          <w:highlight w:val="none"/>
          <w:u w:val="single" w:color="auto"/>
          <w:lang w:val="en-US" w:eastAsia="zh-CN"/>
        </w:rPr>
        <w:t>8</w:t>
      </w:r>
      <w:r>
        <w:rPr>
          <w:rFonts w:hint="eastAsia" w:ascii="宋体" w:hAnsi="宋体" w:eastAsia="宋体" w:cs="宋体"/>
          <w:color w:val="auto"/>
          <w:sz w:val="28"/>
          <w:szCs w:val="28"/>
          <w:highlight w:val="none"/>
          <w:u w:val="single" w:color="auto"/>
          <w:lang w:eastAsia="zh-CN"/>
        </w:rPr>
        <w:t>日12:00。</w:t>
      </w:r>
    </w:p>
    <w:p w14:paraId="3640B882">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3、响应文件递交方式：纸质响应文件采用现场递交或邮寄方式，递交（邮寄</w:t>
      </w:r>
      <w:r>
        <w:rPr>
          <w:rFonts w:hint="eastAsia" w:ascii="宋体" w:hAnsi="宋体" w:eastAsia="宋体" w:cs="宋体"/>
          <w:color w:val="auto"/>
          <w:sz w:val="28"/>
          <w:szCs w:val="28"/>
          <w:highlight w:val="none"/>
          <w:u w:val="none" w:color="auto"/>
        </w:rPr>
        <w:t>）地址：</w:t>
      </w:r>
      <w:r>
        <w:rPr>
          <w:rFonts w:hint="eastAsia" w:ascii="宋体" w:hAnsi="宋体" w:eastAsia="宋体" w:cs="宋体"/>
          <w:b w:val="0"/>
          <w:bCs w:val="0"/>
          <w:i w:val="0"/>
          <w:iCs w:val="0"/>
          <w:caps w:val="0"/>
          <w:color w:val="auto"/>
          <w:spacing w:val="0"/>
          <w:sz w:val="28"/>
          <w:szCs w:val="28"/>
          <w:highlight w:val="none"/>
          <w:u w:val="single"/>
          <w:shd w:val="clear" w:fill="FFFFFF"/>
          <w:lang w:val="en-US" w:eastAsia="zh-CN"/>
        </w:rPr>
        <w:t>惠州市惠东县惠东大道1212号4楼</w:t>
      </w:r>
      <w:r>
        <w:rPr>
          <w:rFonts w:hint="eastAsia" w:ascii="宋体" w:hAnsi="宋体" w:eastAsia="宋体" w:cs="宋体"/>
          <w:color w:val="auto"/>
          <w:sz w:val="28"/>
          <w:szCs w:val="28"/>
          <w:highlight w:val="none"/>
        </w:rPr>
        <w:t>。</w:t>
      </w:r>
    </w:p>
    <w:p w14:paraId="040406FF">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4、逾期送达或未密封将予以拒收。</w:t>
      </w:r>
    </w:p>
    <w:p w14:paraId="56982B21">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六、发布公告的媒介</w:t>
      </w:r>
    </w:p>
    <w:p w14:paraId="5E8C7AFB">
      <w:pPr>
        <w:pStyle w:val="32"/>
        <w:keepNext w:val="0"/>
        <w:keepLines w:val="0"/>
        <w:pageBreakBefore w:val="0"/>
        <w:framePr w:wrap="auto" w:vAnchor="margin" w:hAnchor="text" w:yAlign="inline"/>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采购公告</w:t>
      </w:r>
      <w:r>
        <w:rPr>
          <w:rFonts w:hint="eastAsia" w:ascii="宋体" w:hAnsi="宋体" w:eastAsia="宋体" w:cs="宋体"/>
          <w:color w:val="auto"/>
          <w:sz w:val="28"/>
          <w:szCs w:val="28"/>
          <w:highlight w:val="none"/>
        </w:rPr>
        <w:t>在</w:t>
      </w:r>
      <w:r>
        <w:rPr>
          <w:rFonts w:hint="eastAsia" w:ascii="宋体" w:hAnsi="宋体" w:eastAsia="宋体" w:cs="宋体"/>
          <w:color w:val="auto"/>
          <w:sz w:val="28"/>
          <w:szCs w:val="28"/>
          <w:highlight w:val="none"/>
          <w:lang w:val="en-US" w:eastAsia="zh-CN"/>
        </w:rPr>
        <w:t>http://www.gdltdjs.com</w:t>
      </w:r>
      <w:r>
        <w:rPr>
          <w:rFonts w:hint="eastAsia" w:ascii="宋体" w:hAnsi="宋体" w:eastAsia="宋体" w:cs="宋体"/>
          <w:color w:val="auto"/>
          <w:sz w:val="28"/>
          <w:szCs w:val="28"/>
          <w:highlight w:val="none"/>
        </w:rPr>
        <w:t>上发布。</w:t>
      </w:r>
    </w:p>
    <w:p w14:paraId="5695D644">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2" w:firstLineChars="200"/>
        <w:jc w:val="left"/>
        <w:textAlignment w:val="auto"/>
        <w:rPr>
          <w:rFonts w:hint="eastAsia" w:ascii="宋体" w:hAnsi="宋体" w:eastAsia="宋体" w:cs="宋体"/>
          <w:b/>
          <w:bCs/>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bCs/>
          <w:i w:val="0"/>
          <w:iCs w:val="0"/>
          <w:caps w:val="0"/>
          <w:color w:val="auto"/>
          <w:spacing w:val="0"/>
          <w:kern w:val="0"/>
          <w:sz w:val="28"/>
          <w:szCs w:val="28"/>
          <w:highlight w:val="none"/>
          <w:u w:val="none"/>
          <w:shd w:val="clear" w:fill="FFFFFF"/>
          <w:lang w:val="en-US" w:eastAsia="zh-CN" w:bidi="ar"/>
        </w:rPr>
        <w:t>七、联系方式：</w:t>
      </w:r>
    </w:p>
    <w:p w14:paraId="2CDFB51F">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1.采购人信息</w:t>
      </w:r>
    </w:p>
    <w:p w14:paraId="136086CB">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名称：广东路通达建设工程有限公司</w:t>
      </w:r>
    </w:p>
    <w:p w14:paraId="4B0BB101">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地址：</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rPr>
        <w:t>惠州市惠东县惠东大道1212号4楼</w:t>
      </w:r>
    </w:p>
    <w:p w14:paraId="5DD369A6">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联系方式：</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rPr>
        <w:t>0752-8115336</w:t>
      </w:r>
    </w:p>
    <w:p w14:paraId="5D9C6655">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2.采购代理机构信息</w:t>
      </w:r>
    </w:p>
    <w:p w14:paraId="5FB510A6">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名称：惠州中茂招标有限公司</w:t>
      </w:r>
    </w:p>
    <w:p w14:paraId="46C471E1">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地址：</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rPr>
        <w:t>惠州仲恺高新区陈江街道仲恺五路89号惠众公馆商业楼1栋8楼808、810号（集群注册）</w:t>
      </w:r>
    </w:p>
    <w:p w14:paraId="5D1E1227">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联系方式：</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rPr>
        <w:t>18927390540</w:t>
      </w:r>
    </w:p>
    <w:p w14:paraId="00A25926">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p>
    <w:p w14:paraId="249527E7">
      <w:pPr>
        <w:pStyle w:val="32"/>
        <w:keepNext w:val="0"/>
        <w:keepLines w:val="0"/>
        <w:pageBreakBefore w:val="0"/>
        <w:framePr w:wrap="auto" w:vAnchor="margin" w:hAnchor="text" w:yAlign="inline"/>
        <w:kinsoku/>
        <w:wordWrap/>
        <w:overflowPunct/>
        <w:topLinePunct w:val="0"/>
        <w:autoSpaceDE/>
        <w:autoSpaceDN/>
        <w:bidi w:val="0"/>
        <w:adjustRightInd w:val="0"/>
        <w:snapToGrid/>
        <w:spacing w:line="360" w:lineRule="auto"/>
        <w:ind w:right="560"/>
        <w:jc w:val="righ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p>
    <w:p w14:paraId="337B14FF">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556"/>
        <w:jc w:val="righ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采购人：广东路通达建设工程有限公司</w:t>
      </w:r>
    </w:p>
    <w:p w14:paraId="19250DC1">
      <w:pPr>
        <w:pStyle w:val="18"/>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556"/>
        <w:jc w:val="righ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采购代理机构：惠州中茂招标有限公司</w:t>
      </w:r>
    </w:p>
    <w:p w14:paraId="470C4D01">
      <w:pPr>
        <w:framePr w:wrap="auto" w:vAnchor="margin" w:hAnchor="text" w:yAlign="inline"/>
        <w:jc w:val="right"/>
        <w:rPr>
          <w:rFonts w:hint="eastAsia" w:ascii="宋体" w:hAnsi="宋体" w:eastAsia="宋体" w:cs="宋体"/>
          <w:b/>
          <w:bCs/>
          <w:color w:val="auto"/>
          <w:sz w:val="32"/>
          <w:szCs w:val="32"/>
          <w:highlight w:val="none"/>
          <w:shd w:val="clear" w:color="FFFFFF" w:fill="D9D9D9"/>
          <w:lang w:val="zh-TW" w:eastAsia="zh-CN"/>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公告发布时间：2024年9月26日</w:t>
      </w:r>
    </w:p>
    <w:p w14:paraId="54750EC3">
      <w:pPr>
        <w:framePr w:wrap="auto" w:vAnchor="margin" w:hAnchor="text" w:yAlign="inline"/>
        <w:rPr>
          <w:rFonts w:hint="eastAsia" w:ascii="宋体" w:hAnsi="宋体" w:eastAsia="宋体" w:cs="宋体"/>
          <w:b/>
          <w:bCs/>
          <w:color w:val="auto"/>
          <w:sz w:val="32"/>
          <w:szCs w:val="32"/>
          <w:highlight w:val="none"/>
          <w:lang w:val="zh-TW" w:eastAsia="zh-TW"/>
        </w:rPr>
      </w:pPr>
    </w:p>
    <w:p w14:paraId="61BC0AF9">
      <w:pPr>
        <w:framePr w:wrap="auto" w:vAnchor="margin" w:hAnchor="text" w:yAlign="inline"/>
        <w:rPr>
          <w:rFonts w:hint="eastAsia" w:ascii="宋体" w:hAnsi="宋体" w:eastAsia="宋体" w:cs="宋体"/>
          <w:b/>
          <w:bCs/>
          <w:color w:val="auto"/>
          <w:sz w:val="32"/>
          <w:szCs w:val="32"/>
          <w:highlight w:val="none"/>
          <w:lang w:val="zh-TW" w:eastAsia="zh-TW"/>
        </w:rPr>
      </w:pPr>
    </w:p>
    <w:p w14:paraId="687C0335">
      <w:pPr>
        <w:framePr w:wrap="auto" w:vAnchor="margin" w:hAnchor="text" w:yAlign="inline"/>
        <w:rPr>
          <w:rFonts w:hint="eastAsia" w:ascii="宋体" w:hAnsi="宋体" w:eastAsia="宋体" w:cs="宋体"/>
          <w:b/>
          <w:bCs/>
          <w:color w:val="auto"/>
          <w:sz w:val="32"/>
          <w:szCs w:val="32"/>
          <w:highlight w:val="none"/>
          <w:lang w:val="zh-TW" w:eastAsia="zh-TW"/>
        </w:rPr>
      </w:pPr>
      <w:r>
        <w:rPr>
          <w:rFonts w:hint="eastAsia" w:ascii="宋体" w:hAnsi="宋体" w:eastAsia="宋体" w:cs="宋体"/>
          <w:b/>
          <w:bCs/>
          <w:color w:val="auto"/>
          <w:sz w:val="32"/>
          <w:szCs w:val="32"/>
          <w:highlight w:val="none"/>
          <w:lang w:val="zh-TW" w:eastAsia="zh-TW"/>
        </w:rPr>
        <w:br w:type="page"/>
      </w:r>
    </w:p>
    <w:p w14:paraId="1FF202B8">
      <w:pPr>
        <w:keepNext w:val="0"/>
        <w:keepLines/>
        <w:pageBreakBefore w:val="0"/>
        <w:framePr w:wrap="auto" w:vAnchor="margin" w:hAnchor="text" w:yAlign="inline"/>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28"/>
          <w:szCs w:val="28"/>
          <w:highlight w:val="none"/>
          <w:lang w:eastAsia="zh-CN"/>
        </w:rPr>
      </w:pPr>
      <w:bookmarkStart w:id="12" w:name="_Toc29038"/>
      <w:r>
        <w:rPr>
          <w:rFonts w:hint="eastAsia" w:ascii="宋体" w:hAnsi="宋体" w:eastAsia="宋体" w:cs="宋体"/>
          <w:b/>
          <w:bCs/>
          <w:color w:val="auto"/>
          <w:sz w:val="32"/>
          <w:szCs w:val="32"/>
          <w:highlight w:val="none"/>
          <w:lang w:val="zh-TW" w:eastAsia="zh-TW"/>
        </w:rPr>
        <w:t>第</w:t>
      </w: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lang w:val="zh-TW" w:eastAsia="zh-TW"/>
        </w:rPr>
        <w:t xml:space="preserve">部分 </w:t>
      </w:r>
      <w:bookmarkEnd w:id="1"/>
      <w:bookmarkEnd w:id="2"/>
      <w:bookmarkEnd w:id="3"/>
      <w:bookmarkEnd w:id="4"/>
      <w:bookmarkEnd w:id="5"/>
      <w:bookmarkEnd w:id="6"/>
      <w:bookmarkEnd w:id="7"/>
      <w:bookmarkEnd w:id="8"/>
      <w:bookmarkEnd w:id="9"/>
      <w:bookmarkEnd w:id="10"/>
      <w:bookmarkEnd w:id="11"/>
      <w:r>
        <w:rPr>
          <w:rFonts w:hint="eastAsia" w:ascii="宋体" w:hAnsi="宋体" w:eastAsia="宋体" w:cs="宋体"/>
          <w:b/>
          <w:bCs/>
          <w:color w:val="auto"/>
          <w:sz w:val="32"/>
          <w:szCs w:val="32"/>
          <w:highlight w:val="none"/>
          <w:lang w:val="zh-TW" w:eastAsia="zh-TW"/>
        </w:rPr>
        <w:t xml:space="preserve"> </w:t>
      </w:r>
      <w:r>
        <w:rPr>
          <w:rFonts w:hint="eastAsia" w:ascii="宋体" w:hAnsi="宋体" w:eastAsia="宋体" w:cs="宋体"/>
          <w:b/>
          <w:bCs/>
          <w:color w:val="auto"/>
          <w:sz w:val="32"/>
          <w:szCs w:val="32"/>
          <w:highlight w:val="none"/>
          <w:lang w:eastAsia="zh-CN"/>
        </w:rPr>
        <w:t>参选人须知</w:t>
      </w:r>
      <w:bookmarkEnd w:id="12"/>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909"/>
        <w:gridCol w:w="5859"/>
      </w:tblGrid>
      <w:tr w14:paraId="1D2B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3630068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序号</w:t>
            </w:r>
          </w:p>
        </w:tc>
        <w:tc>
          <w:tcPr>
            <w:tcW w:w="1123" w:type="pct"/>
            <w:noWrap w:val="0"/>
            <w:vAlign w:val="center"/>
          </w:tcPr>
          <w:p w14:paraId="62532E62">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条款名称</w:t>
            </w:r>
          </w:p>
        </w:tc>
        <w:tc>
          <w:tcPr>
            <w:tcW w:w="3445" w:type="pct"/>
            <w:noWrap w:val="0"/>
            <w:vAlign w:val="center"/>
          </w:tcPr>
          <w:p w14:paraId="25461098">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编列内容</w:t>
            </w:r>
          </w:p>
        </w:tc>
      </w:tr>
      <w:tr w14:paraId="7185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257353C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123" w:type="pct"/>
            <w:noWrap w:val="0"/>
            <w:vAlign w:val="center"/>
          </w:tcPr>
          <w:p w14:paraId="5C95A5C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人</w:t>
            </w:r>
          </w:p>
        </w:tc>
        <w:tc>
          <w:tcPr>
            <w:tcW w:w="3445" w:type="pct"/>
            <w:noWrap w:val="0"/>
            <w:vAlign w:val="center"/>
          </w:tcPr>
          <w:p w14:paraId="292AA24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lang w:val="en-US" w:eastAsia="zh-CN"/>
              </w:rPr>
              <w:t>广东路通达建设工程有限公司</w:t>
            </w:r>
          </w:p>
          <w:p w14:paraId="6DB47199">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地址：</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rPr>
              <w:t>惠州市惠东县惠东大道1212号4楼</w:t>
            </w:r>
          </w:p>
          <w:p w14:paraId="1322942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电话：</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rPr>
              <w:t>0752-8115336</w:t>
            </w:r>
          </w:p>
        </w:tc>
      </w:tr>
      <w:tr w14:paraId="67FF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F60735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123" w:type="pct"/>
            <w:noWrap w:val="0"/>
            <w:vAlign w:val="center"/>
          </w:tcPr>
          <w:p w14:paraId="51E7A56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3445" w:type="pct"/>
            <w:noWrap w:val="0"/>
            <w:vAlign w:val="center"/>
          </w:tcPr>
          <w:p w14:paraId="324709BC">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b w:val="0"/>
                <w:bCs w:val="0"/>
                <w:i w:val="0"/>
                <w:iCs w:val="0"/>
                <w:caps w:val="0"/>
                <w:color w:val="auto"/>
                <w:spacing w:val="0"/>
                <w:kern w:val="0"/>
                <w:sz w:val="28"/>
                <w:szCs w:val="28"/>
                <w:highlight w:val="none"/>
                <w:u w:val="none"/>
                <w:shd w:val="clear" w:color="auto" w:fill="FFFFFF"/>
                <w:lang w:val="en-US" w:eastAsia="zh-CN" w:bidi="ar"/>
              </w:rPr>
              <w:t>惠东县大洲片区新型城镇化基础设施建设项目(沿江北路)建设工程项目编号（05）商品混凝土</w:t>
            </w:r>
          </w:p>
        </w:tc>
      </w:tr>
      <w:tr w14:paraId="3930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703F2DC">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w:t>
            </w:r>
          </w:p>
        </w:tc>
        <w:tc>
          <w:tcPr>
            <w:tcW w:w="1123" w:type="pct"/>
            <w:noWrap w:val="0"/>
            <w:vAlign w:val="center"/>
          </w:tcPr>
          <w:p w14:paraId="4BA5E5A9">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内容</w:t>
            </w:r>
          </w:p>
        </w:tc>
        <w:tc>
          <w:tcPr>
            <w:tcW w:w="3445" w:type="pct"/>
            <w:noWrap w:val="0"/>
            <w:vAlign w:val="center"/>
          </w:tcPr>
          <w:p w14:paraId="5BC52958">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承包人现场施工所需的商品混凝土</w:t>
            </w:r>
          </w:p>
        </w:tc>
      </w:tr>
      <w:tr w14:paraId="0788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7916163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w:t>
            </w:r>
          </w:p>
        </w:tc>
        <w:tc>
          <w:tcPr>
            <w:tcW w:w="1123" w:type="pct"/>
            <w:noWrap w:val="0"/>
            <w:vAlign w:val="center"/>
          </w:tcPr>
          <w:p w14:paraId="7F6125FE">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工</w:t>
            </w:r>
            <w:r>
              <w:rPr>
                <w:rFonts w:hint="eastAsia" w:ascii="宋体" w:hAnsi="宋体" w:eastAsia="宋体" w:cs="宋体"/>
                <w:color w:val="auto"/>
                <w:sz w:val="28"/>
                <w:szCs w:val="28"/>
                <w:highlight w:val="none"/>
              </w:rPr>
              <w:t>期</w:t>
            </w:r>
          </w:p>
        </w:tc>
        <w:tc>
          <w:tcPr>
            <w:tcW w:w="3445" w:type="pct"/>
            <w:noWrap w:val="0"/>
            <w:vAlign w:val="center"/>
          </w:tcPr>
          <w:p w14:paraId="55BC141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lang w:eastAsia="zh-CN"/>
              </w:rPr>
              <w:t>202</w:t>
            </w:r>
            <w:r>
              <w:rPr>
                <w:rFonts w:hint="eastAsia" w:ascii="宋体" w:hAnsi="宋体" w:eastAsia="宋体" w:cs="宋体"/>
                <w:color w:val="auto"/>
                <w:sz w:val="28"/>
                <w:szCs w:val="28"/>
                <w:highlight w:val="none"/>
                <w:u w:val="none"/>
                <w:lang w:val="en-US" w:eastAsia="zh-CN"/>
              </w:rPr>
              <w:t>4</w:t>
            </w:r>
            <w:r>
              <w:rPr>
                <w:rFonts w:hint="eastAsia" w:ascii="宋体" w:hAnsi="宋体" w:eastAsia="宋体" w:cs="宋体"/>
                <w:color w:val="auto"/>
                <w:sz w:val="28"/>
                <w:szCs w:val="28"/>
                <w:highlight w:val="none"/>
                <w:u w:val="none"/>
                <w:lang w:eastAsia="zh-CN"/>
              </w:rPr>
              <w:t>年</w:t>
            </w:r>
            <w:r>
              <w:rPr>
                <w:rFonts w:hint="eastAsia" w:ascii="宋体" w:hAnsi="宋体" w:eastAsia="宋体" w:cs="宋体"/>
                <w:color w:val="auto"/>
                <w:sz w:val="28"/>
                <w:szCs w:val="28"/>
                <w:highlight w:val="none"/>
                <w:u w:val="none"/>
                <w:lang w:val="en-US" w:eastAsia="zh-CN"/>
              </w:rPr>
              <w:t>10</w:t>
            </w:r>
            <w:r>
              <w:rPr>
                <w:rFonts w:hint="eastAsia" w:ascii="宋体" w:hAnsi="宋体" w:eastAsia="宋体" w:cs="宋体"/>
                <w:color w:val="auto"/>
                <w:sz w:val="28"/>
                <w:szCs w:val="28"/>
                <w:highlight w:val="none"/>
                <w:u w:val="none"/>
                <w:lang w:eastAsia="zh-CN"/>
              </w:rPr>
              <w:t>月-工程结束</w:t>
            </w:r>
          </w:p>
        </w:tc>
      </w:tr>
      <w:tr w14:paraId="620E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883099E">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w:t>
            </w:r>
          </w:p>
        </w:tc>
        <w:tc>
          <w:tcPr>
            <w:tcW w:w="1123" w:type="pct"/>
            <w:noWrap w:val="0"/>
            <w:vAlign w:val="center"/>
          </w:tcPr>
          <w:p w14:paraId="3BB3BE6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质量要求</w:t>
            </w:r>
          </w:p>
        </w:tc>
        <w:tc>
          <w:tcPr>
            <w:tcW w:w="3445" w:type="pct"/>
            <w:noWrap w:val="0"/>
            <w:vAlign w:val="center"/>
          </w:tcPr>
          <w:p w14:paraId="68D6526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合格</w:t>
            </w:r>
          </w:p>
        </w:tc>
      </w:tr>
      <w:tr w14:paraId="3431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30E657D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6</w:t>
            </w:r>
          </w:p>
        </w:tc>
        <w:tc>
          <w:tcPr>
            <w:tcW w:w="1123" w:type="pct"/>
            <w:noWrap w:val="0"/>
            <w:vAlign w:val="center"/>
          </w:tcPr>
          <w:p w14:paraId="16ADFE4D">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参选人</w:t>
            </w:r>
          </w:p>
          <w:p w14:paraId="22E15A98">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资格条件</w:t>
            </w:r>
          </w:p>
        </w:tc>
        <w:tc>
          <w:tcPr>
            <w:tcW w:w="3445" w:type="pct"/>
            <w:noWrap w:val="0"/>
            <w:vAlign w:val="center"/>
          </w:tcPr>
          <w:p w14:paraId="6B7D56D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在中华人民共和国境内注册的法人或其他组织，</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时提交有效的营业执照（或事业法人登记证等相关证明）副本复印件。分支机构投标的，须提供总公司和分公司营业执照副本复印件，总公司出具给分支机构的授权书</w:t>
            </w:r>
            <w:r>
              <w:rPr>
                <w:rFonts w:hint="eastAsia" w:ascii="宋体" w:hAnsi="宋体" w:eastAsia="宋体" w:cs="宋体"/>
                <w:color w:val="auto"/>
                <w:sz w:val="28"/>
                <w:szCs w:val="28"/>
                <w:highlight w:val="none"/>
                <w:lang w:val="en-US" w:eastAsia="zh-CN"/>
              </w:rPr>
              <w:t>。</w:t>
            </w:r>
          </w:p>
          <w:p w14:paraId="20C277F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与采购人存在利害关系可能影响采购公正性的法人、其他组织或者个人，不得参加本项目响应；单位负责人为同一人或者存在控股（含法定代表人控股）、管理关系的不同单位，不得参加同一项目响应，否则均按否决响应处理。</w:t>
            </w:r>
          </w:p>
          <w:p w14:paraId="3F94CE22">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本次采购不接受联合体响应</w:t>
            </w:r>
          </w:p>
        </w:tc>
      </w:tr>
      <w:tr w14:paraId="586E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5074AAC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w:t>
            </w:r>
          </w:p>
        </w:tc>
        <w:tc>
          <w:tcPr>
            <w:tcW w:w="1123" w:type="pct"/>
            <w:noWrap w:val="0"/>
            <w:vAlign w:val="center"/>
          </w:tcPr>
          <w:p w14:paraId="049E566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是否接受</w:t>
            </w:r>
          </w:p>
          <w:p w14:paraId="60919804">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联合体</w:t>
            </w:r>
          </w:p>
        </w:tc>
        <w:tc>
          <w:tcPr>
            <w:tcW w:w="3445" w:type="pct"/>
            <w:noWrap w:val="0"/>
            <w:vAlign w:val="center"/>
          </w:tcPr>
          <w:p w14:paraId="2E8499D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□接受，但联合体所有成员不得超过2家。</w:t>
            </w:r>
          </w:p>
          <w:p w14:paraId="0599C80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不接受</w:t>
            </w:r>
          </w:p>
        </w:tc>
      </w:tr>
      <w:tr w14:paraId="2F33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5AB14C5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8</w:t>
            </w:r>
          </w:p>
        </w:tc>
        <w:tc>
          <w:tcPr>
            <w:tcW w:w="1123" w:type="pct"/>
            <w:noWrap w:val="0"/>
            <w:vAlign w:val="center"/>
          </w:tcPr>
          <w:p w14:paraId="53867A5F">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踏勘现场</w:t>
            </w:r>
          </w:p>
        </w:tc>
        <w:tc>
          <w:tcPr>
            <w:tcW w:w="3445" w:type="pct"/>
            <w:noWrap w:val="0"/>
            <w:vAlign w:val="center"/>
          </w:tcPr>
          <w:p w14:paraId="7BDB7960">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□组织</w:t>
            </w:r>
          </w:p>
          <w:p w14:paraId="7EA959D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☑不组织</w:t>
            </w:r>
          </w:p>
          <w:p w14:paraId="29262D8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采购人不组织统一的现场踏勘。若为获取自己负责的有关编制响应文件的资料，响应人可自行安排踏勘，但现场踏勘的费用、交通、安全及其它相关问题，均由响应人自己承担和解决。</w:t>
            </w:r>
          </w:p>
        </w:tc>
      </w:tr>
      <w:tr w14:paraId="64B3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2FFD3B82">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9</w:t>
            </w:r>
          </w:p>
        </w:tc>
        <w:tc>
          <w:tcPr>
            <w:tcW w:w="1123" w:type="pct"/>
            <w:noWrap w:val="0"/>
            <w:vAlign w:val="center"/>
          </w:tcPr>
          <w:p w14:paraId="6BE6E12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3445" w:type="pct"/>
            <w:noWrap w:val="0"/>
            <w:vAlign w:val="center"/>
          </w:tcPr>
          <w:p w14:paraId="0D9E428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☑不允许</w:t>
            </w:r>
          </w:p>
          <w:p w14:paraId="382B6D80">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□允许</w:t>
            </w:r>
          </w:p>
          <w:p w14:paraId="76AA432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允许细微偏离，应当符合相关规定的偏离范围和幅度。</w:t>
            </w:r>
          </w:p>
        </w:tc>
      </w:tr>
      <w:tr w14:paraId="0333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7BB9F912">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w:t>
            </w:r>
          </w:p>
        </w:tc>
        <w:tc>
          <w:tcPr>
            <w:tcW w:w="1123" w:type="pct"/>
            <w:noWrap w:val="0"/>
            <w:vAlign w:val="center"/>
          </w:tcPr>
          <w:p w14:paraId="2886592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截止时间</w:t>
            </w:r>
          </w:p>
        </w:tc>
        <w:tc>
          <w:tcPr>
            <w:tcW w:w="3445" w:type="pct"/>
            <w:noWrap w:val="0"/>
            <w:vAlign w:val="center"/>
          </w:tcPr>
          <w:p w14:paraId="3EF7737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u w:val="single"/>
                <w:lang w:val="en-US"/>
              </w:rPr>
            </w:pPr>
            <w:r>
              <w:rPr>
                <w:rFonts w:hint="eastAsia" w:ascii="宋体" w:hAnsi="宋体" w:eastAsia="宋体" w:cs="宋体"/>
                <w:color w:val="auto"/>
                <w:sz w:val="28"/>
                <w:szCs w:val="28"/>
                <w:highlight w:val="none"/>
                <w:u w:val="single"/>
                <w:lang w:val="en-US" w:eastAsia="zh-CN"/>
              </w:rPr>
              <w:t>2024年10月8日12:00</w:t>
            </w:r>
          </w:p>
        </w:tc>
      </w:tr>
      <w:tr w14:paraId="1A32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524314D">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11</w:t>
            </w:r>
          </w:p>
        </w:tc>
        <w:tc>
          <w:tcPr>
            <w:tcW w:w="1123" w:type="pct"/>
            <w:noWrap w:val="0"/>
            <w:vAlign w:val="center"/>
          </w:tcPr>
          <w:p w14:paraId="6D562ED4">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保证金</w:t>
            </w:r>
          </w:p>
        </w:tc>
        <w:tc>
          <w:tcPr>
            <w:tcW w:w="3445" w:type="pct"/>
            <w:noWrap w:val="0"/>
            <w:vAlign w:val="center"/>
          </w:tcPr>
          <w:p w14:paraId="7ED2390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本项目不收取采购保证金</w:t>
            </w:r>
          </w:p>
        </w:tc>
      </w:tr>
      <w:tr w14:paraId="33B8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6FC24528">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12</w:t>
            </w:r>
          </w:p>
        </w:tc>
        <w:tc>
          <w:tcPr>
            <w:tcW w:w="1123" w:type="pct"/>
            <w:noWrap w:val="0"/>
            <w:vAlign w:val="center"/>
          </w:tcPr>
          <w:p w14:paraId="1313524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签字或盖章</w:t>
            </w:r>
          </w:p>
          <w:p w14:paraId="710F419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具体要求</w:t>
            </w:r>
          </w:p>
        </w:tc>
        <w:tc>
          <w:tcPr>
            <w:tcW w:w="3445" w:type="pct"/>
            <w:noWrap w:val="0"/>
            <w:vAlign w:val="center"/>
          </w:tcPr>
          <w:p w14:paraId="5621013B">
            <w:pPr>
              <w:keepNext w:val="0"/>
              <w:keepLines w:val="0"/>
              <w:pageBreakBefore w:val="0"/>
              <w:framePr w:wrap="auto" w:vAnchor="margin" w:hAnchor="text" w:yAlign="inline"/>
              <w:widowControl/>
              <w:kinsoku/>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响应文件应用不褪色的墨水书写或打印，</w:t>
            </w:r>
            <w:r>
              <w:rPr>
                <w:rFonts w:hint="eastAsia" w:ascii="宋体" w:hAnsi="宋体" w:eastAsia="宋体" w:cs="宋体"/>
                <w:color w:val="auto"/>
                <w:sz w:val="28"/>
                <w:szCs w:val="28"/>
                <w:highlight w:val="none"/>
                <w:lang w:val="en-US" w:eastAsia="zh-CN"/>
              </w:rPr>
              <w:t>并</w:t>
            </w:r>
            <w:r>
              <w:rPr>
                <w:rFonts w:hint="eastAsia" w:ascii="宋体" w:hAnsi="宋体" w:eastAsia="宋体" w:cs="宋体"/>
                <w:b w:val="0"/>
                <w:bCs w:val="0"/>
                <w:color w:val="auto"/>
                <w:sz w:val="28"/>
                <w:szCs w:val="28"/>
                <w:highlight w:val="none"/>
                <w:lang w:eastAsia="zh-CN"/>
              </w:rPr>
              <w:t>按竞价文件明确规定的格式和要求签名和盖章。</w:t>
            </w:r>
          </w:p>
        </w:tc>
      </w:tr>
      <w:tr w14:paraId="5286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7DE72740">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13</w:t>
            </w:r>
          </w:p>
        </w:tc>
        <w:tc>
          <w:tcPr>
            <w:tcW w:w="1123" w:type="pct"/>
            <w:noWrap w:val="0"/>
            <w:vAlign w:val="center"/>
          </w:tcPr>
          <w:p w14:paraId="531A01B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w:t>
            </w:r>
          </w:p>
          <w:p w14:paraId="752AA4E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份数</w:t>
            </w:r>
          </w:p>
        </w:tc>
        <w:tc>
          <w:tcPr>
            <w:tcW w:w="3445" w:type="pct"/>
            <w:noWrap w:val="0"/>
            <w:vAlign w:val="center"/>
          </w:tcPr>
          <w:p w14:paraId="0614FB3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一式</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份，密封提交</w:t>
            </w:r>
            <w:r>
              <w:rPr>
                <w:rFonts w:hint="eastAsia" w:ascii="宋体" w:hAnsi="宋体" w:eastAsia="宋体" w:cs="宋体"/>
                <w:color w:val="auto"/>
                <w:sz w:val="28"/>
                <w:szCs w:val="28"/>
                <w:highlight w:val="none"/>
                <w:lang w:eastAsia="zh-CN"/>
              </w:rPr>
              <w:t>。</w:t>
            </w:r>
          </w:p>
        </w:tc>
      </w:tr>
      <w:tr w14:paraId="1090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8ECB5F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14</w:t>
            </w:r>
          </w:p>
        </w:tc>
        <w:tc>
          <w:tcPr>
            <w:tcW w:w="1123" w:type="pct"/>
            <w:noWrap w:val="0"/>
            <w:vAlign w:val="center"/>
          </w:tcPr>
          <w:p w14:paraId="70F6C39E">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装订要求</w:t>
            </w:r>
          </w:p>
        </w:tc>
        <w:tc>
          <w:tcPr>
            <w:tcW w:w="3445" w:type="pct"/>
            <w:noWrap w:val="0"/>
            <w:vAlign w:val="center"/>
          </w:tcPr>
          <w:p w14:paraId="7091A8D9">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无</w:t>
            </w:r>
          </w:p>
        </w:tc>
      </w:tr>
      <w:tr w14:paraId="2C13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6F67E10">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15</w:t>
            </w:r>
          </w:p>
        </w:tc>
        <w:tc>
          <w:tcPr>
            <w:tcW w:w="1123" w:type="pct"/>
            <w:noWrap w:val="0"/>
            <w:vAlign w:val="center"/>
          </w:tcPr>
          <w:p w14:paraId="52C31B5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封套上写明</w:t>
            </w:r>
          </w:p>
        </w:tc>
        <w:tc>
          <w:tcPr>
            <w:tcW w:w="3445" w:type="pct"/>
            <w:noWrap w:val="0"/>
            <w:vAlign w:val="center"/>
          </w:tcPr>
          <w:p w14:paraId="1588875C">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采购人名称：</w:t>
            </w:r>
            <w:r>
              <w:rPr>
                <w:rFonts w:hint="eastAsia" w:ascii="宋体" w:hAnsi="宋体" w:eastAsia="宋体" w:cs="宋体"/>
                <w:color w:val="auto"/>
                <w:sz w:val="28"/>
                <w:szCs w:val="28"/>
                <w:highlight w:val="none"/>
                <w:lang w:val="en-US" w:eastAsia="zh-CN"/>
              </w:rPr>
              <w:t>广东路通达建设工程有限公司</w:t>
            </w:r>
          </w:p>
          <w:p w14:paraId="6754D96F">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送达响应文件地址：</w:t>
            </w:r>
            <w:r>
              <w:rPr>
                <w:rFonts w:hint="eastAsia" w:ascii="宋体" w:hAnsi="宋体" w:eastAsia="宋体" w:cs="宋体"/>
                <w:color w:val="auto"/>
                <w:sz w:val="28"/>
                <w:szCs w:val="28"/>
                <w:highlight w:val="none"/>
                <w:u w:val="single"/>
                <w:lang w:val="en-US" w:eastAsia="zh-CN"/>
              </w:rPr>
              <w:t>惠州市惠东县惠东大道1212号4楼</w:t>
            </w:r>
          </w:p>
          <w:p w14:paraId="75C1DC0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响应人名称：</w:t>
            </w:r>
            <w:r>
              <w:rPr>
                <w:rFonts w:hint="eastAsia" w:ascii="宋体" w:hAnsi="宋体" w:eastAsia="宋体" w:cs="宋体"/>
                <w:color w:val="auto"/>
                <w:sz w:val="28"/>
                <w:szCs w:val="28"/>
                <w:highlight w:val="none"/>
                <w:u w:val="single"/>
                <w:lang w:eastAsia="zh-CN"/>
              </w:rPr>
              <w:t xml:space="preserve">    </w:t>
            </w:r>
          </w:p>
          <w:p w14:paraId="22161C7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响应人地址：</w:t>
            </w:r>
            <w:r>
              <w:rPr>
                <w:rFonts w:hint="eastAsia" w:ascii="宋体" w:hAnsi="宋体" w:eastAsia="宋体" w:cs="宋体"/>
                <w:color w:val="auto"/>
                <w:sz w:val="28"/>
                <w:szCs w:val="28"/>
                <w:highlight w:val="none"/>
                <w:u w:val="single"/>
                <w:lang w:eastAsia="zh-CN"/>
              </w:rPr>
              <w:t xml:space="preserve">    </w:t>
            </w:r>
          </w:p>
          <w:p w14:paraId="2CC54F84">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响应项目名称：</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响应文件</w:t>
            </w:r>
          </w:p>
          <w:p w14:paraId="2F9233CF">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在</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bCs/>
                <w:color w:val="auto"/>
                <w:sz w:val="28"/>
                <w:szCs w:val="28"/>
                <w:highlight w:val="none"/>
                <w:lang w:eastAsia="zh-CN"/>
              </w:rPr>
              <w:t>年</w:t>
            </w:r>
            <w:r>
              <w:rPr>
                <w:rFonts w:hint="eastAsia" w:ascii="宋体" w:hAnsi="宋体" w:eastAsia="宋体" w:cs="宋体"/>
                <w:bCs/>
                <w:color w:val="auto"/>
                <w:sz w:val="28"/>
                <w:szCs w:val="28"/>
                <w:highlight w:val="none"/>
                <w:u w:val="single"/>
                <w:lang w:eastAsia="zh-CN"/>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lang w:eastAsia="zh-CN"/>
              </w:rPr>
              <w:t xml:space="preserve"> </w:t>
            </w:r>
            <w:r>
              <w:rPr>
                <w:rFonts w:hint="eastAsia" w:ascii="宋体" w:hAnsi="宋体" w:eastAsia="宋体" w:cs="宋体"/>
                <w:color w:val="auto"/>
                <w:kern w:val="44"/>
                <w:sz w:val="28"/>
                <w:szCs w:val="28"/>
                <w:highlight w:val="none"/>
                <w:lang w:eastAsia="zh-CN"/>
              </w:rPr>
              <w:t>月</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u w:val="single"/>
                <w:lang w:val="en-US" w:eastAsia="zh-CN"/>
              </w:rPr>
              <w:t xml:space="preserve">  </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lang w:eastAsia="zh-CN"/>
              </w:rPr>
              <w:t>日</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u w:val="single"/>
                <w:lang w:val="en-US" w:eastAsia="zh-CN"/>
              </w:rPr>
              <w:t xml:space="preserve">  </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lang w:eastAsia="zh-CN"/>
              </w:rPr>
              <w:t>时</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u w:val="single"/>
                <w:lang w:val="en-US" w:eastAsia="zh-CN"/>
              </w:rPr>
              <w:t xml:space="preserve">   </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lang w:eastAsia="zh-CN"/>
              </w:rPr>
              <w:t>分（即开启时间）</w:t>
            </w:r>
            <w:r>
              <w:rPr>
                <w:rFonts w:hint="eastAsia" w:ascii="宋体" w:hAnsi="宋体" w:eastAsia="宋体" w:cs="宋体"/>
                <w:color w:val="auto"/>
                <w:sz w:val="28"/>
                <w:szCs w:val="28"/>
                <w:highlight w:val="none"/>
                <w:lang w:eastAsia="zh-CN"/>
              </w:rPr>
              <w:t>前不得开启</w:t>
            </w:r>
          </w:p>
          <w:p w14:paraId="4F0CC826">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lang w:eastAsia="zh-CN"/>
              </w:rPr>
              <w:t>封口处须加盖响应人单位公章</w:t>
            </w:r>
          </w:p>
        </w:tc>
      </w:tr>
      <w:tr w14:paraId="2E8D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3FE669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16</w:t>
            </w:r>
          </w:p>
        </w:tc>
        <w:tc>
          <w:tcPr>
            <w:tcW w:w="1123" w:type="pct"/>
            <w:noWrap w:val="0"/>
            <w:vAlign w:val="center"/>
          </w:tcPr>
          <w:p w14:paraId="4B99D71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递交</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地点</w:t>
            </w:r>
          </w:p>
        </w:tc>
        <w:tc>
          <w:tcPr>
            <w:tcW w:w="3445" w:type="pct"/>
            <w:noWrap w:val="0"/>
            <w:vAlign w:val="center"/>
          </w:tcPr>
          <w:p w14:paraId="03264EC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Cs/>
                <w:color w:val="auto"/>
                <w:sz w:val="28"/>
                <w:szCs w:val="28"/>
                <w:highlight w:val="none"/>
                <w:u w:val="single"/>
                <w:lang w:val="en-US" w:eastAsia="zh-CN"/>
              </w:rPr>
              <w:t xml:space="preserve"> 惠州市惠东县惠东大道1212号4楼 </w:t>
            </w:r>
          </w:p>
        </w:tc>
      </w:tr>
      <w:tr w14:paraId="0286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38EF1B9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17</w:t>
            </w:r>
          </w:p>
        </w:tc>
        <w:tc>
          <w:tcPr>
            <w:tcW w:w="1123" w:type="pct"/>
            <w:noWrap w:val="0"/>
            <w:vAlign w:val="center"/>
          </w:tcPr>
          <w:p w14:paraId="441479A2">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响应文件开启时间和地点</w:t>
            </w:r>
          </w:p>
        </w:tc>
        <w:tc>
          <w:tcPr>
            <w:tcW w:w="3445" w:type="pct"/>
            <w:noWrap w:val="0"/>
            <w:vAlign w:val="center"/>
          </w:tcPr>
          <w:p w14:paraId="1155EEB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开启时间：同响应截止时间</w:t>
            </w:r>
          </w:p>
          <w:p w14:paraId="0E5BA8E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开启地点：同递交响应文件地点</w:t>
            </w:r>
          </w:p>
        </w:tc>
      </w:tr>
      <w:tr w14:paraId="4088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6CF61A06">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18</w:t>
            </w:r>
          </w:p>
        </w:tc>
        <w:tc>
          <w:tcPr>
            <w:tcW w:w="1123" w:type="pct"/>
            <w:noWrap w:val="0"/>
            <w:vAlign w:val="center"/>
          </w:tcPr>
          <w:p w14:paraId="1021E1E0">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竞价</w:t>
            </w:r>
            <w:r>
              <w:rPr>
                <w:rFonts w:hint="eastAsia" w:ascii="宋体" w:hAnsi="宋体" w:eastAsia="宋体" w:cs="宋体"/>
                <w:color w:val="auto"/>
                <w:sz w:val="28"/>
                <w:szCs w:val="28"/>
                <w:highlight w:val="none"/>
              </w:rPr>
              <w:t>程序</w:t>
            </w:r>
          </w:p>
        </w:tc>
        <w:tc>
          <w:tcPr>
            <w:tcW w:w="3445" w:type="pct"/>
            <w:noWrap w:val="0"/>
            <w:vAlign w:val="center"/>
          </w:tcPr>
          <w:p w14:paraId="64F46C93">
            <w:pPr>
              <w:pStyle w:val="33"/>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（1）核对原件：</w:t>
            </w:r>
            <w:r>
              <w:rPr>
                <w:rFonts w:hint="eastAsia" w:ascii="宋体" w:hAnsi="宋体" w:eastAsia="宋体" w:cs="宋体"/>
                <w:color w:val="auto"/>
                <w:sz w:val="28"/>
                <w:szCs w:val="28"/>
                <w:highlight w:val="none"/>
                <w:lang w:val="en-US" w:eastAsia="zh-CN"/>
              </w:rPr>
              <w:t>无</w:t>
            </w:r>
            <w:r>
              <w:rPr>
                <w:rFonts w:hint="eastAsia" w:ascii="宋体" w:hAnsi="宋体" w:eastAsia="宋体" w:cs="宋体"/>
                <w:color w:val="auto"/>
                <w:sz w:val="28"/>
                <w:szCs w:val="28"/>
                <w:highlight w:val="none"/>
                <w:lang w:eastAsia="zh-CN"/>
              </w:rPr>
              <w:t>；</w:t>
            </w:r>
          </w:p>
          <w:p w14:paraId="66C575A8">
            <w:pPr>
              <w:keepNext w:val="0"/>
              <w:keepLines w:val="0"/>
              <w:pageBreakBefore w:val="0"/>
              <w:widowControl/>
              <w:kinsoku/>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eastAsia="zh-CN"/>
              </w:rPr>
              <w:t>（2）</w:t>
            </w:r>
            <w:r>
              <w:rPr>
                <w:rFonts w:hint="eastAsia" w:ascii="宋体" w:hAnsi="宋体" w:eastAsia="宋体" w:cs="宋体"/>
                <w:color w:val="auto"/>
                <w:sz w:val="28"/>
                <w:szCs w:val="28"/>
                <w:highlight w:val="none"/>
                <w:lang w:eastAsia="zh-CN"/>
              </w:rPr>
              <w:t>开启顺序：按响应人递交响应文件时间的</w:t>
            </w:r>
            <w:r>
              <w:rPr>
                <w:rFonts w:hint="eastAsia" w:ascii="宋体" w:hAnsi="宋体" w:eastAsia="宋体" w:cs="宋体"/>
                <w:color w:val="auto"/>
                <w:sz w:val="28"/>
                <w:szCs w:val="28"/>
                <w:highlight w:val="none"/>
                <w:lang w:val="en-US" w:eastAsia="zh-CN"/>
              </w:rPr>
              <w:t>顺序</w:t>
            </w:r>
            <w:r>
              <w:rPr>
                <w:rFonts w:hint="eastAsia" w:ascii="宋体" w:hAnsi="宋体" w:eastAsia="宋体" w:cs="宋体"/>
                <w:color w:val="auto"/>
                <w:sz w:val="28"/>
                <w:szCs w:val="28"/>
                <w:highlight w:val="none"/>
                <w:lang w:eastAsia="zh-CN"/>
              </w:rPr>
              <w:t>开启；</w:t>
            </w:r>
          </w:p>
          <w:p w14:paraId="037DA95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）开启时，报价函中报价总价小写金额与大写金额不一致时，以大写金额为准。</w:t>
            </w:r>
          </w:p>
        </w:tc>
      </w:tr>
      <w:tr w14:paraId="43B6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0DDA03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19</w:t>
            </w:r>
          </w:p>
        </w:tc>
        <w:tc>
          <w:tcPr>
            <w:tcW w:w="1123" w:type="pct"/>
            <w:noWrap w:val="0"/>
            <w:vAlign w:val="center"/>
          </w:tcPr>
          <w:p w14:paraId="5156C8D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eastAsia="zh-CN"/>
              </w:rPr>
              <w:t>选</w:t>
            </w:r>
            <w:r>
              <w:rPr>
                <w:rFonts w:hint="eastAsia" w:ascii="宋体" w:hAnsi="宋体" w:eastAsia="宋体" w:cs="宋体"/>
                <w:color w:val="auto"/>
                <w:sz w:val="28"/>
                <w:szCs w:val="28"/>
                <w:highlight w:val="none"/>
              </w:rPr>
              <w:t>办法</w:t>
            </w:r>
          </w:p>
        </w:tc>
        <w:tc>
          <w:tcPr>
            <w:tcW w:w="3445" w:type="pct"/>
            <w:noWrap w:val="0"/>
            <w:vAlign w:val="center"/>
          </w:tcPr>
          <w:p w14:paraId="4C518EE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详见第四部分</w:t>
            </w:r>
          </w:p>
        </w:tc>
      </w:tr>
      <w:tr w14:paraId="3DBC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BE02EFD">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0</w:t>
            </w:r>
          </w:p>
        </w:tc>
        <w:tc>
          <w:tcPr>
            <w:tcW w:w="1123" w:type="pct"/>
            <w:noWrap w:val="0"/>
            <w:vAlign w:val="center"/>
          </w:tcPr>
          <w:p w14:paraId="21F7DDAE">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推荐中选候选人</w:t>
            </w:r>
          </w:p>
        </w:tc>
        <w:tc>
          <w:tcPr>
            <w:tcW w:w="3445" w:type="pct"/>
            <w:noWrap w:val="0"/>
            <w:vAlign w:val="center"/>
          </w:tcPr>
          <w:p w14:paraId="7C6F3FF6">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lang w:eastAsia="zh-CN"/>
              </w:rPr>
              <w:t>推荐中选候选人的人数为</w:t>
            </w:r>
            <w:r>
              <w:rPr>
                <w:rFonts w:hint="eastAsia" w:ascii="宋体" w:hAnsi="宋体" w:eastAsia="宋体" w:cs="宋体"/>
                <w:color w:val="auto"/>
                <w:sz w:val="28"/>
                <w:szCs w:val="28"/>
                <w:highlight w:val="none"/>
                <w:u w:val="none"/>
                <w:lang w:val="en-US" w:eastAsia="zh-CN"/>
              </w:rPr>
              <w:t>1</w:t>
            </w:r>
            <w:r>
              <w:rPr>
                <w:rFonts w:hint="eastAsia" w:ascii="宋体" w:hAnsi="宋体" w:eastAsia="宋体" w:cs="宋体"/>
                <w:color w:val="auto"/>
                <w:sz w:val="28"/>
                <w:szCs w:val="28"/>
                <w:highlight w:val="none"/>
                <w:u w:val="none"/>
                <w:lang w:eastAsia="zh-CN"/>
              </w:rPr>
              <w:t>名。</w:t>
            </w:r>
          </w:p>
        </w:tc>
      </w:tr>
      <w:tr w14:paraId="4FA6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F7B35D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1</w:t>
            </w:r>
          </w:p>
        </w:tc>
        <w:tc>
          <w:tcPr>
            <w:tcW w:w="1123" w:type="pct"/>
            <w:noWrap w:val="0"/>
            <w:vAlign w:val="center"/>
          </w:tcPr>
          <w:p w14:paraId="1925FA1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中</w:t>
            </w:r>
            <w:r>
              <w:rPr>
                <w:rFonts w:hint="eastAsia" w:ascii="宋体" w:hAnsi="宋体" w:eastAsia="宋体" w:cs="宋体"/>
                <w:color w:val="auto"/>
                <w:sz w:val="28"/>
                <w:szCs w:val="28"/>
                <w:highlight w:val="none"/>
                <w:lang w:eastAsia="zh-CN"/>
              </w:rPr>
              <w:t>选</w:t>
            </w:r>
            <w:r>
              <w:rPr>
                <w:rFonts w:hint="eastAsia" w:ascii="宋体" w:hAnsi="宋体" w:eastAsia="宋体" w:cs="宋体"/>
                <w:color w:val="auto"/>
                <w:sz w:val="28"/>
                <w:szCs w:val="28"/>
                <w:highlight w:val="none"/>
              </w:rPr>
              <w:t>通知</w:t>
            </w:r>
          </w:p>
        </w:tc>
        <w:tc>
          <w:tcPr>
            <w:tcW w:w="3445" w:type="pct"/>
            <w:noWrap w:val="0"/>
            <w:vAlign w:val="center"/>
          </w:tcPr>
          <w:p w14:paraId="529D79B6">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lang w:eastAsia="zh-CN"/>
              </w:rPr>
              <w:t>采购</w:t>
            </w:r>
            <w:r>
              <w:rPr>
                <w:rFonts w:hint="eastAsia" w:ascii="宋体" w:hAnsi="宋体" w:eastAsia="宋体" w:cs="宋体"/>
                <w:color w:val="auto"/>
                <w:sz w:val="28"/>
                <w:szCs w:val="28"/>
                <w:highlight w:val="none"/>
                <w:u w:val="none"/>
                <w:lang w:eastAsia="zh-CN" w:bidi="ar"/>
              </w:rPr>
              <w:t>人将</w:t>
            </w:r>
            <w:r>
              <w:rPr>
                <w:rFonts w:hint="eastAsia" w:ascii="宋体" w:hAnsi="宋体" w:eastAsia="宋体" w:cs="宋体"/>
                <w:color w:val="auto"/>
                <w:sz w:val="28"/>
                <w:szCs w:val="28"/>
                <w:highlight w:val="none"/>
                <w:u w:val="none"/>
                <w:lang w:val="en-US" w:eastAsia="zh-CN"/>
              </w:rPr>
              <w:t>竞价</w:t>
            </w:r>
            <w:r>
              <w:rPr>
                <w:rFonts w:hint="eastAsia" w:ascii="宋体" w:hAnsi="宋体" w:eastAsia="宋体" w:cs="宋体"/>
                <w:color w:val="auto"/>
                <w:sz w:val="28"/>
                <w:szCs w:val="28"/>
                <w:highlight w:val="none"/>
                <w:u w:val="none"/>
                <w:lang w:eastAsia="zh-CN" w:bidi="ar"/>
              </w:rPr>
              <w:t>结果在</w:t>
            </w:r>
            <w:r>
              <w:rPr>
                <w:rFonts w:hint="eastAsia" w:ascii="宋体" w:hAnsi="宋体" w:eastAsia="宋体" w:cs="宋体"/>
                <w:color w:val="auto"/>
                <w:sz w:val="28"/>
                <w:szCs w:val="28"/>
                <w:highlight w:val="none"/>
                <w:u w:val="none"/>
                <w:lang w:val="en-US" w:eastAsia="zh-CN" w:bidi="ar"/>
              </w:rPr>
              <w:t>广东路通达建设工程有限公司</w:t>
            </w:r>
            <w:r>
              <w:rPr>
                <w:rFonts w:hint="eastAsia" w:ascii="宋体" w:hAnsi="宋体" w:eastAsia="宋体" w:cs="宋体"/>
                <w:color w:val="auto"/>
                <w:sz w:val="28"/>
                <w:szCs w:val="28"/>
                <w:highlight w:val="none"/>
                <w:u w:val="none"/>
                <w:lang w:eastAsia="zh-CN" w:bidi="ar"/>
              </w:rPr>
              <w:t>官网（http://www.gdltdjs.com）公示</w:t>
            </w:r>
            <w:r>
              <w:rPr>
                <w:rFonts w:hint="eastAsia" w:ascii="宋体" w:hAnsi="宋体" w:eastAsia="宋体" w:cs="宋体"/>
                <w:color w:val="auto"/>
                <w:sz w:val="28"/>
                <w:szCs w:val="28"/>
                <w:highlight w:val="none"/>
                <w:u w:val="none"/>
                <w:lang w:val="en-US" w:eastAsia="zh-CN" w:bidi="ar"/>
              </w:rPr>
              <w:t>不少于3日</w:t>
            </w:r>
            <w:r>
              <w:rPr>
                <w:rFonts w:hint="eastAsia" w:ascii="宋体" w:hAnsi="宋体" w:eastAsia="宋体" w:cs="宋体"/>
                <w:color w:val="auto"/>
                <w:sz w:val="28"/>
                <w:szCs w:val="28"/>
                <w:highlight w:val="none"/>
                <w:u w:val="none"/>
                <w:lang w:eastAsia="zh-CN" w:bidi="ar"/>
              </w:rPr>
              <w:t>，公示无异议后以书面形式向中选人发出中选通知书。</w:t>
            </w:r>
          </w:p>
        </w:tc>
      </w:tr>
      <w:tr w14:paraId="220D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42636D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2</w:t>
            </w:r>
          </w:p>
        </w:tc>
        <w:tc>
          <w:tcPr>
            <w:tcW w:w="1123" w:type="pct"/>
            <w:noWrap w:val="0"/>
            <w:vAlign w:val="center"/>
          </w:tcPr>
          <w:p w14:paraId="061E7E6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履约担保</w:t>
            </w:r>
          </w:p>
        </w:tc>
        <w:tc>
          <w:tcPr>
            <w:tcW w:w="3445" w:type="pct"/>
            <w:noWrap w:val="0"/>
            <w:vAlign w:val="center"/>
          </w:tcPr>
          <w:p w14:paraId="27C03C9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w:t>
            </w:r>
          </w:p>
        </w:tc>
      </w:tr>
      <w:tr w14:paraId="766E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27860FD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3</w:t>
            </w:r>
          </w:p>
        </w:tc>
        <w:tc>
          <w:tcPr>
            <w:tcW w:w="1123" w:type="pct"/>
            <w:noWrap w:val="0"/>
            <w:vAlign w:val="center"/>
          </w:tcPr>
          <w:p w14:paraId="7F701C80">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质量担保</w:t>
            </w:r>
          </w:p>
        </w:tc>
        <w:tc>
          <w:tcPr>
            <w:tcW w:w="3445" w:type="pct"/>
            <w:noWrap w:val="0"/>
            <w:vAlign w:val="center"/>
          </w:tcPr>
          <w:p w14:paraId="74D9484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r w14:paraId="0772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gridSpan w:val="3"/>
            <w:vAlign w:val="center"/>
          </w:tcPr>
          <w:p w14:paraId="140B6A7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8"/>
                <w:szCs w:val="28"/>
                <w:highlight w:val="none"/>
              </w:rPr>
            </w:pPr>
            <w:r>
              <w:rPr>
                <w:rFonts w:hint="eastAsia" w:ascii="宋体" w:hAnsi="宋体" w:eastAsia="宋体" w:cs="宋体"/>
                <w:b/>
                <w:bCs w:val="0"/>
                <w:color w:val="auto"/>
                <w:sz w:val="28"/>
                <w:szCs w:val="28"/>
                <w:highlight w:val="none"/>
              </w:rPr>
              <w:t>需要补充的其他内容</w:t>
            </w:r>
          </w:p>
        </w:tc>
      </w:tr>
      <w:tr w14:paraId="0C00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vAlign w:val="center"/>
          </w:tcPr>
          <w:p w14:paraId="7B23C273">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w:t>
            </w:r>
            <w:r>
              <w:rPr>
                <w:rFonts w:hint="eastAsia" w:ascii="宋体" w:hAnsi="宋体" w:eastAsia="宋体" w:cs="宋体"/>
                <w:b w:val="0"/>
                <w:bCs/>
                <w:color w:val="auto"/>
                <w:sz w:val="28"/>
                <w:szCs w:val="28"/>
                <w:highlight w:val="none"/>
                <w:lang w:val="en-US" w:eastAsia="zh-CN"/>
              </w:rPr>
              <w:t>4</w:t>
            </w:r>
          </w:p>
        </w:tc>
        <w:tc>
          <w:tcPr>
            <w:tcW w:w="1123" w:type="pct"/>
            <w:vAlign w:val="center"/>
          </w:tcPr>
          <w:p w14:paraId="6B5FFB54">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废</w:t>
            </w:r>
            <w:r>
              <w:rPr>
                <w:rFonts w:hint="eastAsia" w:ascii="宋体" w:hAnsi="宋体" w:eastAsia="宋体" w:cs="宋体"/>
                <w:b w:val="0"/>
                <w:bCs/>
                <w:color w:val="auto"/>
                <w:sz w:val="28"/>
                <w:szCs w:val="28"/>
                <w:highlight w:val="none"/>
                <w:lang w:eastAsia="zh-CN"/>
              </w:rPr>
              <w:t>选</w:t>
            </w:r>
            <w:r>
              <w:rPr>
                <w:rFonts w:hint="eastAsia" w:ascii="宋体" w:hAnsi="宋体" w:eastAsia="宋体" w:cs="宋体"/>
                <w:b w:val="0"/>
                <w:bCs/>
                <w:color w:val="auto"/>
                <w:sz w:val="28"/>
                <w:szCs w:val="28"/>
                <w:highlight w:val="none"/>
              </w:rPr>
              <w:t>条款</w:t>
            </w:r>
          </w:p>
        </w:tc>
        <w:tc>
          <w:tcPr>
            <w:tcW w:w="3445" w:type="pct"/>
            <w:vAlign w:val="center"/>
          </w:tcPr>
          <w:p w14:paraId="28F523A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1、响应人必须同时满足本表格第6项“参选人资格条件”所列的全部条件，否则废选；</w:t>
            </w:r>
          </w:p>
          <w:p w14:paraId="5744EDF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eastAsia="zh-CN"/>
              </w:rPr>
              <w:t>2、响应人必须在约定的时间内，将响应文件递交到指定地点，否则废选：</w:t>
            </w:r>
          </w:p>
        </w:tc>
      </w:tr>
      <w:tr w14:paraId="49F2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vAlign w:val="center"/>
          </w:tcPr>
          <w:p w14:paraId="6BE783FD">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2</w:t>
            </w:r>
            <w:r>
              <w:rPr>
                <w:rFonts w:hint="eastAsia" w:ascii="宋体" w:hAnsi="宋体" w:eastAsia="宋体" w:cs="宋体"/>
                <w:b w:val="0"/>
                <w:bCs/>
                <w:color w:val="auto"/>
                <w:sz w:val="28"/>
                <w:szCs w:val="28"/>
                <w:highlight w:val="none"/>
                <w:lang w:val="en-US" w:eastAsia="zh-CN"/>
              </w:rPr>
              <w:t>5</w:t>
            </w:r>
          </w:p>
        </w:tc>
        <w:tc>
          <w:tcPr>
            <w:tcW w:w="1123" w:type="pct"/>
            <w:vAlign w:val="center"/>
          </w:tcPr>
          <w:p w14:paraId="1304A93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最高限价</w:t>
            </w:r>
          </w:p>
        </w:tc>
        <w:tc>
          <w:tcPr>
            <w:tcW w:w="3445" w:type="pct"/>
            <w:vAlign w:val="center"/>
          </w:tcPr>
          <w:p w14:paraId="21A236E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本工程</w:t>
            </w:r>
            <w:r>
              <w:rPr>
                <w:rFonts w:hint="eastAsia" w:ascii="宋体" w:hAnsi="宋体" w:eastAsia="宋体" w:cs="宋体"/>
                <w:b w:val="0"/>
                <w:bCs/>
                <w:color w:val="auto"/>
                <w:sz w:val="28"/>
                <w:szCs w:val="28"/>
                <w:highlight w:val="none"/>
                <w:lang w:val="en-US" w:eastAsia="zh-CN"/>
              </w:rPr>
              <w:t>不设置最高限价</w:t>
            </w:r>
          </w:p>
        </w:tc>
      </w:tr>
      <w:tr w14:paraId="4CD4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vAlign w:val="center"/>
          </w:tcPr>
          <w:p w14:paraId="5D75AD25">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2</w:t>
            </w:r>
            <w:r>
              <w:rPr>
                <w:rFonts w:hint="eastAsia" w:ascii="宋体" w:hAnsi="宋体" w:eastAsia="宋体" w:cs="宋体"/>
                <w:b w:val="0"/>
                <w:bCs/>
                <w:color w:val="auto"/>
                <w:sz w:val="28"/>
                <w:szCs w:val="28"/>
                <w:highlight w:val="none"/>
                <w:lang w:val="en-US" w:eastAsia="zh-CN"/>
              </w:rPr>
              <w:t>6</w:t>
            </w:r>
          </w:p>
        </w:tc>
        <w:tc>
          <w:tcPr>
            <w:tcW w:w="1123" w:type="pct"/>
            <w:vAlign w:val="center"/>
          </w:tcPr>
          <w:p w14:paraId="06A2433F">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eastAsia="zh-CN"/>
              </w:rPr>
              <w:t>重新竞价</w:t>
            </w:r>
          </w:p>
        </w:tc>
        <w:tc>
          <w:tcPr>
            <w:tcW w:w="3445" w:type="pct"/>
            <w:vAlign w:val="center"/>
          </w:tcPr>
          <w:p w14:paraId="747BE40F">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有下列情形之一的，采购人将重新竞价：</w:t>
            </w:r>
          </w:p>
          <w:p w14:paraId="3925D87D">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（1）响应截止时间止，响应人少于3个的；</w:t>
            </w:r>
          </w:p>
          <w:p w14:paraId="27894097">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（2）采购代理机构审查后否决所有响应文件的；</w:t>
            </w:r>
          </w:p>
          <w:p w14:paraId="126C6D5A">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（3）中选人无正当理由拒签合同的，或者中选人放弃中选或因不可抗力不能履行合同，或者被查实存在影响中选结果的违法行为等情形，中选人不符合中选条件的；</w:t>
            </w:r>
          </w:p>
          <w:p w14:paraId="0AB875C1">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（4）法律规定的其他情形。</w:t>
            </w:r>
          </w:p>
        </w:tc>
      </w:tr>
      <w:tr w14:paraId="1657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vAlign w:val="center"/>
          </w:tcPr>
          <w:p w14:paraId="7328955C">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2</w:t>
            </w:r>
            <w:r>
              <w:rPr>
                <w:rFonts w:hint="eastAsia" w:ascii="宋体" w:hAnsi="宋体" w:eastAsia="宋体" w:cs="宋体"/>
                <w:b w:val="0"/>
                <w:bCs/>
                <w:color w:val="auto"/>
                <w:sz w:val="28"/>
                <w:szCs w:val="28"/>
                <w:highlight w:val="none"/>
                <w:lang w:val="en-US" w:eastAsia="zh-CN"/>
              </w:rPr>
              <w:t>7</w:t>
            </w:r>
          </w:p>
        </w:tc>
        <w:tc>
          <w:tcPr>
            <w:tcW w:w="1123" w:type="pct"/>
            <w:vAlign w:val="center"/>
          </w:tcPr>
          <w:p w14:paraId="28CC869D">
            <w:pPr>
              <w:keepNext w:val="0"/>
              <w:keepLines w:val="0"/>
              <w:pageBreakBefore w:val="0"/>
              <w:framePr w:wrap="auto" w:vAnchor="margin" w:hAnchor="text" w:yAlign="inline"/>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其他</w:t>
            </w:r>
          </w:p>
        </w:tc>
        <w:tc>
          <w:tcPr>
            <w:tcW w:w="3445" w:type="pct"/>
            <w:vAlign w:val="center"/>
          </w:tcPr>
          <w:p w14:paraId="4BE1A86B">
            <w:pPr>
              <w:keepNext w:val="0"/>
              <w:keepLines w:val="0"/>
              <w:pageBreakBefore w:val="0"/>
              <w:framePr w:wrap="auto" w:vAnchor="margin" w:hAnchor="text" w:yAlign="inline"/>
              <w:widowControl/>
              <w:kinsoku/>
              <w:wordWrap w:val="0"/>
              <w:overflowPunct/>
              <w:topLinePunct w:val="0"/>
              <w:autoSpaceDE/>
              <w:autoSpaceDN/>
              <w:bidi w:val="0"/>
              <w:adjustRightInd w:val="0"/>
              <w:snapToGrid/>
              <w:spacing w:before="0" w:after="0" w:line="360" w:lineRule="auto"/>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本竞价文件的解释权归广东路通达建设工程有限公司、惠州中茂招标有限公司。</w:t>
            </w:r>
          </w:p>
        </w:tc>
      </w:tr>
    </w:tbl>
    <w:p w14:paraId="1B00E8C8">
      <w:pPr>
        <w:framePr w:wrap="auto" w:vAnchor="margin" w:hAnchor="text" w:yAlign="inline"/>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257002A4">
      <w:pPr>
        <w:framePr w:wrap="auto" w:vAnchor="margin" w:hAnchor="text" w:yAlign="inline"/>
        <w:autoSpaceDE w:val="0"/>
        <w:autoSpaceDN w:val="0"/>
        <w:adjustRightInd w:val="0"/>
        <w:spacing w:line="700" w:lineRule="exact"/>
        <w:jc w:val="both"/>
        <w:rPr>
          <w:rFonts w:hint="eastAsia" w:ascii="宋体" w:hAnsi="宋体" w:eastAsia="宋体" w:cs="宋体"/>
          <w:bCs/>
          <w:color w:val="auto"/>
          <w:sz w:val="44"/>
          <w:szCs w:val="44"/>
          <w:highlight w:val="none"/>
          <w:lang w:eastAsia="zh-CN"/>
        </w:rPr>
      </w:pPr>
      <w:r>
        <w:rPr>
          <w:rFonts w:hint="eastAsia" w:ascii="宋体" w:hAnsi="宋体" w:eastAsia="宋体" w:cs="宋体"/>
          <w:b/>
          <w:color w:val="auto"/>
          <w:sz w:val="28"/>
          <w:szCs w:val="28"/>
          <w:highlight w:val="none"/>
          <w:lang w:eastAsia="zh-CN"/>
        </w:rPr>
        <w:t>附表一：</w:t>
      </w:r>
    </w:p>
    <w:p w14:paraId="5BD26020">
      <w:pPr>
        <w:keepNext w:val="0"/>
        <w:keepLines w:val="0"/>
        <w:pageBreakBefore w:val="0"/>
        <w:framePr w:wrap="auto" w:vAnchor="margin" w:hAnchor="text" w:yAlign="inline"/>
        <w:kinsoku/>
        <w:overflowPunct/>
        <w:bidi w:val="0"/>
        <w:spacing w:line="360" w:lineRule="auto"/>
        <w:ind w:left="0" w:leftChars="0" w:right="0" w:rightChars="0"/>
        <w:jc w:val="center"/>
        <w:rPr>
          <w:rFonts w:hint="eastAsia" w:ascii="宋体" w:hAnsi="宋体" w:eastAsia="宋体" w:cs="宋体"/>
          <w:color w:val="auto"/>
          <w:sz w:val="24"/>
          <w:szCs w:val="24"/>
          <w:lang w:eastAsia="zh-CN"/>
        </w:rPr>
      </w:pPr>
      <w:r>
        <w:rPr>
          <w:rFonts w:hint="eastAsia" w:ascii="宋体" w:hAnsi="宋体" w:eastAsia="宋体" w:cs="宋体"/>
          <w:b/>
          <w:color w:val="auto"/>
          <w:sz w:val="32"/>
          <w:szCs w:val="32"/>
          <w:lang w:eastAsia="zh-CN"/>
        </w:rPr>
        <w:t>响应文件开启记录表</w:t>
      </w:r>
    </w:p>
    <w:p w14:paraId="1389125C">
      <w:pPr>
        <w:keepNext w:val="0"/>
        <w:keepLines w:val="0"/>
        <w:pageBreakBefore w:val="0"/>
        <w:framePr w:wrap="auto" w:vAnchor="margin" w:hAnchor="text" w:yAlign="inline"/>
        <w:kinsoku/>
        <w:overflowPunct/>
        <w:bidi w:val="0"/>
        <w:spacing w:line="360" w:lineRule="auto"/>
        <w:ind w:left="0" w:leftChars="0" w:right="0" w:rightChars="0" w:firstLine="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项目名称：</w:t>
      </w:r>
      <w:r>
        <w:rPr>
          <w:rFonts w:hint="eastAsia" w:ascii="宋体" w:hAnsi="宋体" w:eastAsia="宋体" w:cs="宋体"/>
          <w:color w:val="auto"/>
          <w:sz w:val="28"/>
          <w:szCs w:val="28"/>
          <w:lang w:val="en-US" w:eastAsia="zh-CN"/>
        </w:rPr>
        <w:t>惠东县大洲片区新型城镇化基础设施建设项目(沿江北路)建设工程项目编号（05）商品混凝土</w:t>
      </w:r>
    </w:p>
    <w:tbl>
      <w:tblPr>
        <w:tblStyle w:val="21"/>
        <w:tblW w:w="99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0"/>
        <w:gridCol w:w="2071"/>
        <w:gridCol w:w="1130"/>
        <w:gridCol w:w="1200"/>
        <w:gridCol w:w="1538"/>
        <w:gridCol w:w="1602"/>
        <w:gridCol w:w="1526"/>
      </w:tblGrid>
      <w:tr w14:paraId="5B3AB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860" w:type="dxa"/>
            <w:tcBorders>
              <w:top w:val="single" w:color="auto" w:sz="4" w:space="0"/>
              <w:left w:val="single" w:color="auto" w:sz="4" w:space="0"/>
            </w:tcBorders>
            <w:noWrap w:val="0"/>
            <w:vAlign w:val="center"/>
          </w:tcPr>
          <w:p w14:paraId="033A830B">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2071" w:type="dxa"/>
            <w:tcBorders>
              <w:top w:val="single" w:color="auto" w:sz="4" w:space="0"/>
            </w:tcBorders>
            <w:noWrap w:val="0"/>
            <w:vAlign w:val="center"/>
          </w:tcPr>
          <w:p w14:paraId="52E8ECFA">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供应商单位</w:t>
            </w:r>
          </w:p>
        </w:tc>
        <w:tc>
          <w:tcPr>
            <w:tcW w:w="1130" w:type="dxa"/>
            <w:tcBorders>
              <w:top w:val="single" w:color="auto" w:sz="4" w:space="0"/>
            </w:tcBorders>
            <w:noWrap w:val="0"/>
            <w:vAlign w:val="center"/>
          </w:tcPr>
          <w:p w14:paraId="09442CD5">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送达</w:t>
            </w:r>
          </w:p>
          <w:p w14:paraId="1636DA78">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情况</w:t>
            </w:r>
          </w:p>
        </w:tc>
        <w:tc>
          <w:tcPr>
            <w:tcW w:w="1200" w:type="dxa"/>
            <w:tcBorders>
              <w:top w:val="single" w:color="auto" w:sz="4" w:space="0"/>
            </w:tcBorders>
            <w:noWrap w:val="0"/>
            <w:vAlign w:val="center"/>
          </w:tcPr>
          <w:p w14:paraId="13C282FD">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密封</w:t>
            </w:r>
          </w:p>
          <w:p w14:paraId="7C3A914D">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情况</w:t>
            </w:r>
          </w:p>
        </w:tc>
        <w:tc>
          <w:tcPr>
            <w:tcW w:w="1538" w:type="dxa"/>
            <w:tcBorders>
              <w:top w:val="single" w:color="auto" w:sz="4" w:space="0"/>
            </w:tcBorders>
            <w:noWrap w:val="0"/>
            <w:vAlign w:val="center"/>
          </w:tcPr>
          <w:p w14:paraId="6C9E339F">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报价</w:t>
            </w:r>
            <w:r>
              <w:rPr>
                <w:rFonts w:hint="eastAsia" w:ascii="宋体" w:hAnsi="宋体" w:eastAsia="宋体" w:cs="宋体"/>
                <w:color w:val="auto"/>
                <w:sz w:val="28"/>
                <w:szCs w:val="28"/>
                <w:lang w:val="en-US" w:eastAsia="zh-CN"/>
              </w:rPr>
              <w:t>(元）</w:t>
            </w:r>
          </w:p>
        </w:tc>
        <w:tc>
          <w:tcPr>
            <w:tcW w:w="1602" w:type="dxa"/>
            <w:tcBorders>
              <w:top w:val="single" w:color="auto" w:sz="4" w:space="0"/>
            </w:tcBorders>
            <w:noWrap w:val="0"/>
            <w:vAlign w:val="center"/>
          </w:tcPr>
          <w:p w14:paraId="74E003AE">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联系人</w:t>
            </w:r>
          </w:p>
        </w:tc>
        <w:tc>
          <w:tcPr>
            <w:tcW w:w="1526" w:type="dxa"/>
            <w:tcBorders>
              <w:top w:val="single" w:color="auto" w:sz="4" w:space="0"/>
              <w:right w:val="single" w:color="auto" w:sz="4" w:space="0"/>
            </w:tcBorders>
            <w:noWrap w:val="0"/>
            <w:vAlign w:val="center"/>
          </w:tcPr>
          <w:p w14:paraId="5C54E4A8">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r>
      <w:tr w14:paraId="05B16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860" w:type="dxa"/>
            <w:tcBorders>
              <w:left w:val="single" w:color="auto" w:sz="4" w:space="0"/>
            </w:tcBorders>
            <w:noWrap w:val="0"/>
            <w:vAlign w:val="center"/>
          </w:tcPr>
          <w:p w14:paraId="5C69DCB0">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071" w:type="dxa"/>
            <w:noWrap w:val="0"/>
            <w:vAlign w:val="center"/>
          </w:tcPr>
          <w:p w14:paraId="597D7344">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130" w:type="dxa"/>
            <w:noWrap w:val="0"/>
            <w:vAlign w:val="center"/>
          </w:tcPr>
          <w:p w14:paraId="08B0F26B">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200" w:type="dxa"/>
            <w:noWrap w:val="0"/>
            <w:vAlign w:val="center"/>
          </w:tcPr>
          <w:p w14:paraId="2FFCA074">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538" w:type="dxa"/>
            <w:noWrap w:val="0"/>
            <w:vAlign w:val="center"/>
          </w:tcPr>
          <w:p w14:paraId="2CC1FCE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02" w:type="dxa"/>
            <w:noWrap w:val="0"/>
            <w:vAlign w:val="center"/>
          </w:tcPr>
          <w:p w14:paraId="570CC3B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c>
          <w:tcPr>
            <w:tcW w:w="1526" w:type="dxa"/>
            <w:tcBorders>
              <w:right w:val="single" w:color="auto" w:sz="4" w:space="0"/>
            </w:tcBorders>
            <w:noWrap w:val="0"/>
            <w:vAlign w:val="center"/>
          </w:tcPr>
          <w:p w14:paraId="359766F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r>
      <w:tr w14:paraId="4C58F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jc w:val="center"/>
        </w:trPr>
        <w:tc>
          <w:tcPr>
            <w:tcW w:w="860" w:type="dxa"/>
            <w:tcBorders>
              <w:left w:val="single" w:color="auto" w:sz="4" w:space="0"/>
            </w:tcBorders>
            <w:noWrap w:val="0"/>
            <w:vAlign w:val="center"/>
          </w:tcPr>
          <w:p w14:paraId="5D941C60">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071" w:type="dxa"/>
            <w:noWrap w:val="0"/>
            <w:vAlign w:val="center"/>
          </w:tcPr>
          <w:p w14:paraId="1B2C5E8D">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130" w:type="dxa"/>
            <w:noWrap w:val="0"/>
            <w:vAlign w:val="center"/>
          </w:tcPr>
          <w:p w14:paraId="209BC79F">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200" w:type="dxa"/>
            <w:noWrap w:val="0"/>
            <w:vAlign w:val="center"/>
          </w:tcPr>
          <w:p w14:paraId="35EE43AF">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538" w:type="dxa"/>
            <w:noWrap w:val="0"/>
            <w:vAlign w:val="center"/>
          </w:tcPr>
          <w:p w14:paraId="6016570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02" w:type="dxa"/>
            <w:noWrap w:val="0"/>
            <w:vAlign w:val="center"/>
          </w:tcPr>
          <w:p w14:paraId="68E781C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c>
          <w:tcPr>
            <w:tcW w:w="1526" w:type="dxa"/>
            <w:tcBorders>
              <w:right w:val="single" w:color="auto" w:sz="4" w:space="0"/>
            </w:tcBorders>
            <w:noWrap w:val="0"/>
            <w:vAlign w:val="center"/>
          </w:tcPr>
          <w:p w14:paraId="6570F8D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r>
      <w:tr w14:paraId="6550C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860" w:type="dxa"/>
            <w:tcBorders>
              <w:left w:val="single" w:color="auto" w:sz="4" w:space="0"/>
            </w:tcBorders>
            <w:noWrap w:val="0"/>
            <w:vAlign w:val="center"/>
          </w:tcPr>
          <w:p w14:paraId="0CBF007E">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071" w:type="dxa"/>
            <w:noWrap w:val="0"/>
            <w:vAlign w:val="center"/>
          </w:tcPr>
          <w:p w14:paraId="449C5788">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130" w:type="dxa"/>
            <w:noWrap w:val="0"/>
            <w:vAlign w:val="center"/>
          </w:tcPr>
          <w:p w14:paraId="2A47C0E9">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200" w:type="dxa"/>
            <w:noWrap w:val="0"/>
            <w:vAlign w:val="center"/>
          </w:tcPr>
          <w:p w14:paraId="52737A91">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538" w:type="dxa"/>
            <w:noWrap w:val="0"/>
            <w:vAlign w:val="center"/>
          </w:tcPr>
          <w:p w14:paraId="621DFFD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02" w:type="dxa"/>
            <w:noWrap w:val="0"/>
            <w:vAlign w:val="center"/>
          </w:tcPr>
          <w:p w14:paraId="69D465D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c>
          <w:tcPr>
            <w:tcW w:w="1526" w:type="dxa"/>
            <w:tcBorders>
              <w:right w:val="single" w:color="auto" w:sz="4" w:space="0"/>
            </w:tcBorders>
            <w:noWrap w:val="0"/>
            <w:vAlign w:val="center"/>
          </w:tcPr>
          <w:p w14:paraId="5AD8A38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r>
      <w:tr w14:paraId="473F0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860" w:type="dxa"/>
            <w:tcBorders>
              <w:left w:val="single" w:color="auto" w:sz="4" w:space="0"/>
            </w:tcBorders>
            <w:noWrap w:val="0"/>
            <w:vAlign w:val="center"/>
          </w:tcPr>
          <w:p w14:paraId="39DB92F3">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2071" w:type="dxa"/>
            <w:noWrap w:val="0"/>
            <w:vAlign w:val="center"/>
          </w:tcPr>
          <w:p w14:paraId="0F8B7CC4">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130" w:type="dxa"/>
            <w:noWrap w:val="0"/>
            <w:vAlign w:val="center"/>
          </w:tcPr>
          <w:p w14:paraId="783CECD1">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200" w:type="dxa"/>
            <w:noWrap w:val="0"/>
            <w:vAlign w:val="center"/>
          </w:tcPr>
          <w:p w14:paraId="198E4C32">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538" w:type="dxa"/>
            <w:noWrap w:val="0"/>
            <w:vAlign w:val="center"/>
          </w:tcPr>
          <w:p w14:paraId="7456D9A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02" w:type="dxa"/>
            <w:noWrap w:val="0"/>
            <w:vAlign w:val="center"/>
          </w:tcPr>
          <w:p w14:paraId="5C54D58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c>
          <w:tcPr>
            <w:tcW w:w="1526" w:type="dxa"/>
            <w:tcBorders>
              <w:right w:val="single" w:color="auto" w:sz="4" w:space="0"/>
            </w:tcBorders>
            <w:noWrap w:val="0"/>
            <w:vAlign w:val="center"/>
          </w:tcPr>
          <w:p w14:paraId="6BEE73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r>
      <w:tr w14:paraId="55A95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860" w:type="dxa"/>
            <w:tcBorders>
              <w:left w:val="single" w:color="auto" w:sz="4" w:space="0"/>
            </w:tcBorders>
            <w:noWrap w:val="0"/>
            <w:vAlign w:val="center"/>
          </w:tcPr>
          <w:p w14:paraId="5968D105">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2071" w:type="dxa"/>
            <w:noWrap w:val="0"/>
            <w:vAlign w:val="center"/>
          </w:tcPr>
          <w:p w14:paraId="039868FB">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130" w:type="dxa"/>
            <w:noWrap w:val="0"/>
            <w:vAlign w:val="center"/>
          </w:tcPr>
          <w:p w14:paraId="4D2FE6D7">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200" w:type="dxa"/>
            <w:noWrap w:val="0"/>
            <w:vAlign w:val="center"/>
          </w:tcPr>
          <w:p w14:paraId="11C79297">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538" w:type="dxa"/>
            <w:noWrap w:val="0"/>
            <w:vAlign w:val="center"/>
          </w:tcPr>
          <w:p w14:paraId="426E450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02" w:type="dxa"/>
            <w:noWrap w:val="0"/>
            <w:vAlign w:val="center"/>
          </w:tcPr>
          <w:p w14:paraId="3CEA509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c>
          <w:tcPr>
            <w:tcW w:w="1526" w:type="dxa"/>
            <w:tcBorders>
              <w:right w:val="single" w:color="auto" w:sz="4" w:space="0"/>
            </w:tcBorders>
            <w:noWrap w:val="0"/>
            <w:vAlign w:val="center"/>
          </w:tcPr>
          <w:p w14:paraId="14E188D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r>
      <w:tr w14:paraId="7C681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860" w:type="dxa"/>
            <w:tcBorders>
              <w:left w:val="single" w:color="auto" w:sz="4" w:space="0"/>
            </w:tcBorders>
            <w:noWrap w:val="0"/>
            <w:vAlign w:val="center"/>
          </w:tcPr>
          <w:p w14:paraId="6584D35A">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p>
        </w:tc>
        <w:tc>
          <w:tcPr>
            <w:tcW w:w="2071" w:type="dxa"/>
            <w:noWrap w:val="0"/>
            <w:vAlign w:val="center"/>
          </w:tcPr>
          <w:p w14:paraId="474E20C9">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130" w:type="dxa"/>
            <w:noWrap w:val="0"/>
            <w:vAlign w:val="center"/>
          </w:tcPr>
          <w:p w14:paraId="0248CFC5">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200" w:type="dxa"/>
            <w:noWrap w:val="0"/>
            <w:vAlign w:val="center"/>
          </w:tcPr>
          <w:p w14:paraId="38153927">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val="en-US" w:eastAsia="zh-CN"/>
              </w:rPr>
            </w:pPr>
          </w:p>
        </w:tc>
        <w:tc>
          <w:tcPr>
            <w:tcW w:w="1538" w:type="dxa"/>
            <w:noWrap w:val="0"/>
            <w:vAlign w:val="center"/>
          </w:tcPr>
          <w:p w14:paraId="34621A9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02" w:type="dxa"/>
            <w:noWrap w:val="0"/>
            <w:vAlign w:val="center"/>
          </w:tcPr>
          <w:p w14:paraId="18FE7AF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c>
          <w:tcPr>
            <w:tcW w:w="1526" w:type="dxa"/>
            <w:tcBorders>
              <w:right w:val="single" w:color="auto" w:sz="4" w:space="0"/>
            </w:tcBorders>
            <w:noWrap w:val="0"/>
            <w:vAlign w:val="center"/>
          </w:tcPr>
          <w:p w14:paraId="2B9EBC2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sz w:val="28"/>
                <w:szCs w:val="28"/>
                <w:vertAlign w:val="baseline"/>
                <w:lang w:val="en-US" w:eastAsia="zh-CN" w:bidi="ar-SA"/>
              </w:rPr>
            </w:pPr>
          </w:p>
        </w:tc>
      </w:tr>
      <w:tr w14:paraId="11DD6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2" w:hRule="atLeast"/>
          <w:jc w:val="center"/>
        </w:trPr>
        <w:tc>
          <w:tcPr>
            <w:tcW w:w="5261" w:type="dxa"/>
            <w:gridSpan w:val="4"/>
            <w:tcBorders>
              <w:left w:val="single" w:color="auto" w:sz="4" w:space="0"/>
              <w:bottom w:val="single" w:color="auto" w:sz="4" w:space="0"/>
            </w:tcBorders>
            <w:noWrap w:val="0"/>
            <w:vAlign w:val="center"/>
          </w:tcPr>
          <w:p w14:paraId="6440AC17">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最高</w:t>
            </w:r>
            <w:r>
              <w:rPr>
                <w:rFonts w:hint="eastAsia" w:ascii="宋体" w:hAnsi="宋体" w:eastAsia="宋体" w:cs="宋体"/>
                <w:color w:val="auto"/>
                <w:sz w:val="28"/>
                <w:szCs w:val="28"/>
                <w:lang w:eastAsia="zh-CN"/>
              </w:rPr>
              <w:t>响应</w:t>
            </w:r>
            <w:r>
              <w:rPr>
                <w:rFonts w:hint="eastAsia" w:ascii="宋体" w:hAnsi="宋体" w:eastAsia="宋体" w:cs="宋体"/>
                <w:color w:val="auto"/>
                <w:sz w:val="28"/>
                <w:szCs w:val="28"/>
              </w:rPr>
              <w:t>限价</w:t>
            </w:r>
          </w:p>
        </w:tc>
        <w:tc>
          <w:tcPr>
            <w:tcW w:w="4666" w:type="dxa"/>
            <w:gridSpan w:val="3"/>
            <w:tcBorders>
              <w:bottom w:val="single" w:color="auto" w:sz="4" w:space="0"/>
              <w:right w:val="single" w:color="auto" w:sz="4" w:space="0"/>
            </w:tcBorders>
            <w:noWrap w:val="0"/>
            <w:vAlign w:val="center"/>
          </w:tcPr>
          <w:p w14:paraId="078E8FD9">
            <w:pPr>
              <w:keepNext w:val="0"/>
              <w:keepLines w:val="0"/>
              <w:pageBreakBefore w:val="0"/>
              <w:framePr w:wrap="auto" w:vAnchor="margin" w:hAnchor="text" w:yAlign="inline"/>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元</w:t>
            </w:r>
          </w:p>
        </w:tc>
      </w:tr>
    </w:tbl>
    <w:p w14:paraId="52609DEF">
      <w:pPr>
        <w:keepNext w:val="0"/>
        <w:keepLines w:val="0"/>
        <w:pageBreakBefore w:val="0"/>
        <w:framePr w:wrap="auto" w:vAnchor="margin" w:hAnchor="text" w:yAlign="inline"/>
        <w:kinsoku/>
        <w:overflowPunct/>
        <w:bidi w:val="0"/>
        <w:ind w:left="0" w:leftChars="0" w:right="0" w:rightChars="0"/>
        <w:rPr>
          <w:rFonts w:hint="eastAsia" w:ascii="宋体" w:hAnsi="宋体" w:eastAsia="宋体" w:cs="宋体"/>
          <w:color w:val="auto"/>
          <w:sz w:val="28"/>
          <w:szCs w:val="28"/>
          <w:lang w:eastAsia="zh-CN"/>
        </w:rPr>
      </w:pPr>
    </w:p>
    <w:p w14:paraId="2B6F9A03">
      <w:pPr>
        <w:keepNext w:val="0"/>
        <w:keepLines w:val="0"/>
        <w:pageBreakBefore w:val="0"/>
        <w:framePr w:wrap="auto" w:vAnchor="margin" w:hAnchor="text" w:yAlign="inline"/>
        <w:kinsoku/>
        <w:overflowPunct/>
        <w:bidi w:val="0"/>
        <w:ind w:left="0" w:leftChars="0" w:right="0" w:righ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 xml:space="preserve">宣读人：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 xml:space="preserve">记录人：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lang w:val="en-US" w:eastAsia="zh-CN"/>
        </w:rPr>
        <w:t>年   月   日</w:t>
      </w:r>
    </w:p>
    <w:p w14:paraId="05F271B7">
      <w:pPr>
        <w:keepNext w:val="0"/>
        <w:keepLines w:val="0"/>
        <w:pageBreakBefore w:val="0"/>
        <w:framePr w:wrap="auto" w:vAnchor="margin" w:hAnchor="text" w:yAlign="inline"/>
        <w:kinsoku/>
        <w:overflowPunct/>
        <w:bidi w:val="0"/>
        <w:ind w:left="0" w:leftChars="0" w:right="0" w:rightChars="0"/>
        <w:rPr>
          <w:rFonts w:hint="eastAsia" w:ascii="宋体" w:hAnsi="宋体" w:eastAsia="宋体" w:cs="宋体"/>
          <w:color w:val="auto"/>
          <w:sz w:val="28"/>
          <w:szCs w:val="28"/>
          <w:lang w:eastAsia="zh-CN"/>
        </w:rPr>
      </w:pPr>
    </w:p>
    <w:p w14:paraId="327A8CA9">
      <w:pPr>
        <w:keepNext w:val="0"/>
        <w:keepLines w:val="0"/>
        <w:pageBreakBefore w:val="0"/>
        <w:framePr w:wrap="auto" w:vAnchor="margin" w:hAnchor="text" w:yAlign="inline"/>
        <w:kinsoku/>
        <w:overflowPunct/>
        <w:bidi w:val="0"/>
        <w:ind w:left="0" w:leftChars="0" w:right="0" w:right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监督人：</w:t>
      </w:r>
    </w:p>
    <w:p w14:paraId="0096C76D">
      <w:pPr>
        <w:framePr w:wrap="auto" w:vAnchor="margin" w:hAnchor="text" w:yAlign="in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700649AE">
      <w:pPr>
        <w:framePr w:wrap="auto" w:vAnchor="margin" w:hAnchor="text" w:yAlign="inline"/>
        <w:adjustRightInd w:val="0"/>
        <w:snapToGrid w:val="0"/>
        <w:spacing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szCs w:val="28"/>
          <w:highlight w:val="none"/>
          <w:lang w:eastAsia="zh-CN"/>
        </w:rPr>
        <w:t>附表二：</w:t>
      </w:r>
    </w:p>
    <w:p w14:paraId="038F8E13">
      <w:pPr>
        <w:framePr w:wrap="auto" w:vAnchor="margin" w:hAnchor="text" w:yAlign="inline"/>
        <w:widowControl w:val="0"/>
        <w:wordWrap w:val="0"/>
        <w:topLinePunct/>
        <w:adjustRightInd w:val="0"/>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中选通知书</w:t>
      </w:r>
    </w:p>
    <w:p w14:paraId="5FD92FC7">
      <w:pPr>
        <w:framePr w:wrap="auto" w:vAnchor="margin" w:hAnchor="text" w:yAlign="inline"/>
        <w:widowControl w:val="0"/>
        <w:wordWrap w:val="0"/>
        <w:topLinePunct/>
        <w:adjustRightInd w:val="0"/>
        <w:snapToGrid w:val="0"/>
        <w:spacing w:line="360" w:lineRule="auto"/>
        <w:ind w:firstLine="480" w:firstLineChars="200"/>
        <w:rPr>
          <w:rFonts w:hint="eastAsia" w:ascii="宋体" w:hAnsi="宋体" w:eastAsia="宋体" w:cs="宋体"/>
          <w:color w:val="auto"/>
          <w:highlight w:val="none"/>
          <w:lang w:eastAsia="zh-CN"/>
        </w:rPr>
      </w:pPr>
    </w:p>
    <w:p w14:paraId="14503592">
      <w:pPr>
        <w:framePr w:wrap="auto" w:vAnchor="margin" w:hAnchor="text" w:yAlign="inline"/>
        <w:widowControl w:val="0"/>
        <w:wordWrap w:val="0"/>
        <w:topLinePunct/>
        <w:adjustRightInd w:val="0"/>
        <w:snapToGri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（中选人名称）：</w:t>
      </w:r>
    </w:p>
    <w:p w14:paraId="7DA848FC">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highlight w:val="none"/>
          <w:u w:val="single"/>
          <w:lang w:eastAsia="zh-CN"/>
        </w:rPr>
      </w:pPr>
    </w:p>
    <w:p w14:paraId="06C1F665">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你方于</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（响应截止日期前）所递交的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lang w:eastAsia="zh-CN"/>
        </w:rPr>
        <w:t>）响应文件已被</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highlight w:val="none"/>
          <w:lang w:eastAsia="zh-CN"/>
        </w:rPr>
        <w:t>接受，被确定为中选人。</w:t>
      </w:r>
    </w:p>
    <w:p w14:paraId="4D3C4DC2">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lang w:val="en-US" w:eastAsia="zh-CN"/>
        </w:rPr>
        <w:t>金额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元。</w:t>
      </w:r>
    </w:p>
    <w:p w14:paraId="3272DDFC">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工期</w:t>
      </w:r>
      <w:r>
        <w:rPr>
          <w:rFonts w:hint="eastAsia" w:ascii="宋体" w:hAnsi="宋体" w:eastAsia="宋体" w:cs="宋体"/>
          <w:color w:val="auto"/>
          <w:sz w:val="28"/>
          <w:szCs w:val="28"/>
          <w:highlight w:val="none"/>
          <w:lang w:val="en-US" w:eastAsia="zh-CN"/>
        </w:rPr>
        <w:t>时间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w:t>
      </w:r>
    </w:p>
    <w:p w14:paraId="608A263A">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请你方在接到本通知书后的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日内到</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与采购人签订合同。</w:t>
      </w:r>
    </w:p>
    <w:p w14:paraId="11AF57B0">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p>
    <w:p w14:paraId="1492510B">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特此通知。</w:t>
      </w:r>
    </w:p>
    <w:p w14:paraId="684AF9C1">
      <w:pPr>
        <w:framePr w:wrap="auto" w:vAnchor="margin" w:hAnchor="text" w:yAlign="inline"/>
        <w:widowControl w:val="0"/>
        <w:wordWrap w:val="0"/>
        <w:topLinePunct/>
        <w:adjustRightInd w:val="0"/>
        <w:snapToGrid w:val="0"/>
        <w:spacing w:line="360" w:lineRule="auto"/>
        <w:ind w:firstLine="4317" w:firstLineChars="1542"/>
        <w:jc w:val="left"/>
        <w:rPr>
          <w:rFonts w:hint="eastAsia" w:ascii="宋体" w:hAnsi="宋体" w:eastAsia="宋体" w:cs="宋体"/>
          <w:color w:val="auto"/>
          <w:sz w:val="28"/>
          <w:szCs w:val="28"/>
          <w:highlight w:val="none"/>
          <w:lang w:eastAsia="zh-CN"/>
        </w:rPr>
      </w:pPr>
    </w:p>
    <w:p w14:paraId="78EA82A2">
      <w:pPr>
        <w:pStyle w:val="32"/>
        <w:framePr w:wrap="auto" w:vAnchor="margin" w:hAnchor="text" w:yAlign="inline"/>
        <w:wordWrap/>
        <w:topLinePunct/>
        <w:adjustRightInd w:val="0"/>
        <w:snapToGrid w:val="0"/>
        <w:spacing w:line="360" w:lineRule="auto"/>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广东路通达建设工程有限公司</w:t>
      </w:r>
    </w:p>
    <w:p w14:paraId="2F6D8D57">
      <w:pPr>
        <w:pStyle w:val="32"/>
        <w:framePr w:wrap="auto" w:vAnchor="margin" w:hAnchor="text" w:yAlign="inline"/>
        <w:wordWrap/>
        <w:topLinePunct/>
        <w:adjustRightInd w:val="0"/>
        <w:snapToGrid w:val="0"/>
        <w:spacing w:line="360" w:lineRule="auto"/>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采购代理机构：惠州中茂招标有限公司</w:t>
      </w:r>
    </w:p>
    <w:p w14:paraId="3533B6A0">
      <w:pPr>
        <w:pStyle w:val="32"/>
        <w:framePr w:wrap="auto" w:vAnchor="margin" w:hAnchor="text" w:yAlign="inline"/>
        <w:wordWrap/>
        <w:spacing w:line="440" w:lineRule="exact"/>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3C3340E">
      <w:pPr>
        <w:framePr w:wrap="auto" w:vAnchor="margin" w:hAnchor="text" w:yAlign="inline"/>
        <w:rPr>
          <w:rFonts w:hint="eastAsia" w:ascii="宋体" w:hAnsi="宋体" w:eastAsia="宋体" w:cs="宋体"/>
          <w:b/>
          <w:bCs/>
          <w:color w:val="auto"/>
          <w:sz w:val="32"/>
          <w:szCs w:val="32"/>
          <w:highlight w:val="none"/>
          <w:lang w:eastAsia="zh-CN"/>
        </w:rPr>
        <w:sectPr>
          <w:footerReference r:id="rId5" w:type="default"/>
          <w:pgSz w:w="11900" w:h="16840"/>
          <w:pgMar w:top="1440" w:right="1803" w:bottom="1440" w:left="1803" w:header="851" w:footer="992" w:gutter="0"/>
          <w:pgBorders>
            <w:top w:val="none" w:sz="0" w:space="0"/>
            <w:left w:val="none" w:sz="0" w:space="0"/>
            <w:bottom w:val="none" w:sz="0" w:space="0"/>
            <w:right w:val="none" w:sz="0" w:space="0"/>
          </w:pgBorders>
          <w:pgNumType w:fmt="decimal" w:start="2"/>
          <w:cols w:space="0" w:num="1"/>
          <w:rtlGutter w:val="0"/>
          <w:docGrid w:linePitch="0" w:charSpace="0"/>
        </w:sectPr>
      </w:pPr>
      <w:r>
        <w:rPr>
          <w:rFonts w:hint="eastAsia" w:ascii="宋体" w:hAnsi="宋体" w:eastAsia="宋体" w:cs="宋体"/>
          <w:b/>
          <w:bCs/>
          <w:color w:val="auto"/>
          <w:sz w:val="32"/>
          <w:szCs w:val="32"/>
          <w:highlight w:val="none"/>
          <w:lang w:eastAsia="zh-CN"/>
        </w:rPr>
        <w:br w:type="page"/>
      </w:r>
    </w:p>
    <w:p w14:paraId="0AC69A01">
      <w:pPr>
        <w:keepNext w:val="0"/>
        <w:keepLines/>
        <w:pageBreakBefore w:val="0"/>
        <w:framePr w:wrap="auto" w:vAnchor="margin" w:hAnchor="text" w:yAlign="inline"/>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lang w:val="en-US" w:eastAsia="zh-CN"/>
        </w:rPr>
      </w:pPr>
      <w:bookmarkStart w:id="13" w:name="_Toc14264"/>
      <w:r>
        <w:rPr>
          <w:rFonts w:hint="eastAsia" w:ascii="宋体" w:hAnsi="宋体" w:eastAsia="宋体" w:cs="宋体"/>
          <w:b/>
          <w:bCs/>
          <w:color w:val="auto"/>
          <w:sz w:val="32"/>
          <w:szCs w:val="32"/>
          <w:highlight w:val="none"/>
          <w:lang w:val="en-US" w:eastAsia="zh-CN"/>
        </w:rPr>
        <w:t>第三部分</w:t>
      </w:r>
      <w:r>
        <w:rPr>
          <w:rFonts w:hint="eastAsia" w:ascii="宋体" w:hAnsi="宋体" w:eastAsia="宋体" w:cs="宋体"/>
          <w:b/>
          <w:bCs/>
          <w:color w:val="auto"/>
          <w:sz w:val="32"/>
          <w:szCs w:val="32"/>
          <w:highlight w:val="none"/>
          <w:lang w:val="zh-TW" w:eastAsia="zh-TW"/>
        </w:rPr>
        <w:t xml:space="preserve">  </w:t>
      </w:r>
      <w:r>
        <w:rPr>
          <w:rFonts w:hint="eastAsia" w:ascii="宋体" w:hAnsi="宋体" w:eastAsia="宋体" w:cs="宋体"/>
          <w:b/>
          <w:bCs/>
          <w:color w:val="auto"/>
          <w:sz w:val="32"/>
          <w:szCs w:val="32"/>
          <w:highlight w:val="none"/>
          <w:lang w:val="en-US" w:eastAsia="zh-CN"/>
        </w:rPr>
        <w:t>工程量清单</w:t>
      </w:r>
      <w:bookmarkEnd w:id="13"/>
    </w:p>
    <w:tbl>
      <w:tblPr>
        <w:tblStyle w:val="21"/>
        <w:tblW w:w="53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
        <w:gridCol w:w="1446"/>
        <w:gridCol w:w="1836"/>
        <w:gridCol w:w="911"/>
        <w:gridCol w:w="988"/>
        <w:gridCol w:w="1305"/>
        <w:gridCol w:w="1026"/>
        <w:gridCol w:w="911"/>
      </w:tblGrid>
      <w:tr w14:paraId="4D48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000" w:type="pct"/>
            <w:gridSpan w:val="8"/>
            <w:vMerge w:val="restart"/>
            <w:tcBorders>
              <w:top w:val="nil"/>
              <w:left w:val="nil"/>
              <w:bottom w:val="nil"/>
              <w:right w:val="nil"/>
            </w:tcBorders>
            <w:shd w:val="clear" w:color="auto" w:fill="auto"/>
            <w:noWrap/>
            <w:vAlign w:val="center"/>
          </w:tcPr>
          <w:p w14:paraId="5D2AEB37">
            <w:pPr>
              <w:framePr w:wrap="auto" w:vAnchor="margin" w:hAnchor="text" w:yAlign="inline"/>
              <w:jc w:val="center"/>
              <w:rPr>
                <w:rFonts w:hint="eastAsia" w:ascii="宋体" w:hAnsi="宋体" w:eastAsia="宋体" w:cs="宋体"/>
                <w:color w:val="auto"/>
                <w:sz w:val="20"/>
                <w:szCs w:val="20"/>
                <w:highlight w:val="none"/>
                <w:lang w:eastAsia="zh-CN"/>
              </w:rPr>
            </w:pPr>
            <w:r>
              <w:rPr>
                <w:rFonts w:hint="eastAsia" w:ascii="宋体" w:hAnsi="宋体" w:eastAsia="宋体" w:cs="宋体"/>
                <w:b/>
                <w:bCs/>
                <w:color w:val="auto"/>
                <w:sz w:val="36"/>
                <w:szCs w:val="36"/>
                <w:highlight w:val="none"/>
                <w:lang w:val="en-US" w:eastAsia="zh-CN"/>
              </w:rPr>
              <w:t>商品混凝土工程量清单报价表</w:t>
            </w:r>
          </w:p>
        </w:tc>
      </w:tr>
      <w:tr w14:paraId="251E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000" w:type="pct"/>
            <w:gridSpan w:val="8"/>
            <w:vMerge w:val="continue"/>
            <w:tcBorders>
              <w:top w:val="nil"/>
              <w:left w:val="nil"/>
              <w:bottom w:val="nil"/>
              <w:right w:val="nil"/>
            </w:tcBorders>
            <w:shd w:val="clear" w:color="auto" w:fill="auto"/>
            <w:noWrap/>
            <w:vAlign w:val="center"/>
          </w:tcPr>
          <w:p w14:paraId="2DDAF072">
            <w:pPr>
              <w:framePr w:wrap="auto" w:vAnchor="margin" w:hAnchor="text" w:yAlign="inline"/>
              <w:rPr>
                <w:rFonts w:hint="eastAsia" w:ascii="宋体" w:hAnsi="宋体" w:eastAsia="宋体" w:cs="宋体"/>
                <w:color w:val="auto"/>
                <w:sz w:val="20"/>
                <w:szCs w:val="20"/>
                <w:highlight w:val="none"/>
                <w:lang w:eastAsia="zh-CN"/>
              </w:rPr>
            </w:pPr>
          </w:p>
        </w:tc>
      </w:tr>
      <w:tr w14:paraId="03D6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000" w:type="pct"/>
            <w:gridSpan w:val="8"/>
            <w:vMerge w:val="continue"/>
            <w:tcBorders>
              <w:top w:val="nil"/>
              <w:left w:val="nil"/>
              <w:bottom w:val="nil"/>
              <w:right w:val="nil"/>
            </w:tcBorders>
            <w:shd w:val="clear" w:color="auto" w:fill="auto"/>
            <w:noWrap/>
            <w:vAlign w:val="center"/>
          </w:tcPr>
          <w:p w14:paraId="3A6A88B6">
            <w:pPr>
              <w:framePr w:wrap="auto" w:vAnchor="margin" w:hAnchor="text" w:yAlign="inline"/>
              <w:rPr>
                <w:rFonts w:hint="eastAsia" w:ascii="宋体" w:hAnsi="宋体" w:eastAsia="宋体" w:cs="宋体"/>
                <w:color w:val="auto"/>
                <w:sz w:val="20"/>
                <w:szCs w:val="20"/>
                <w:highlight w:val="none"/>
                <w:lang w:eastAsia="zh-CN"/>
              </w:rPr>
            </w:pPr>
          </w:p>
        </w:tc>
      </w:tr>
      <w:tr w14:paraId="45CA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000" w:type="pct"/>
            <w:gridSpan w:val="8"/>
            <w:tcBorders>
              <w:top w:val="nil"/>
              <w:left w:val="nil"/>
              <w:bottom w:val="nil"/>
              <w:right w:val="nil"/>
            </w:tcBorders>
            <w:shd w:val="clear" w:color="auto" w:fill="auto"/>
            <w:noWrap/>
            <w:vAlign w:val="center"/>
          </w:tcPr>
          <w:p w14:paraId="281456EB">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工程名称：</w:t>
            </w:r>
            <w:r>
              <w:rPr>
                <w:rFonts w:hint="eastAsia" w:ascii="宋体" w:hAnsi="宋体" w:eastAsia="宋体" w:cs="宋体"/>
                <w:color w:val="auto"/>
                <w:sz w:val="20"/>
                <w:szCs w:val="20"/>
                <w:highlight w:val="none"/>
                <w:lang w:val="en-US" w:eastAsia="zh-CN"/>
              </w:rPr>
              <w:t>惠东县大洲片区新型城镇化基础设施建设项目(沿江北路)建设工程项目</w:t>
            </w:r>
          </w:p>
        </w:tc>
      </w:tr>
      <w:tr w14:paraId="3A5F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000" w:type="pct"/>
            <w:gridSpan w:val="8"/>
            <w:tcBorders>
              <w:top w:val="nil"/>
              <w:left w:val="nil"/>
              <w:bottom w:val="nil"/>
              <w:right w:val="nil"/>
            </w:tcBorders>
            <w:shd w:val="clear" w:color="auto" w:fill="auto"/>
            <w:noWrap/>
            <w:vAlign w:val="center"/>
          </w:tcPr>
          <w:p w14:paraId="56CB4AD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发包单位：广东路通达建设工程有限公司</w:t>
            </w:r>
          </w:p>
        </w:tc>
      </w:tr>
      <w:tr w14:paraId="674F4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3C22">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序号</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0DC1">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工程名称</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755A">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规格、型号等特殊要求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1CEC">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单位</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529B">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暂定数量</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E8C7">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不含税单价（元）</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F5E3">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不含税合价（元）</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1F5C">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备注</w:t>
            </w:r>
          </w:p>
        </w:tc>
      </w:tr>
      <w:tr w14:paraId="3B18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DFC8">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7E62">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C20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9CFD">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0F2F">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45BD">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9638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025E">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989E">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08DB">
            <w:pPr>
              <w:framePr w:wrap="auto" w:vAnchor="margin" w:hAnchor="text" w:yAlign="inline"/>
              <w:rPr>
                <w:rFonts w:hint="eastAsia" w:ascii="宋体" w:hAnsi="宋体" w:eastAsia="宋体" w:cs="宋体"/>
                <w:color w:val="auto"/>
                <w:sz w:val="20"/>
                <w:szCs w:val="20"/>
                <w:highlight w:val="none"/>
                <w:lang w:eastAsia="zh-CN"/>
              </w:rPr>
            </w:pPr>
          </w:p>
        </w:tc>
      </w:tr>
      <w:tr w14:paraId="7943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1611">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BECD">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C20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AD29">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泵送</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BFB0">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3D7B1">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3750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7B8D">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170C9">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6C82">
            <w:pPr>
              <w:framePr w:wrap="auto" w:vAnchor="margin" w:hAnchor="text" w:yAlign="inline"/>
              <w:rPr>
                <w:rFonts w:hint="eastAsia" w:ascii="宋体" w:hAnsi="宋体" w:eastAsia="宋体" w:cs="宋体"/>
                <w:color w:val="auto"/>
                <w:sz w:val="20"/>
                <w:szCs w:val="20"/>
                <w:highlight w:val="none"/>
                <w:lang w:eastAsia="zh-CN"/>
              </w:rPr>
            </w:pPr>
          </w:p>
        </w:tc>
      </w:tr>
      <w:tr w14:paraId="1928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4687">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EDE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C20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6B1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细石</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752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F1F6">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29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215B">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B30A">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7920">
            <w:pPr>
              <w:framePr w:wrap="auto" w:vAnchor="margin" w:hAnchor="text" w:yAlign="inline"/>
              <w:rPr>
                <w:rFonts w:hint="eastAsia" w:ascii="宋体" w:hAnsi="宋体" w:eastAsia="宋体" w:cs="宋体"/>
                <w:color w:val="auto"/>
                <w:sz w:val="20"/>
                <w:szCs w:val="20"/>
                <w:highlight w:val="none"/>
                <w:lang w:eastAsia="zh-CN"/>
              </w:rPr>
            </w:pPr>
          </w:p>
        </w:tc>
      </w:tr>
      <w:tr w14:paraId="5058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6412">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61DD">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C25</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B8FE">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E68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82678">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991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B11E">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1B2E">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136D">
            <w:pPr>
              <w:framePr w:wrap="auto" w:vAnchor="margin" w:hAnchor="text" w:yAlign="inline"/>
              <w:rPr>
                <w:rFonts w:hint="eastAsia" w:ascii="宋体" w:hAnsi="宋体" w:eastAsia="宋体" w:cs="宋体"/>
                <w:color w:val="auto"/>
                <w:sz w:val="20"/>
                <w:szCs w:val="20"/>
                <w:highlight w:val="none"/>
                <w:lang w:eastAsia="zh-CN"/>
              </w:rPr>
            </w:pPr>
          </w:p>
        </w:tc>
      </w:tr>
      <w:tr w14:paraId="0B3C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FA00">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522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C25</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B754">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泵送 道路</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A931">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3722">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220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C3F8">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F76C">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5E6F">
            <w:pPr>
              <w:framePr w:wrap="auto" w:vAnchor="margin" w:hAnchor="text" w:yAlign="inline"/>
              <w:rPr>
                <w:rFonts w:hint="eastAsia" w:ascii="宋体" w:hAnsi="宋体" w:eastAsia="宋体" w:cs="宋体"/>
                <w:color w:val="auto"/>
                <w:sz w:val="20"/>
                <w:szCs w:val="20"/>
                <w:highlight w:val="none"/>
                <w:lang w:eastAsia="zh-CN"/>
              </w:rPr>
            </w:pPr>
          </w:p>
        </w:tc>
      </w:tr>
      <w:tr w14:paraId="4373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87B5">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CDB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C25</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C877">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S6</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915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79A2">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100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3F7">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0E3C">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C110">
            <w:pPr>
              <w:framePr w:wrap="auto" w:vAnchor="margin" w:hAnchor="text" w:yAlign="inline"/>
              <w:rPr>
                <w:rFonts w:hint="eastAsia" w:ascii="宋体" w:hAnsi="宋体" w:eastAsia="宋体" w:cs="宋体"/>
                <w:color w:val="auto"/>
                <w:sz w:val="20"/>
                <w:szCs w:val="20"/>
                <w:highlight w:val="none"/>
                <w:lang w:eastAsia="zh-CN"/>
              </w:rPr>
            </w:pPr>
          </w:p>
        </w:tc>
      </w:tr>
      <w:tr w14:paraId="5241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29C8">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CDF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C30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1CA1">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B375">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365D">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3370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3305">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97EB">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FD93">
            <w:pPr>
              <w:framePr w:wrap="auto" w:vAnchor="margin" w:hAnchor="text" w:yAlign="inline"/>
              <w:rPr>
                <w:rFonts w:hint="eastAsia" w:ascii="宋体" w:hAnsi="宋体" w:eastAsia="宋体" w:cs="宋体"/>
                <w:color w:val="auto"/>
                <w:sz w:val="20"/>
                <w:szCs w:val="20"/>
                <w:highlight w:val="none"/>
                <w:lang w:eastAsia="zh-CN"/>
              </w:rPr>
            </w:pPr>
          </w:p>
        </w:tc>
      </w:tr>
      <w:tr w14:paraId="5340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CF7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021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C30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C7F0">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泵送</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4950">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920D">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4510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8A2F">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7484">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F82E">
            <w:pPr>
              <w:framePr w:wrap="auto" w:vAnchor="margin" w:hAnchor="text" w:yAlign="inline"/>
              <w:rPr>
                <w:rFonts w:hint="eastAsia" w:ascii="宋体" w:hAnsi="宋体" w:eastAsia="宋体" w:cs="宋体"/>
                <w:color w:val="auto"/>
                <w:sz w:val="20"/>
                <w:szCs w:val="20"/>
                <w:highlight w:val="none"/>
                <w:lang w:eastAsia="zh-CN"/>
              </w:rPr>
            </w:pPr>
          </w:p>
        </w:tc>
      </w:tr>
      <w:tr w14:paraId="5138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472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2CC8">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C30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230F">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S6</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C26E">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9159B">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1430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3AA9">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7898">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43A6">
            <w:pPr>
              <w:framePr w:wrap="auto" w:vAnchor="margin" w:hAnchor="text" w:yAlign="inline"/>
              <w:rPr>
                <w:rFonts w:hint="eastAsia" w:ascii="宋体" w:hAnsi="宋体" w:eastAsia="宋体" w:cs="宋体"/>
                <w:color w:val="auto"/>
                <w:sz w:val="20"/>
                <w:szCs w:val="20"/>
                <w:highlight w:val="none"/>
                <w:lang w:eastAsia="zh-CN"/>
              </w:rPr>
            </w:pPr>
          </w:p>
        </w:tc>
      </w:tr>
      <w:tr w14:paraId="188F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DEB6">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D0BD">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普通预拌水下混凝土 C30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BADA">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粒径为40mm石子</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750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17F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1495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DCAD">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4EB1">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6B97">
            <w:pPr>
              <w:framePr w:wrap="auto" w:vAnchor="margin" w:hAnchor="text" w:yAlign="inline"/>
              <w:rPr>
                <w:rFonts w:hint="eastAsia" w:ascii="宋体" w:hAnsi="宋体" w:eastAsia="宋体" w:cs="宋体"/>
                <w:color w:val="auto"/>
                <w:sz w:val="20"/>
                <w:szCs w:val="20"/>
                <w:highlight w:val="none"/>
                <w:lang w:eastAsia="zh-CN"/>
              </w:rPr>
            </w:pPr>
          </w:p>
        </w:tc>
      </w:tr>
      <w:tr w14:paraId="65C0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5BC1">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4FF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C35</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909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泵送</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2461">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1A89">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610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2743">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B433">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3209">
            <w:pPr>
              <w:framePr w:wrap="auto" w:vAnchor="margin" w:hAnchor="text" w:yAlign="inline"/>
              <w:rPr>
                <w:rFonts w:hint="eastAsia" w:ascii="宋体" w:hAnsi="宋体" w:eastAsia="宋体" w:cs="宋体"/>
                <w:color w:val="auto"/>
                <w:sz w:val="20"/>
                <w:szCs w:val="20"/>
                <w:highlight w:val="none"/>
                <w:lang w:eastAsia="zh-CN"/>
              </w:rPr>
            </w:pPr>
          </w:p>
        </w:tc>
      </w:tr>
      <w:tr w14:paraId="22C8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733B">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7B8E">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C35</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6EB0">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968E">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ACF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440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4F9B">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3D4C">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4328">
            <w:pPr>
              <w:framePr w:wrap="auto" w:vAnchor="margin" w:hAnchor="text" w:yAlign="inline"/>
              <w:rPr>
                <w:rFonts w:hint="eastAsia" w:ascii="宋体" w:hAnsi="宋体" w:eastAsia="宋体" w:cs="宋体"/>
                <w:color w:val="auto"/>
                <w:sz w:val="20"/>
                <w:szCs w:val="20"/>
                <w:highlight w:val="none"/>
                <w:lang w:eastAsia="zh-CN"/>
              </w:rPr>
            </w:pPr>
          </w:p>
        </w:tc>
      </w:tr>
      <w:tr w14:paraId="2918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D30A">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734D">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C40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3105">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泵送</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289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71A2">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410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FFB9">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882E">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BCA5">
            <w:pPr>
              <w:framePr w:wrap="auto" w:vAnchor="margin" w:hAnchor="text" w:yAlign="inline"/>
              <w:rPr>
                <w:rFonts w:hint="eastAsia" w:ascii="宋体" w:hAnsi="宋体" w:eastAsia="宋体" w:cs="宋体"/>
                <w:color w:val="auto"/>
                <w:sz w:val="20"/>
                <w:szCs w:val="20"/>
                <w:highlight w:val="none"/>
                <w:lang w:eastAsia="zh-CN"/>
              </w:rPr>
            </w:pPr>
          </w:p>
        </w:tc>
      </w:tr>
      <w:tr w14:paraId="3F67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1B3E">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8A8E">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C40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48D1">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447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6795">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690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317C">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6406">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663E">
            <w:pPr>
              <w:framePr w:wrap="auto" w:vAnchor="margin" w:hAnchor="text" w:yAlign="inline"/>
              <w:rPr>
                <w:rFonts w:hint="eastAsia" w:ascii="宋体" w:hAnsi="宋体" w:eastAsia="宋体" w:cs="宋体"/>
                <w:color w:val="auto"/>
                <w:sz w:val="20"/>
                <w:szCs w:val="20"/>
                <w:highlight w:val="none"/>
                <w:lang w:eastAsia="zh-CN"/>
              </w:rPr>
            </w:pPr>
          </w:p>
        </w:tc>
      </w:tr>
      <w:tr w14:paraId="7889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E2C8">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1014">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C50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AD00">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58AD">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7D5F">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500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19F9">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D524">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B476">
            <w:pPr>
              <w:framePr w:wrap="auto" w:vAnchor="margin" w:hAnchor="text" w:yAlign="inline"/>
              <w:rPr>
                <w:rFonts w:hint="eastAsia" w:ascii="宋体" w:hAnsi="宋体" w:eastAsia="宋体" w:cs="宋体"/>
                <w:color w:val="auto"/>
                <w:sz w:val="20"/>
                <w:szCs w:val="20"/>
                <w:highlight w:val="none"/>
                <w:lang w:eastAsia="zh-CN"/>
              </w:rPr>
            </w:pPr>
          </w:p>
        </w:tc>
      </w:tr>
      <w:tr w14:paraId="647B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172C">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C803">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普通预拌混凝土 C50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DF0E">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泵送</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CECE">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0266">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340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60FE">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E2B0">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24FA">
            <w:pPr>
              <w:framePr w:wrap="auto" w:vAnchor="margin" w:hAnchor="text" w:yAlign="inline"/>
              <w:rPr>
                <w:rFonts w:hint="eastAsia" w:ascii="宋体" w:hAnsi="宋体" w:eastAsia="宋体" w:cs="宋体"/>
                <w:color w:val="auto"/>
                <w:sz w:val="20"/>
                <w:szCs w:val="20"/>
                <w:highlight w:val="none"/>
                <w:lang w:eastAsia="zh-CN"/>
              </w:rPr>
            </w:pPr>
          </w:p>
        </w:tc>
      </w:tr>
      <w:tr w14:paraId="0D7F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5B7F">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1291">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C50钢纤维砼</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E783">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F134">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3A29">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 xml:space="preserve">22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BD1A">
            <w:pPr>
              <w:framePr w:wrap="auto" w:vAnchor="margin" w:hAnchor="text" w:yAlign="inline"/>
              <w:rPr>
                <w:rFonts w:hint="eastAsia" w:ascii="宋体" w:hAnsi="宋体" w:eastAsia="宋体" w:cs="宋体"/>
                <w:color w:val="auto"/>
                <w:sz w:val="20"/>
                <w:szCs w:val="20"/>
                <w:highlight w:val="none"/>
                <w:lang w:eastAsia="zh-CN"/>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C6CC">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FC3B">
            <w:pPr>
              <w:framePr w:wrap="auto" w:vAnchor="margin" w:hAnchor="text" w:yAlign="inline"/>
              <w:rPr>
                <w:rFonts w:hint="eastAsia" w:ascii="宋体" w:hAnsi="宋体" w:eastAsia="宋体" w:cs="宋体"/>
                <w:color w:val="auto"/>
                <w:sz w:val="20"/>
                <w:szCs w:val="20"/>
                <w:highlight w:val="none"/>
                <w:lang w:eastAsia="zh-CN"/>
              </w:rPr>
            </w:pPr>
          </w:p>
        </w:tc>
      </w:tr>
      <w:tr w14:paraId="6D5C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93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DDA1">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不含增值税总价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370B">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2BA1">
            <w:pPr>
              <w:framePr w:wrap="auto" w:vAnchor="margin" w:hAnchor="text" w:yAlign="inline"/>
              <w:rPr>
                <w:rFonts w:hint="eastAsia" w:ascii="宋体" w:hAnsi="宋体" w:eastAsia="宋体" w:cs="宋体"/>
                <w:color w:val="auto"/>
                <w:sz w:val="20"/>
                <w:szCs w:val="20"/>
                <w:highlight w:val="none"/>
                <w:lang w:eastAsia="zh-CN"/>
              </w:rPr>
            </w:pPr>
          </w:p>
        </w:tc>
      </w:tr>
      <w:tr w14:paraId="23AC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93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7755">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增值税（  %）</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5FD1">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00D7">
            <w:pPr>
              <w:framePr w:wrap="auto" w:vAnchor="margin" w:hAnchor="text" w:yAlign="inline"/>
              <w:rPr>
                <w:rFonts w:hint="eastAsia" w:ascii="宋体" w:hAnsi="宋体" w:eastAsia="宋体" w:cs="宋体"/>
                <w:color w:val="auto"/>
                <w:sz w:val="20"/>
                <w:szCs w:val="20"/>
                <w:highlight w:val="none"/>
                <w:lang w:eastAsia="zh-CN"/>
              </w:rPr>
            </w:pPr>
          </w:p>
        </w:tc>
      </w:tr>
      <w:tr w14:paraId="71D5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93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9A05">
            <w:pPr>
              <w:framePr w:wrap="auto" w:vAnchor="margin" w:hAnchor="text" w:yAlign="inline"/>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含增值税合计</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FDC37">
            <w:pPr>
              <w:framePr w:wrap="auto" w:vAnchor="margin" w:hAnchor="text" w:yAlign="inline"/>
              <w:rPr>
                <w:rFonts w:hint="eastAsia" w:ascii="宋体" w:hAnsi="宋体" w:eastAsia="宋体" w:cs="宋体"/>
                <w:color w:val="auto"/>
                <w:sz w:val="20"/>
                <w:szCs w:val="20"/>
                <w:highlight w:val="none"/>
                <w:lang w:eastAsia="zh-CN"/>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B362">
            <w:pPr>
              <w:framePr w:wrap="auto" w:vAnchor="margin" w:hAnchor="text" w:yAlign="inline"/>
              <w:rPr>
                <w:rFonts w:hint="eastAsia" w:ascii="宋体" w:hAnsi="宋体" w:eastAsia="宋体" w:cs="宋体"/>
                <w:color w:val="auto"/>
                <w:sz w:val="20"/>
                <w:szCs w:val="20"/>
                <w:highlight w:val="none"/>
                <w:lang w:eastAsia="zh-CN"/>
              </w:rPr>
            </w:pPr>
          </w:p>
        </w:tc>
      </w:tr>
      <w:tr w14:paraId="29D4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52" w:type="pct"/>
            <w:tcBorders>
              <w:top w:val="nil"/>
              <w:left w:val="nil"/>
              <w:bottom w:val="nil"/>
              <w:right w:val="nil"/>
            </w:tcBorders>
            <w:shd w:val="clear" w:color="auto" w:fill="auto"/>
            <w:noWrap/>
            <w:vAlign w:val="center"/>
          </w:tcPr>
          <w:p w14:paraId="15FF41A2">
            <w:pPr>
              <w:framePr w:wrap="auto" w:vAnchor="margin" w:hAnchor="text" w:yAlign="inline"/>
              <w:rPr>
                <w:rFonts w:hint="eastAsia" w:ascii="宋体" w:hAnsi="宋体" w:eastAsia="宋体" w:cs="宋体"/>
                <w:color w:val="auto"/>
                <w:sz w:val="20"/>
                <w:szCs w:val="20"/>
                <w:highlight w:val="none"/>
                <w:lang w:eastAsia="zh-CN"/>
              </w:rPr>
            </w:pPr>
          </w:p>
        </w:tc>
        <w:tc>
          <w:tcPr>
            <w:tcW w:w="798" w:type="pct"/>
            <w:tcBorders>
              <w:top w:val="nil"/>
              <w:left w:val="nil"/>
              <w:bottom w:val="nil"/>
              <w:right w:val="nil"/>
            </w:tcBorders>
            <w:shd w:val="clear" w:color="auto" w:fill="auto"/>
            <w:vAlign w:val="center"/>
          </w:tcPr>
          <w:p w14:paraId="5B91CFEB">
            <w:pPr>
              <w:framePr w:wrap="auto" w:vAnchor="margin" w:hAnchor="text" w:yAlign="inline"/>
              <w:rPr>
                <w:rFonts w:hint="eastAsia" w:ascii="宋体" w:hAnsi="宋体" w:eastAsia="宋体" w:cs="宋体"/>
                <w:color w:val="auto"/>
                <w:sz w:val="20"/>
                <w:szCs w:val="20"/>
                <w:highlight w:val="none"/>
                <w:lang w:eastAsia="zh-CN"/>
              </w:rPr>
            </w:pPr>
          </w:p>
        </w:tc>
        <w:tc>
          <w:tcPr>
            <w:tcW w:w="1013" w:type="pct"/>
            <w:tcBorders>
              <w:top w:val="nil"/>
              <w:left w:val="nil"/>
              <w:bottom w:val="nil"/>
              <w:right w:val="nil"/>
            </w:tcBorders>
            <w:shd w:val="clear" w:color="auto" w:fill="auto"/>
            <w:vAlign w:val="center"/>
          </w:tcPr>
          <w:p w14:paraId="36970A83">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nil"/>
              <w:left w:val="nil"/>
              <w:bottom w:val="nil"/>
              <w:right w:val="nil"/>
            </w:tcBorders>
            <w:shd w:val="clear" w:color="auto" w:fill="auto"/>
            <w:vAlign w:val="center"/>
          </w:tcPr>
          <w:p w14:paraId="656AA68A">
            <w:pPr>
              <w:framePr w:wrap="auto" w:vAnchor="margin" w:hAnchor="text" w:yAlign="inline"/>
              <w:rPr>
                <w:rFonts w:hint="eastAsia" w:ascii="宋体" w:hAnsi="宋体" w:eastAsia="宋体" w:cs="宋体"/>
                <w:color w:val="auto"/>
                <w:sz w:val="20"/>
                <w:szCs w:val="20"/>
                <w:highlight w:val="none"/>
                <w:lang w:eastAsia="zh-CN"/>
              </w:rPr>
            </w:pPr>
          </w:p>
        </w:tc>
        <w:tc>
          <w:tcPr>
            <w:tcW w:w="545" w:type="pct"/>
            <w:tcBorders>
              <w:top w:val="nil"/>
              <w:left w:val="nil"/>
              <w:bottom w:val="nil"/>
              <w:right w:val="nil"/>
            </w:tcBorders>
            <w:shd w:val="clear" w:color="auto" w:fill="auto"/>
            <w:vAlign w:val="center"/>
          </w:tcPr>
          <w:p w14:paraId="28E012F3">
            <w:pPr>
              <w:framePr w:wrap="auto" w:vAnchor="margin" w:hAnchor="text" w:yAlign="inline"/>
              <w:rPr>
                <w:rFonts w:hint="eastAsia" w:ascii="宋体" w:hAnsi="宋体" w:eastAsia="宋体" w:cs="宋体"/>
                <w:color w:val="auto"/>
                <w:sz w:val="20"/>
                <w:szCs w:val="20"/>
                <w:highlight w:val="none"/>
                <w:lang w:eastAsia="zh-CN"/>
              </w:rPr>
            </w:pPr>
          </w:p>
        </w:tc>
        <w:tc>
          <w:tcPr>
            <w:tcW w:w="717" w:type="pct"/>
            <w:tcBorders>
              <w:top w:val="nil"/>
              <w:left w:val="nil"/>
              <w:bottom w:val="nil"/>
              <w:right w:val="nil"/>
            </w:tcBorders>
            <w:shd w:val="clear" w:color="auto" w:fill="auto"/>
            <w:vAlign w:val="center"/>
          </w:tcPr>
          <w:p w14:paraId="5611B7BE">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报价单位：</w:t>
            </w:r>
          </w:p>
        </w:tc>
        <w:tc>
          <w:tcPr>
            <w:tcW w:w="1068" w:type="pct"/>
            <w:gridSpan w:val="2"/>
            <w:tcBorders>
              <w:top w:val="nil"/>
              <w:left w:val="nil"/>
              <w:bottom w:val="nil"/>
              <w:right w:val="nil"/>
            </w:tcBorders>
            <w:shd w:val="clear" w:color="auto" w:fill="auto"/>
            <w:vAlign w:val="center"/>
          </w:tcPr>
          <w:p w14:paraId="49372FE6">
            <w:pPr>
              <w:framePr w:wrap="auto" w:vAnchor="margin" w:hAnchor="text" w:yAlign="inline"/>
              <w:rPr>
                <w:rFonts w:hint="eastAsia" w:ascii="宋体" w:hAnsi="宋体" w:eastAsia="宋体" w:cs="宋体"/>
                <w:color w:val="auto"/>
                <w:sz w:val="20"/>
                <w:szCs w:val="20"/>
                <w:highlight w:val="none"/>
                <w:lang w:eastAsia="zh-CN"/>
              </w:rPr>
            </w:pPr>
          </w:p>
        </w:tc>
      </w:tr>
      <w:tr w14:paraId="1884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52" w:type="pct"/>
            <w:tcBorders>
              <w:top w:val="nil"/>
              <w:left w:val="nil"/>
              <w:bottom w:val="nil"/>
              <w:right w:val="nil"/>
            </w:tcBorders>
            <w:shd w:val="clear" w:color="auto" w:fill="auto"/>
            <w:noWrap/>
            <w:vAlign w:val="center"/>
          </w:tcPr>
          <w:p w14:paraId="47047E36">
            <w:pPr>
              <w:framePr w:wrap="auto" w:vAnchor="margin" w:hAnchor="text" w:yAlign="inline"/>
              <w:rPr>
                <w:rFonts w:hint="eastAsia" w:ascii="宋体" w:hAnsi="宋体" w:eastAsia="宋体" w:cs="宋体"/>
                <w:color w:val="auto"/>
                <w:sz w:val="20"/>
                <w:szCs w:val="20"/>
                <w:highlight w:val="none"/>
                <w:lang w:eastAsia="zh-CN"/>
              </w:rPr>
            </w:pPr>
          </w:p>
        </w:tc>
        <w:tc>
          <w:tcPr>
            <w:tcW w:w="798" w:type="pct"/>
            <w:tcBorders>
              <w:top w:val="nil"/>
              <w:left w:val="nil"/>
              <w:bottom w:val="nil"/>
              <w:right w:val="nil"/>
            </w:tcBorders>
            <w:shd w:val="clear" w:color="auto" w:fill="auto"/>
            <w:vAlign w:val="center"/>
          </w:tcPr>
          <w:p w14:paraId="363E3066">
            <w:pPr>
              <w:framePr w:wrap="auto" w:vAnchor="margin" w:hAnchor="text" w:yAlign="inline"/>
              <w:rPr>
                <w:rFonts w:hint="eastAsia" w:ascii="宋体" w:hAnsi="宋体" w:eastAsia="宋体" w:cs="宋体"/>
                <w:color w:val="auto"/>
                <w:sz w:val="20"/>
                <w:szCs w:val="20"/>
                <w:highlight w:val="none"/>
                <w:lang w:eastAsia="zh-CN"/>
              </w:rPr>
            </w:pPr>
          </w:p>
        </w:tc>
        <w:tc>
          <w:tcPr>
            <w:tcW w:w="1013" w:type="pct"/>
            <w:tcBorders>
              <w:top w:val="nil"/>
              <w:left w:val="nil"/>
              <w:bottom w:val="nil"/>
              <w:right w:val="nil"/>
            </w:tcBorders>
            <w:shd w:val="clear" w:color="auto" w:fill="auto"/>
            <w:noWrap/>
            <w:vAlign w:val="center"/>
          </w:tcPr>
          <w:p w14:paraId="3A9B4550">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nil"/>
              <w:left w:val="nil"/>
              <w:bottom w:val="nil"/>
              <w:right w:val="nil"/>
            </w:tcBorders>
            <w:shd w:val="clear" w:color="auto" w:fill="auto"/>
            <w:noWrap/>
            <w:vAlign w:val="center"/>
          </w:tcPr>
          <w:p w14:paraId="75A795EE">
            <w:pPr>
              <w:framePr w:wrap="auto" w:vAnchor="margin" w:hAnchor="text" w:yAlign="inline"/>
              <w:rPr>
                <w:rFonts w:hint="eastAsia" w:ascii="宋体" w:hAnsi="宋体" w:eastAsia="宋体" w:cs="宋体"/>
                <w:color w:val="auto"/>
                <w:sz w:val="20"/>
                <w:szCs w:val="20"/>
                <w:highlight w:val="none"/>
                <w:lang w:eastAsia="zh-CN"/>
              </w:rPr>
            </w:pPr>
          </w:p>
        </w:tc>
        <w:tc>
          <w:tcPr>
            <w:tcW w:w="545" w:type="pct"/>
            <w:tcBorders>
              <w:top w:val="nil"/>
              <w:left w:val="nil"/>
              <w:bottom w:val="nil"/>
              <w:right w:val="nil"/>
            </w:tcBorders>
            <w:shd w:val="clear" w:color="auto" w:fill="auto"/>
            <w:vAlign w:val="center"/>
          </w:tcPr>
          <w:p w14:paraId="53BCBF38">
            <w:pPr>
              <w:framePr w:wrap="auto" w:vAnchor="margin" w:hAnchor="text" w:yAlign="inline"/>
              <w:rPr>
                <w:rFonts w:hint="eastAsia" w:ascii="宋体" w:hAnsi="宋体" w:eastAsia="宋体" w:cs="宋体"/>
                <w:color w:val="auto"/>
                <w:sz w:val="20"/>
                <w:szCs w:val="20"/>
                <w:highlight w:val="none"/>
                <w:lang w:eastAsia="zh-CN"/>
              </w:rPr>
            </w:pPr>
          </w:p>
        </w:tc>
        <w:tc>
          <w:tcPr>
            <w:tcW w:w="717" w:type="pct"/>
            <w:tcBorders>
              <w:top w:val="nil"/>
              <w:left w:val="nil"/>
              <w:bottom w:val="nil"/>
              <w:right w:val="nil"/>
            </w:tcBorders>
            <w:shd w:val="clear" w:color="auto" w:fill="auto"/>
            <w:vAlign w:val="center"/>
          </w:tcPr>
          <w:p w14:paraId="47D8254E">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联系人：</w:t>
            </w:r>
          </w:p>
        </w:tc>
        <w:tc>
          <w:tcPr>
            <w:tcW w:w="1068" w:type="pct"/>
            <w:gridSpan w:val="2"/>
            <w:tcBorders>
              <w:top w:val="nil"/>
              <w:left w:val="nil"/>
              <w:bottom w:val="nil"/>
              <w:right w:val="nil"/>
            </w:tcBorders>
            <w:shd w:val="clear" w:color="auto" w:fill="auto"/>
            <w:vAlign w:val="center"/>
          </w:tcPr>
          <w:p w14:paraId="32F60FD9">
            <w:pPr>
              <w:framePr w:wrap="auto" w:vAnchor="margin" w:hAnchor="text" w:yAlign="inline"/>
              <w:rPr>
                <w:rFonts w:hint="eastAsia" w:ascii="宋体" w:hAnsi="宋体" w:eastAsia="宋体" w:cs="宋体"/>
                <w:color w:val="auto"/>
                <w:sz w:val="20"/>
                <w:szCs w:val="20"/>
                <w:highlight w:val="none"/>
                <w:lang w:eastAsia="zh-CN"/>
              </w:rPr>
            </w:pPr>
          </w:p>
        </w:tc>
      </w:tr>
      <w:tr w14:paraId="52E5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52" w:type="pct"/>
            <w:tcBorders>
              <w:top w:val="nil"/>
              <w:left w:val="nil"/>
              <w:bottom w:val="nil"/>
              <w:right w:val="nil"/>
            </w:tcBorders>
            <w:shd w:val="clear" w:color="auto" w:fill="auto"/>
            <w:noWrap/>
            <w:vAlign w:val="center"/>
          </w:tcPr>
          <w:p w14:paraId="07B96A08">
            <w:pPr>
              <w:framePr w:wrap="auto" w:vAnchor="margin" w:hAnchor="text" w:yAlign="inline"/>
              <w:rPr>
                <w:rFonts w:hint="eastAsia" w:ascii="宋体" w:hAnsi="宋体" w:eastAsia="宋体" w:cs="宋体"/>
                <w:color w:val="auto"/>
                <w:sz w:val="20"/>
                <w:szCs w:val="20"/>
                <w:highlight w:val="none"/>
                <w:lang w:eastAsia="zh-CN"/>
              </w:rPr>
            </w:pPr>
          </w:p>
        </w:tc>
        <w:tc>
          <w:tcPr>
            <w:tcW w:w="798" w:type="pct"/>
            <w:tcBorders>
              <w:top w:val="nil"/>
              <w:left w:val="nil"/>
              <w:bottom w:val="nil"/>
              <w:right w:val="nil"/>
            </w:tcBorders>
            <w:shd w:val="clear" w:color="auto" w:fill="auto"/>
            <w:vAlign w:val="center"/>
          </w:tcPr>
          <w:p w14:paraId="5CE69E2A">
            <w:pPr>
              <w:framePr w:wrap="auto" w:vAnchor="margin" w:hAnchor="text" w:yAlign="inline"/>
              <w:rPr>
                <w:rFonts w:hint="eastAsia" w:ascii="宋体" w:hAnsi="宋体" w:eastAsia="宋体" w:cs="宋体"/>
                <w:color w:val="auto"/>
                <w:sz w:val="20"/>
                <w:szCs w:val="20"/>
                <w:highlight w:val="none"/>
                <w:lang w:eastAsia="zh-CN"/>
              </w:rPr>
            </w:pPr>
          </w:p>
        </w:tc>
        <w:tc>
          <w:tcPr>
            <w:tcW w:w="1013" w:type="pct"/>
            <w:tcBorders>
              <w:top w:val="nil"/>
              <w:left w:val="nil"/>
              <w:bottom w:val="nil"/>
              <w:right w:val="nil"/>
            </w:tcBorders>
            <w:shd w:val="clear" w:color="auto" w:fill="auto"/>
            <w:noWrap/>
            <w:vAlign w:val="center"/>
          </w:tcPr>
          <w:p w14:paraId="5FFEAE94">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nil"/>
              <w:left w:val="nil"/>
              <w:bottom w:val="nil"/>
              <w:right w:val="nil"/>
            </w:tcBorders>
            <w:shd w:val="clear" w:color="auto" w:fill="auto"/>
            <w:noWrap/>
            <w:vAlign w:val="center"/>
          </w:tcPr>
          <w:p w14:paraId="0B9EF9CB">
            <w:pPr>
              <w:framePr w:wrap="auto" w:vAnchor="margin" w:hAnchor="text" w:yAlign="inline"/>
              <w:rPr>
                <w:rFonts w:hint="eastAsia" w:ascii="宋体" w:hAnsi="宋体" w:eastAsia="宋体" w:cs="宋体"/>
                <w:color w:val="auto"/>
                <w:sz w:val="20"/>
                <w:szCs w:val="20"/>
                <w:highlight w:val="none"/>
                <w:lang w:eastAsia="zh-CN"/>
              </w:rPr>
            </w:pPr>
          </w:p>
        </w:tc>
        <w:tc>
          <w:tcPr>
            <w:tcW w:w="545" w:type="pct"/>
            <w:tcBorders>
              <w:top w:val="nil"/>
              <w:left w:val="nil"/>
              <w:bottom w:val="nil"/>
              <w:right w:val="nil"/>
            </w:tcBorders>
            <w:shd w:val="clear" w:color="auto" w:fill="auto"/>
            <w:vAlign w:val="center"/>
          </w:tcPr>
          <w:p w14:paraId="728D2284">
            <w:pPr>
              <w:framePr w:wrap="auto" w:vAnchor="margin" w:hAnchor="text" w:yAlign="inline"/>
              <w:rPr>
                <w:rFonts w:hint="eastAsia" w:ascii="宋体" w:hAnsi="宋体" w:eastAsia="宋体" w:cs="宋体"/>
                <w:color w:val="auto"/>
                <w:sz w:val="20"/>
                <w:szCs w:val="20"/>
                <w:highlight w:val="none"/>
                <w:lang w:eastAsia="zh-CN"/>
              </w:rPr>
            </w:pPr>
          </w:p>
        </w:tc>
        <w:tc>
          <w:tcPr>
            <w:tcW w:w="717" w:type="pct"/>
            <w:tcBorders>
              <w:top w:val="nil"/>
              <w:left w:val="nil"/>
              <w:bottom w:val="nil"/>
              <w:right w:val="nil"/>
            </w:tcBorders>
            <w:shd w:val="clear" w:color="auto" w:fill="auto"/>
            <w:vAlign w:val="center"/>
          </w:tcPr>
          <w:p w14:paraId="6A47C32B">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联系方式：</w:t>
            </w:r>
          </w:p>
        </w:tc>
        <w:tc>
          <w:tcPr>
            <w:tcW w:w="1068" w:type="pct"/>
            <w:gridSpan w:val="2"/>
            <w:tcBorders>
              <w:top w:val="nil"/>
              <w:left w:val="nil"/>
              <w:bottom w:val="nil"/>
              <w:right w:val="nil"/>
            </w:tcBorders>
            <w:shd w:val="clear" w:color="auto" w:fill="auto"/>
            <w:vAlign w:val="center"/>
          </w:tcPr>
          <w:p w14:paraId="0ADD7DAD">
            <w:pPr>
              <w:framePr w:wrap="auto" w:vAnchor="margin" w:hAnchor="text" w:yAlign="inline"/>
              <w:rPr>
                <w:rFonts w:hint="eastAsia" w:ascii="宋体" w:hAnsi="宋体" w:eastAsia="宋体" w:cs="宋体"/>
                <w:color w:val="auto"/>
                <w:sz w:val="20"/>
                <w:szCs w:val="20"/>
                <w:highlight w:val="none"/>
                <w:lang w:eastAsia="zh-CN"/>
              </w:rPr>
            </w:pPr>
          </w:p>
        </w:tc>
      </w:tr>
      <w:tr w14:paraId="7B9A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52" w:type="pct"/>
            <w:tcBorders>
              <w:top w:val="nil"/>
              <w:left w:val="nil"/>
              <w:bottom w:val="nil"/>
              <w:right w:val="nil"/>
            </w:tcBorders>
            <w:shd w:val="clear" w:color="auto" w:fill="auto"/>
            <w:noWrap/>
            <w:vAlign w:val="center"/>
          </w:tcPr>
          <w:p w14:paraId="0D123A78">
            <w:pPr>
              <w:framePr w:wrap="auto" w:vAnchor="margin" w:hAnchor="text" w:yAlign="inline"/>
              <w:rPr>
                <w:rFonts w:hint="eastAsia" w:ascii="宋体" w:hAnsi="宋体" w:eastAsia="宋体" w:cs="宋体"/>
                <w:color w:val="auto"/>
                <w:sz w:val="20"/>
                <w:szCs w:val="20"/>
                <w:highlight w:val="none"/>
                <w:lang w:eastAsia="zh-CN"/>
              </w:rPr>
            </w:pPr>
          </w:p>
        </w:tc>
        <w:tc>
          <w:tcPr>
            <w:tcW w:w="798" w:type="pct"/>
            <w:tcBorders>
              <w:top w:val="nil"/>
              <w:left w:val="nil"/>
              <w:bottom w:val="nil"/>
              <w:right w:val="nil"/>
            </w:tcBorders>
            <w:shd w:val="clear" w:color="auto" w:fill="auto"/>
            <w:vAlign w:val="center"/>
          </w:tcPr>
          <w:p w14:paraId="0B02EFAA">
            <w:pPr>
              <w:framePr w:wrap="auto" w:vAnchor="margin" w:hAnchor="text" w:yAlign="inline"/>
              <w:rPr>
                <w:rFonts w:hint="eastAsia" w:ascii="宋体" w:hAnsi="宋体" w:eastAsia="宋体" w:cs="宋体"/>
                <w:color w:val="auto"/>
                <w:sz w:val="20"/>
                <w:szCs w:val="20"/>
                <w:highlight w:val="none"/>
                <w:lang w:eastAsia="zh-CN"/>
              </w:rPr>
            </w:pPr>
          </w:p>
        </w:tc>
        <w:tc>
          <w:tcPr>
            <w:tcW w:w="1013" w:type="pct"/>
            <w:tcBorders>
              <w:top w:val="nil"/>
              <w:left w:val="nil"/>
              <w:bottom w:val="nil"/>
              <w:right w:val="nil"/>
            </w:tcBorders>
            <w:shd w:val="clear" w:color="auto" w:fill="auto"/>
            <w:noWrap/>
            <w:vAlign w:val="center"/>
          </w:tcPr>
          <w:p w14:paraId="6252A76D">
            <w:pPr>
              <w:framePr w:wrap="auto" w:vAnchor="margin" w:hAnchor="text" w:yAlign="inline"/>
              <w:rPr>
                <w:rFonts w:hint="eastAsia" w:ascii="宋体" w:hAnsi="宋体" w:eastAsia="宋体" w:cs="宋体"/>
                <w:color w:val="auto"/>
                <w:sz w:val="20"/>
                <w:szCs w:val="20"/>
                <w:highlight w:val="none"/>
                <w:lang w:eastAsia="zh-CN"/>
              </w:rPr>
            </w:pPr>
          </w:p>
        </w:tc>
        <w:tc>
          <w:tcPr>
            <w:tcW w:w="503" w:type="pct"/>
            <w:tcBorders>
              <w:top w:val="nil"/>
              <w:left w:val="nil"/>
              <w:bottom w:val="nil"/>
              <w:right w:val="nil"/>
            </w:tcBorders>
            <w:shd w:val="clear" w:color="auto" w:fill="auto"/>
            <w:noWrap/>
            <w:vAlign w:val="center"/>
          </w:tcPr>
          <w:p w14:paraId="6AD5542F">
            <w:pPr>
              <w:framePr w:wrap="auto" w:vAnchor="margin" w:hAnchor="text" w:yAlign="inline"/>
              <w:rPr>
                <w:rFonts w:hint="eastAsia" w:ascii="宋体" w:hAnsi="宋体" w:eastAsia="宋体" w:cs="宋体"/>
                <w:color w:val="auto"/>
                <w:sz w:val="20"/>
                <w:szCs w:val="20"/>
                <w:highlight w:val="none"/>
                <w:lang w:eastAsia="zh-CN"/>
              </w:rPr>
            </w:pPr>
          </w:p>
        </w:tc>
        <w:tc>
          <w:tcPr>
            <w:tcW w:w="545" w:type="pct"/>
            <w:tcBorders>
              <w:top w:val="nil"/>
              <w:left w:val="nil"/>
              <w:bottom w:val="nil"/>
              <w:right w:val="nil"/>
            </w:tcBorders>
            <w:shd w:val="clear" w:color="auto" w:fill="auto"/>
            <w:vAlign w:val="center"/>
          </w:tcPr>
          <w:p w14:paraId="2E069E05">
            <w:pPr>
              <w:framePr w:wrap="auto" w:vAnchor="margin" w:hAnchor="text" w:yAlign="inline"/>
              <w:rPr>
                <w:rFonts w:hint="eastAsia" w:ascii="宋体" w:hAnsi="宋体" w:eastAsia="宋体" w:cs="宋体"/>
                <w:color w:val="auto"/>
                <w:sz w:val="20"/>
                <w:szCs w:val="20"/>
                <w:highlight w:val="none"/>
                <w:lang w:eastAsia="zh-CN"/>
              </w:rPr>
            </w:pPr>
          </w:p>
        </w:tc>
        <w:tc>
          <w:tcPr>
            <w:tcW w:w="717" w:type="pct"/>
            <w:tcBorders>
              <w:top w:val="nil"/>
              <w:left w:val="nil"/>
              <w:bottom w:val="nil"/>
              <w:right w:val="nil"/>
            </w:tcBorders>
            <w:shd w:val="clear" w:color="auto" w:fill="auto"/>
            <w:vAlign w:val="center"/>
          </w:tcPr>
          <w:p w14:paraId="0CFCC329">
            <w:pPr>
              <w:framePr w:wrap="auto" w:vAnchor="margin" w:hAnchor="text" w:yAlign="in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报价日期：</w:t>
            </w:r>
          </w:p>
        </w:tc>
        <w:tc>
          <w:tcPr>
            <w:tcW w:w="1068" w:type="pct"/>
            <w:gridSpan w:val="2"/>
            <w:tcBorders>
              <w:top w:val="nil"/>
              <w:left w:val="nil"/>
              <w:bottom w:val="nil"/>
              <w:right w:val="nil"/>
            </w:tcBorders>
            <w:shd w:val="clear" w:color="auto" w:fill="auto"/>
            <w:vAlign w:val="center"/>
          </w:tcPr>
          <w:p w14:paraId="43DFA94B">
            <w:pPr>
              <w:framePr w:wrap="auto" w:vAnchor="margin" w:hAnchor="text" w:yAlign="inline"/>
              <w:rPr>
                <w:rFonts w:hint="eastAsia" w:ascii="宋体" w:hAnsi="宋体" w:eastAsia="宋体" w:cs="宋体"/>
                <w:color w:val="auto"/>
                <w:sz w:val="20"/>
                <w:szCs w:val="20"/>
                <w:highlight w:val="none"/>
                <w:lang w:eastAsia="zh-CN"/>
              </w:rPr>
            </w:pPr>
          </w:p>
        </w:tc>
      </w:tr>
    </w:tbl>
    <w:p w14:paraId="44581488">
      <w:pPr>
        <w:framePr w:wrap="auto" w:vAnchor="margin" w:hAnchor="text" w:yAlign="inline"/>
        <w:rPr>
          <w:rFonts w:hint="eastAsia" w:ascii="宋体" w:hAnsi="宋体" w:eastAsia="宋体" w:cs="宋体"/>
          <w:color w:val="auto"/>
          <w:sz w:val="20"/>
          <w:szCs w:val="20"/>
          <w:highlight w:val="none"/>
          <w:lang w:eastAsia="zh-CN"/>
        </w:rPr>
      </w:pPr>
    </w:p>
    <w:p w14:paraId="5CD62AC0">
      <w:pPr>
        <w:framePr w:wrap="auto" w:vAnchor="margin" w:hAnchor="text" w:yAlign="inline"/>
        <w:rPr>
          <w:rFonts w:hint="eastAsia" w:ascii="宋体" w:hAnsi="宋体" w:eastAsia="宋体" w:cs="宋体"/>
          <w:color w:val="auto"/>
          <w:sz w:val="20"/>
          <w:szCs w:val="20"/>
          <w:highlight w:val="none"/>
          <w:lang w:eastAsia="zh-CN"/>
        </w:rPr>
      </w:pPr>
    </w:p>
    <w:p w14:paraId="18DA2B26">
      <w:pPr>
        <w:framePr w:wrap="auto" w:vAnchor="margin" w:hAnchor="text" w:yAlign="inline"/>
        <w:rPr>
          <w:rFonts w:hint="eastAsia" w:ascii="宋体" w:hAnsi="宋体" w:eastAsia="宋体" w:cs="宋体"/>
          <w:color w:val="auto"/>
          <w:sz w:val="20"/>
          <w:szCs w:val="20"/>
          <w:highlight w:val="none"/>
          <w:lang w:eastAsia="zh-CN"/>
        </w:rPr>
        <w:sectPr>
          <w:pgSz w:w="11900" w:h="16840"/>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0" w:charSpace="0"/>
        </w:sectPr>
      </w:pPr>
    </w:p>
    <w:p w14:paraId="40D62C43">
      <w:pPr>
        <w:keepNext w:val="0"/>
        <w:keepLines/>
        <w:pageBreakBefore w:val="0"/>
        <w:framePr w:wrap="auto" w:vAnchor="margin" w:hAnchor="text" w:yAlign="inline"/>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lang w:val="en-US" w:eastAsia="zh-CN"/>
        </w:rPr>
      </w:pPr>
      <w:bookmarkStart w:id="14" w:name="_Toc6698"/>
      <w:r>
        <w:rPr>
          <w:rFonts w:hint="eastAsia" w:ascii="宋体" w:hAnsi="宋体" w:eastAsia="宋体" w:cs="宋体"/>
          <w:b/>
          <w:bCs/>
          <w:color w:val="auto"/>
          <w:sz w:val="32"/>
          <w:szCs w:val="32"/>
          <w:highlight w:val="none"/>
          <w:lang w:val="en-US" w:eastAsia="zh-CN"/>
        </w:rPr>
        <w:t>第四部分  评选办法</w:t>
      </w:r>
      <w:bookmarkEnd w:id="14"/>
    </w:p>
    <w:p w14:paraId="4E3EE267">
      <w:pPr>
        <w:framePr w:wrap="auto" w:vAnchor="margin" w:hAnchor="text" w:yAlign="inline"/>
        <w:numPr>
          <w:ilvl w:val="0"/>
          <w:numId w:val="0"/>
        </w:numPr>
        <w:adjustRightInd w:val="0"/>
        <w:snapToGrid w:val="0"/>
        <w:spacing w:line="360" w:lineRule="auto"/>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本次</w:t>
      </w: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eastAsia="zh-CN"/>
        </w:rPr>
        <w:t>：</w:t>
      </w:r>
    </w:p>
    <w:p w14:paraId="26728118">
      <w:pPr>
        <w:framePr w:wrap="auto" w:vAnchor="margin" w:hAnchor="text" w:yAlign="inline"/>
        <w:adjustRightInd w:val="0"/>
        <w:snapToGri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最低价成交法</w:t>
      </w:r>
      <w:r>
        <w:rPr>
          <w:rFonts w:hint="eastAsia" w:ascii="宋体" w:hAnsi="宋体" w:eastAsia="宋体" w:cs="宋体"/>
          <w:color w:val="auto"/>
          <w:sz w:val="28"/>
          <w:szCs w:val="28"/>
          <w:highlight w:val="none"/>
          <w:lang w:eastAsia="zh-CN"/>
        </w:rPr>
        <w:t>。</w:t>
      </w:r>
    </w:p>
    <w:p w14:paraId="07C2EF72">
      <w:pPr>
        <w:framePr w:wrap="auto" w:vAnchor="margin" w:hAnchor="text" w:yAlign="inline"/>
        <w:adjustRightInd w:val="0"/>
        <w:snapToGri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rPr>
        <w:t>最低价成交法</w:t>
      </w:r>
      <w:r>
        <w:rPr>
          <w:rFonts w:hint="eastAsia" w:ascii="宋体" w:hAnsi="宋体" w:eastAsia="宋体" w:cs="宋体"/>
          <w:color w:val="auto"/>
          <w:sz w:val="28"/>
          <w:szCs w:val="28"/>
          <w:highlight w:val="none"/>
          <w:lang w:eastAsia="zh-CN"/>
        </w:rPr>
        <w:t>，是指</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文件满足竞价文件全部实质性要求，且报价最低的</w:t>
      </w:r>
      <w:r>
        <w:rPr>
          <w:rFonts w:hint="eastAsia" w:ascii="宋体" w:hAnsi="宋体" w:eastAsia="宋体" w:cs="宋体"/>
          <w:color w:val="auto"/>
          <w:sz w:val="28"/>
          <w:szCs w:val="28"/>
          <w:highlight w:val="none"/>
          <w:lang w:val="en-US" w:eastAsia="zh-CN"/>
        </w:rPr>
        <w:t>响应人</w:t>
      </w:r>
      <w:r>
        <w:rPr>
          <w:rFonts w:hint="eastAsia" w:ascii="宋体" w:hAnsi="宋体" w:eastAsia="宋体" w:cs="宋体"/>
          <w:color w:val="auto"/>
          <w:sz w:val="28"/>
          <w:szCs w:val="28"/>
          <w:highlight w:val="none"/>
          <w:lang w:eastAsia="zh-CN"/>
        </w:rPr>
        <w:t>为中</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lang w:eastAsia="zh-CN"/>
        </w:rPr>
        <w:t>候选人的评标方法。</w:t>
      </w:r>
    </w:p>
    <w:p w14:paraId="47FAD430">
      <w:pPr>
        <w:framePr w:wrap="auto" w:vAnchor="margin" w:hAnchor="text" w:yAlign="inline"/>
        <w:adjustRightInd w:val="0"/>
        <w:snapToGri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2)评选步骤：</w:t>
      </w:r>
    </w:p>
    <w:p w14:paraId="4BED4A50">
      <w:pPr>
        <w:framePr w:wrap="auto" w:vAnchor="margin" w:hAnchor="text" w:yAlign="inline"/>
        <w:adjustRightInd w:val="0"/>
        <w:snapToGri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①资格</w:t>
      </w:r>
      <w:r>
        <w:rPr>
          <w:rFonts w:hint="eastAsia" w:ascii="宋体" w:hAnsi="宋体" w:eastAsia="宋体" w:cs="宋体"/>
          <w:color w:val="auto"/>
          <w:sz w:val="28"/>
          <w:szCs w:val="28"/>
          <w:highlight w:val="none"/>
          <w:lang w:val="en-US" w:eastAsia="zh-CN"/>
        </w:rPr>
        <w:t>符合</w:t>
      </w:r>
      <w:r>
        <w:rPr>
          <w:rFonts w:hint="eastAsia" w:ascii="宋体" w:hAnsi="宋体" w:eastAsia="宋体" w:cs="宋体"/>
          <w:color w:val="auto"/>
          <w:sz w:val="28"/>
          <w:szCs w:val="28"/>
          <w:highlight w:val="none"/>
          <w:lang w:eastAsia="zh-CN"/>
        </w:rPr>
        <w:t>性审查：开标结束后，采购人或者采购代理机构应当依法对响应人的响应文件进行</w:t>
      </w:r>
      <w:r>
        <w:rPr>
          <w:rFonts w:hint="eastAsia" w:ascii="宋体" w:hAnsi="宋体" w:eastAsia="宋体" w:cs="宋体"/>
          <w:color w:val="auto"/>
          <w:sz w:val="28"/>
          <w:szCs w:val="28"/>
          <w:highlight w:val="none"/>
          <w:lang w:val="en-US" w:eastAsia="zh-CN"/>
        </w:rPr>
        <w:t>资格符合</w:t>
      </w:r>
      <w:r>
        <w:rPr>
          <w:rFonts w:hint="eastAsia" w:ascii="宋体" w:hAnsi="宋体" w:eastAsia="宋体" w:cs="宋体"/>
          <w:color w:val="auto"/>
          <w:sz w:val="28"/>
          <w:szCs w:val="28"/>
          <w:highlight w:val="none"/>
          <w:lang w:eastAsia="zh-CN"/>
        </w:rPr>
        <w:t>性审查，以确定其是否满足竞价文件的实质性要求。未通过</w:t>
      </w:r>
      <w:r>
        <w:rPr>
          <w:rFonts w:hint="eastAsia" w:ascii="宋体" w:hAnsi="宋体" w:eastAsia="宋体" w:cs="宋体"/>
          <w:color w:val="auto"/>
          <w:sz w:val="28"/>
          <w:szCs w:val="28"/>
          <w:highlight w:val="none"/>
          <w:lang w:val="en-US" w:eastAsia="zh-CN"/>
        </w:rPr>
        <w:t>资格</w:t>
      </w:r>
      <w:r>
        <w:rPr>
          <w:rFonts w:hint="eastAsia" w:ascii="宋体" w:hAnsi="宋体" w:eastAsia="宋体" w:cs="宋体"/>
          <w:color w:val="auto"/>
          <w:sz w:val="28"/>
          <w:szCs w:val="28"/>
          <w:highlight w:val="none"/>
          <w:lang w:eastAsia="zh-CN"/>
        </w:rPr>
        <w:t>符合性审查的响应人，不进入价格评审。</w:t>
      </w:r>
    </w:p>
    <w:p w14:paraId="024721AA">
      <w:pPr>
        <w:framePr w:wrap="auto" w:vAnchor="margin" w:hAnchor="text" w:yAlign="inline"/>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w:t>
      </w:r>
      <w:r>
        <w:rPr>
          <w:rFonts w:hint="eastAsia" w:ascii="宋体" w:hAnsi="宋体" w:eastAsia="宋体" w:cs="宋体"/>
          <w:color w:val="auto"/>
          <w:sz w:val="28"/>
          <w:szCs w:val="28"/>
          <w:highlight w:val="none"/>
          <w:lang w:eastAsia="zh-CN"/>
        </w:rPr>
        <w:t>价格评审：评</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lang w:eastAsia="zh-CN"/>
        </w:rPr>
        <w:t>结果按报价由低到高顺序排列。报价相同的并列，中</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lang w:eastAsia="zh-CN"/>
        </w:rPr>
        <w:t>候选人并列的，由采购人采取</w:t>
      </w:r>
      <w:r>
        <w:rPr>
          <w:rFonts w:hint="eastAsia" w:ascii="宋体" w:hAnsi="宋体" w:eastAsia="宋体" w:cs="宋体"/>
          <w:color w:val="auto"/>
          <w:sz w:val="28"/>
          <w:szCs w:val="28"/>
          <w:highlight w:val="none"/>
          <w:lang w:val="en-US" w:eastAsia="zh-CN"/>
        </w:rPr>
        <w:t>随机抽取方式</w:t>
      </w:r>
      <w:r>
        <w:rPr>
          <w:rFonts w:hint="eastAsia" w:ascii="宋体" w:hAnsi="宋体" w:eastAsia="宋体" w:cs="宋体"/>
          <w:color w:val="auto"/>
          <w:sz w:val="28"/>
          <w:szCs w:val="28"/>
          <w:highlight w:val="none"/>
          <w:lang w:eastAsia="zh-CN"/>
        </w:rPr>
        <w:t>确定中</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lang w:eastAsia="zh-CN"/>
        </w:rPr>
        <w:t>人。</w:t>
      </w:r>
    </w:p>
    <w:p w14:paraId="5789D5BC">
      <w:pPr>
        <w:framePr w:wrap="auto" w:vAnchor="margin" w:hAnchor="text" w:yAlign="inline"/>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2、□综合评估法。具体标准如下：</w:t>
      </w:r>
      <w:r>
        <w:rPr>
          <w:rFonts w:hint="eastAsia" w:ascii="宋体" w:hAnsi="宋体" w:eastAsia="宋体" w:cs="宋体"/>
          <w:color w:val="auto"/>
          <w:sz w:val="28"/>
          <w:szCs w:val="28"/>
          <w:highlight w:val="none"/>
          <w:lang w:val="en-US" w:eastAsia="zh-CN"/>
        </w:rPr>
        <w:t>/</w:t>
      </w:r>
    </w:p>
    <w:p w14:paraId="2BB3F338">
      <w:pPr>
        <w:framePr w:wrap="auto" w:vAnchor="margin" w:hAnchor="text" w:yAlign="inline"/>
        <w:adjustRightInd w:val="0"/>
        <w:snapToGrid w:val="0"/>
        <w:spacing w:line="360" w:lineRule="auto"/>
        <w:ind w:firstLine="560" w:firstLineChars="200"/>
        <w:jc w:val="left"/>
        <w:rPr>
          <w:rFonts w:hint="eastAsia" w:ascii="宋体" w:hAnsi="宋体" w:eastAsia="宋体" w:cs="宋体"/>
          <w:color w:val="auto"/>
          <w:sz w:val="28"/>
          <w:szCs w:val="28"/>
          <w:highlight w:val="none"/>
          <w:lang w:eastAsia="zh-CN"/>
        </w:rPr>
      </w:pPr>
    </w:p>
    <w:p w14:paraId="1F85AF6F">
      <w:pPr>
        <w:pStyle w:val="32"/>
        <w:framePr w:wrap="auto" w:vAnchor="margin" w:hAnchor="text" w:yAlign="inline"/>
        <w:wordWrap w:val="0"/>
        <w:spacing w:line="440" w:lineRule="exact"/>
        <w:jc w:val="left"/>
        <w:rPr>
          <w:rFonts w:hint="eastAsia" w:ascii="宋体" w:hAnsi="宋体" w:eastAsia="宋体" w:cs="宋体"/>
          <w:b/>
          <w:bCs/>
          <w:color w:val="auto"/>
          <w:sz w:val="32"/>
          <w:szCs w:val="32"/>
          <w:highlight w:val="none"/>
        </w:rPr>
      </w:pPr>
    </w:p>
    <w:p w14:paraId="238234C8">
      <w:pPr>
        <w:pStyle w:val="3"/>
        <w:wordWrap w:val="0"/>
        <w:jc w:val="left"/>
        <w:rPr>
          <w:rFonts w:hint="eastAsia" w:ascii="宋体" w:hAnsi="宋体" w:eastAsia="宋体" w:cs="宋体"/>
          <w:b/>
          <w:color w:val="auto"/>
          <w:szCs w:val="24"/>
          <w:highlight w:val="none"/>
          <w:lang w:eastAsia="zh-CN"/>
        </w:rPr>
        <w:sectPr>
          <w:pgSz w:w="11900" w:h="16840"/>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0" w:charSpace="0"/>
        </w:sectPr>
      </w:pPr>
    </w:p>
    <w:p w14:paraId="57F19789">
      <w:pPr>
        <w:keepNext w:val="0"/>
        <w:keepLines/>
        <w:pageBreakBefore w:val="0"/>
        <w:framePr w:wrap="auto" w:vAnchor="margin" w:hAnchor="text" w:yAlign="inline"/>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lang w:val="en-US" w:eastAsia="zh-CN"/>
        </w:rPr>
      </w:pPr>
      <w:bookmarkStart w:id="15" w:name="_Toc25557"/>
      <w:r>
        <w:rPr>
          <w:rFonts w:hint="eastAsia" w:ascii="宋体" w:hAnsi="宋体" w:eastAsia="宋体" w:cs="宋体"/>
          <w:b/>
          <w:bCs/>
          <w:color w:val="auto"/>
          <w:sz w:val="32"/>
          <w:szCs w:val="32"/>
          <w:highlight w:val="none"/>
          <w:lang w:val="en-US" w:eastAsia="zh-CN"/>
        </w:rPr>
        <w:t>第五部分  合同主要条款</w:t>
      </w:r>
      <w:bookmarkEnd w:id="15"/>
    </w:p>
    <w:p w14:paraId="2A802792">
      <w:pPr>
        <w:framePr w:wrap="auto" w:vAnchor="margin" w:hAnchor="text" w:yAlign="inline"/>
        <w:widowControl w:val="0"/>
        <w:ind w:firstLine="2168" w:firstLineChars="600"/>
        <w:jc w:val="left"/>
        <w:rPr>
          <w:rFonts w:hint="eastAsia" w:ascii="仿宋" w:hAnsi="仿宋" w:eastAsia="仿宋" w:cs="Times New Roman"/>
          <w:b/>
          <w:color w:val="auto"/>
          <w:kern w:val="2"/>
          <w:sz w:val="36"/>
          <w:szCs w:val="36"/>
          <w:lang w:eastAsia="zh-CN"/>
        </w:rPr>
      </w:pPr>
      <w:bookmarkStart w:id="16" w:name="_Toc16641"/>
      <w:r>
        <w:rPr>
          <w:rFonts w:hint="eastAsia" w:ascii="仿宋" w:hAnsi="仿宋" w:eastAsia="仿宋" w:cs="Times New Roman"/>
          <w:b/>
          <w:color w:val="auto"/>
          <w:kern w:val="2"/>
          <w:sz w:val="36"/>
          <w:szCs w:val="36"/>
          <w:lang w:eastAsia="zh-CN"/>
        </w:rPr>
        <w:t>商品混凝土采购供应合同</w:t>
      </w:r>
    </w:p>
    <w:p w14:paraId="4E1115F6">
      <w:pPr>
        <w:framePr w:wrap="auto" w:vAnchor="margin" w:hAnchor="text" w:yAlign="inline"/>
        <w:widowControl w:val="0"/>
        <w:wordWrap w:val="0"/>
        <w:spacing w:line="400" w:lineRule="exact"/>
        <w:jc w:val="right"/>
        <w:rPr>
          <w:rFonts w:hint="default" w:ascii="仿宋" w:hAnsi="仿宋" w:eastAsia="仿宋" w:cs="Times New Roman"/>
          <w:bCs/>
          <w:color w:val="auto"/>
          <w:kern w:val="2"/>
          <w:sz w:val="24"/>
          <w:lang w:val="en-US" w:eastAsia="zh-CN"/>
        </w:rPr>
      </w:pPr>
      <w:r>
        <w:rPr>
          <w:rFonts w:hint="eastAsia" w:ascii="仿宋" w:hAnsi="仿宋" w:eastAsia="仿宋" w:cs="Times New Roman"/>
          <w:color w:val="auto"/>
          <w:kern w:val="2"/>
          <w:sz w:val="24"/>
          <w:lang w:val="zh-CN" w:eastAsia="zh-CN"/>
        </w:rPr>
        <w:t>合同编号：</w:t>
      </w:r>
      <w:r>
        <w:rPr>
          <w:rFonts w:hint="eastAsia" w:ascii="仿宋" w:hAnsi="仿宋" w:eastAsia="仿宋" w:cs="Times New Roman"/>
          <w:color w:val="auto"/>
          <w:kern w:val="2"/>
          <w:sz w:val="24"/>
          <w:u w:val="single"/>
          <w:lang w:val="en-US" w:eastAsia="zh-CN"/>
        </w:rPr>
        <w:t xml:space="preserve">                   </w:t>
      </w:r>
    </w:p>
    <w:p w14:paraId="26B685AF">
      <w:pPr>
        <w:framePr w:wrap="auto" w:vAnchor="margin" w:hAnchor="text" w:yAlign="inline"/>
        <w:widowControl w:val="0"/>
        <w:spacing w:line="360" w:lineRule="auto"/>
        <w:jc w:val="both"/>
        <w:rPr>
          <w:rFonts w:hint="eastAsia" w:ascii="仿宋" w:hAnsi="仿宋" w:eastAsia="仿宋" w:cs="Times New Roman"/>
          <w:bCs/>
          <w:color w:val="auto"/>
          <w:kern w:val="2"/>
          <w:sz w:val="24"/>
          <w:lang w:eastAsia="zh-CN"/>
        </w:rPr>
      </w:pPr>
      <w:r>
        <w:rPr>
          <w:rFonts w:hint="eastAsia" w:ascii="仿宋" w:hAnsi="仿宋" w:eastAsia="仿宋" w:cs="Times New Roman"/>
          <w:bCs/>
          <w:color w:val="auto"/>
          <w:kern w:val="2"/>
          <w:sz w:val="24"/>
          <w:lang w:eastAsia="zh-CN"/>
        </w:rPr>
        <w:t>甲方（需方）：</w:t>
      </w:r>
      <w:r>
        <w:rPr>
          <w:rFonts w:hint="eastAsia" w:ascii="仿宋" w:hAnsi="仿宋" w:eastAsia="仿宋" w:cs="Times New Roman"/>
          <w:color w:val="auto"/>
          <w:kern w:val="2"/>
          <w:sz w:val="24"/>
          <w:u w:val="single"/>
          <w:lang w:val="en-US" w:eastAsia="zh-CN"/>
        </w:rPr>
        <w:t xml:space="preserve">                   </w:t>
      </w:r>
    </w:p>
    <w:p w14:paraId="11C72049">
      <w:pPr>
        <w:framePr w:wrap="auto" w:vAnchor="margin" w:hAnchor="text" w:yAlign="inline"/>
        <w:widowControl w:val="0"/>
        <w:tabs>
          <w:tab w:val="left" w:pos="720"/>
        </w:tabs>
        <w:spacing w:line="360" w:lineRule="auto"/>
        <w:jc w:val="both"/>
        <w:rPr>
          <w:rFonts w:hint="eastAsia" w:ascii="仿宋" w:hAnsi="仿宋" w:eastAsia="仿宋" w:cs="Times New Roman"/>
          <w:b/>
          <w:color w:val="auto"/>
          <w:kern w:val="2"/>
          <w:sz w:val="24"/>
          <w:lang w:eastAsia="zh-CN"/>
        </w:rPr>
      </w:pPr>
      <w:r>
        <w:rPr>
          <w:rFonts w:hint="eastAsia" w:ascii="仿宋" w:hAnsi="仿宋" w:eastAsia="仿宋" w:cs="Times New Roman"/>
          <w:bCs/>
          <w:color w:val="auto"/>
          <w:kern w:val="2"/>
          <w:sz w:val="24"/>
          <w:lang w:eastAsia="zh-CN"/>
        </w:rPr>
        <w:t>乙方（供方）：</w:t>
      </w:r>
      <w:r>
        <w:rPr>
          <w:rFonts w:hint="eastAsia" w:ascii="仿宋" w:hAnsi="仿宋" w:eastAsia="仿宋" w:cs="Times New Roman"/>
          <w:color w:val="auto"/>
          <w:kern w:val="2"/>
          <w:sz w:val="24"/>
          <w:u w:val="single"/>
          <w:lang w:val="en-US" w:eastAsia="zh-CN"/>
        </w:rPr>
        <w:t xml:space="preserve">                   </w:t>
      </w:r>
    </w:p>
    <w:p w14:paraId="606D3F15">
      <w:pPr>
        <w:framePr w:wrap="auto" w:vAnchor="margin" w:hAnchor="text" w:yAlign="inline"/>
        <w:widowControl w:val="0"/>
        <w:tabs>
          <w:tab w:val="left" w:pos="720"/>
        </w:tabs>
        <w:spacing w:line="400" w:lineRule="exact"/>
        <w:jc w:val="both"/>
        <w:rPr>
          <w:rFonts w:hint="eastAsia" w:ascii="仿宋" w:hAnsi="仿宋" w:eastAsia="仿宋" w:cs="Times New Roman"/>
          <w:b/>
          <w:color w:val="auto"/>
          <w:kern w:val="2"/>
          <w:sz w:val="24"/>
          <w:lang w:eastAsia="zh-CN"/>
        </w:rPr>
      </w:pPr>
    </w:p>
    <w:p w14:paraId="47D9A52C">
      <w:pPr>
        <w:framePr w:wrap="auto" w:vAnchor="margin" w:hAnchor="text" w:yAlign="inline"/>
        <w:widowControl w:val="0"/>
        <w:tabs>
          <w:tab w:val="left" w:pos="720"/>
        </w:tabs>
        <w:spacing w:line="360" w:lineRule="auto"/>
        <w:ind w:firstLine="480" w:firstLineChars="200"/>
        <w:jc w:val="both"/>
        <w:rPr>
          <w:rFonts w:hint="eastAsia" w:ascii="仿宋" w:hAnsi="仿宋" w:eastAsia="仿宋" w:cs="宋体"/>
          <w:color w:val="auto"/>
          <w:kern w:val="2"/>
          <w:sz w:val="24"/>
          <w:lang w:eastAsia="zh-CN"/>
        </w:rPr>
      </w:pPr>
      <w:r>
        <w:rPr>
          <w:rFonts w:hint="eastAsia" w:ascii="仿宋" w:hAnsi="仿宋" w:eastAsia="仿宋" w:cs="宋体"/>
          <w:color w:val="auto"/>
          <w:kern w:val="0"/>
          <w:sz w:val="24"/>
          <w:lang w:eastAsia="zh-CN"/>
        </w:rPr>
        <w:t>根据《中华人民共和国民法典》及其它有关法律、行政法规。为了明确双方的权利义务，遵循平等、自愿、公平和诚实信用的原则。甲方因工程施工进展的需要，向乙方购置商品混凝土。双方就商品混凝土采购供应有关事项达成如下协议共同遵守执行：</w:t>
      </w:r>
    </w:p>
    <w:p w14:paraId="58F8F68E">
      <w:pPr>
        <w:framePr w:wrap="auto" w:vAnchor="margin" w:hAnchor="text" w:yAlign="inline"/>
        <w:widowControl w:val="0"/>
        <w:numPr>
          <w:ilvl w:val="0"/>
          <w:numId w:val="2"/>
        </w:numPr>
        <w:spacing w:line="360" w:lineRule="auto"/>
        <w:ind w:firstLine="482" w:firstLineChars="200"/>
        <w:jc w:val="both"/>
        <w:rPr>
          <w:rFonts w:hint="eastAsia" w:ascii="仿宋" w:hAnsi="仿宋" w:eastAsia="仿宋" w:cs="宋体"/>
          <w:b/>
          <w:color w:val="auto"/>
          <w:kern w:val="2"/>
          <w:sz w:val="24"/>
          <w:lang w:eastAsia="zh-CN"/>
        </w:rPr>
      </w:pPr>
      <w:r>
        <w:rPr>
          <w:rFonts w:hint="eastAsia" w:ascii="仿宋" w:hAnsi="仿宋" w:eastAsia="仿宋" w:cs="宋体"/>
          <w:b/>
          <w:color w:val="auto"/>
          <w:kern w:val="2"/>
          <w:sz w:val="24"/>
          <w:lang w:eastAsia="zh-CN"/>
        </w:rPr>
        <w:t>产品名称、砼级别、塌落度、数量、单价</w:t>
      </w:r>
    </w:p>
    <w:tbl>
      <w:tblPr>
        <w:tblStyle w:val="21"/>
        <w:tblW w:w="9124" w:type="dxa"/>
        <w:jc w:val="center"/>
        <w:tblLayout w:type="fixed"/>
        <w:tblCellMar>
          <w:top w:w="0" w:type="dxa"/>
          <w:left w:w="108" w:type="dxa"/>
          <w:bottom w:w="0" w:type="dxa"/>
          <w:right w:w="108" w:type="dxa"/>
        </w:tblCellMar>
      </w:tblPr>
      <w:tblGrid>
        <w:gridCol w:w="483"/>
        <w:gridCol w:w="2280"/>
        <w:gridCol w:w="1275"/>
        <w:gridCol w:w="1138"/>
        <w:gridCol w:w="1216"/>
        <w:gridCol w:w="1130"/>
        <w:gridCol w:w="1602"/>
      </w:tblGrid>
      <w:tr w14:paraId="6CAE0693">
        <w:tblPrEx>
          <w:tblCellMar>
            <w:top w:w="0" w:type="dxa"/>
            <w:left w:w="108" w:type="dxa"/>
            <w:bottom w:w="0" w:type="dxa"/>
            <w:right w:w="108" w:type="dxa"/>
          </w:tblCellMar>
        </w:tblPrEx>
        <w:trPr>
          <w:trHeight w:val="548" w:hRule="atLeast"/>
          <w:tblHeader/>
          <w:jc w:val="center"/>
        </w:trPr>
        <w:tc>
          <w:tcPr>
            <w:tcW w:w="483" w:type="dxa"/>
            <w:tcBorders>
              <w:top w:val="single" w:color="000000" w:sz="8" w:space="0"/>
              <w:left w:val="single" w:color="000000" w:sz="8" w:space="0"/>
              <w:bottom w:val="single" w:color="000000" w:sz="8" w:space="0"/>
              <w:right w:val="single" w:color="000000" w:sz="8" w:space="0"/>
            </w:tcBorders>
            <w:noWrap/>
            <w:vAlign w:val="center"/>
          </w:tcPr>
          <w:p w14:paraId="28045BD9">
            <w:pPr>
              <w:framePr w:wrap="auto" w:vAnchor="margin" w:hAnchor="text" w:yAlign="inline"/>
              <w:widowControl/>
              <w:jc w:val="center"/>
              <w:textAlignment w:val="center"/>
              <w:rPr>
                <w:rFonts w:ascii="仿宋" w:hAnsi="仿宋" w:eastAsia="仿宋" w:cs="仿宋"/>
                <w:b/>
                <w:bCs/>
                <w:color w:val="auto"/>
                <w:kern w:val="2"/>
                <w:sz w:val="24"/>
                <w:szCs w:val="24"/>
                <w:lang w:eastAsia="zh-CN"/>
              </w:rPr>
            </w:pPr>
            <w:r>
              <w:rPr>
                <w:rFonts w:hint="eastAsia" w:ascii="仿宋" w:hAnsi="仿宋" w:eastAsia="仿宋" w:cs="仿宋"/>
                <w:b/>
                <w:bCs/>
                <w:color w:val="auto"/>
                <w:kern w:val="0"/>
                <w:sz w:val="24"/>
                <w:szCs w:val="24"/>
                <w:lang w:eastAsia="zh-CN" w:bidi="ar"/>
              </w:rPr>
              <w:t>序号</w:t>
            </w:r>
          </w:p>
        </w:tc>
        <w:tc>
          <w:tcPr>
            <w:tcW w:w="2280" w:type="dxa"/>
            <w:tcBorders>
              <w:top w:val="single" w:color="000000" w:sz="8" w:space="0"/>
              <w:left w:val="nil"/>
              <w:bottom w:val="single" w:color="000000" w:sz="8" w:space="0"/>
              <w:right w:val="single" w:color="000000" w:sz="8" w:space="0"/>
            </w:tcBorders>
            <w:noWrap/>
            <w:vAlign w:val="center"/>
          </w:tcPr>
          <w:p w14:paraId="40C9EC66">
            <w:pPr>
              <w:framePr w:wrap="auto" w:vAnchor="margin" w:hAnchor="text" w:yAlign="inline"/>
              <w:widowControl/>
              <w:jc w:val="center"/>
              <w:textAlignment w:val="center"/>
              <w:rPr>
                <w:rFonts w:ascii="仿宋" w:hAnsi="仿宋" w:eastAsia="仿宋" w:cs="仿宋"/>
                <w:b/>
                <w:bCs/>
                <w:color w:val="auto"/>
                <w:kern w:val="2"/>
                <w:sz w:val="24"/>
                <w:szCs w:val="24"/>
                <w:lang w:eastAsia="zh-CN"/>
              </w:rPr>
            </w:pPr>
            <w:r>
              <w:rPr>
                <w:rFonts w:hint="eastAsia" w:ascii="仿宋" w:hAnsi="仿宋" w:eastAsia="仿宋" w:cs="仿宋"/>
                <w:b/>
                <w:bCs/>
                <w:color w:val="auto"/>
                <w:kern w:val="0"/>
                <w:sz w:val="24"/>
                <w:szCs w:val="24"/>
                <w:lang w:eastAsia="zh-CN" w:bidi="ar"/>
              </w:rPr>
              <w:t>材料名称</w:t>
            </w:r>
          </w:p>
        </w:tc>
        <w:tc>
          <w:tcPr>
            <w:tcW w:w="1275" w:type="dxa"/>
            <w:tcBorders>
              <w:top w:val="single" w:color="000000" w:sz="8" w:space="0"/>
              <w:left w:val="nil"/>
              <w:bottom w:val="single" w:color="000000" w:sz="8" w:space="0"/>
              <w:right w:val="single" w:color="000000" w:sz="8" w:space="0"/>
            </w:tcBorders>
            <w:noWrap/>
            <w:vAlign w:val="center"/>
          </w:tcPr>
          <w:p w14:paraId="709B3A0B">
            <w:pPr>
              <w:framePr w:wrap="auto" w:vAnchor="margin" w:hAnchor="text" w:yAlign="inline"/>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eastAsia="zh-CN" w:bidi="ar"/>
              </w:rPr>
              <w:t>规格、型号等特殊要求</w:t>
            </w:r>
          </w:p>
        </w:tc>
        <w:tc>
          <w:tcPr>
            <w:tcW w:w="1138" w:type="dxa"/>
            <w:tcBorders>
              <w:top w:val="single" w:color="000000" w:sz="8" w:space="0"/>
              <w:left w:val="nil"/>
              <w:bottom w:val="single" w:color="000000" w:sz="8" w:space="0"/>
              <w:right w:val="single" w:color="000000" w:sz="8" w:space="0"/>
            </w:tcBorders>
            <w:noWrap/>
            <w:vAlign w:val="center"/>
          </w:tcPr>
          <w:p w14:paraId="5B5F517C">
            <w:pPr>
              <w:framePr w:wrap="auto" w:vAnchor="margin" w:hAnchor="text" w:yAlign="inline"/>
              <w:widowControl/>
              <w:jc w:val="center"/>
              <w:textAlignment w:val="center"/>
              <w:rPr>
                <w:rFonts w:ascii="仿宋" w:hAnsi="仿宋" w:eastAsia="仿宋" w:cs="仿宋"/>
                <w:b/>
                <w:bCs/>
                <w:color w:val="auto"/>
                <w:kern w:val="2"/>
                <w:sz w:val="24"/>
                <w:szCs w:val="24"/>
                <w:lang w:eastAsia="zh-CN"/>
              </w:rPr>
            </w:pPr>
            <w:r>
              <w:rPr>
                <w:rFonts w:hint="eastAsia" w:ascii="仿宋" w:hAnsi="仿宋" w:eastAsia="仿宋" w:cs="仿宋"/>
                <w:b/>
                <w:bCs/>
                <w:color w:val="auto"/>
                <w:kern w:val="0"/>
                <w:sz w:val="24"/>
                <w:szCs w:val="24"/>
                <w:lang w:eastAsia="zh-CN" w:bidi="ar"/>
              </w:rPr>
              <w:t>单位</w:t>
            </w:r>
          </w:p>
        </w:tc>
        <w:tc>
          <w:tcPr>
            <w:tcW w:w="1216" w:type="dxa"/>
            <w:tcBorders>
              <w:top w:val="single" w:color="000000" w:sz="8" w:space="0"/>
              <w:left w:val="nil"/>
              <w:bottom w:val="single" w:color="000000" w:sz="8" w:space="0"/>
              <w:right w:val="single" w:color="000000" w:sz="8" w:space="0"/>
            </w:tcBorders>
            <w:noWrap/>
            <w:vAlign w:val="center"/>
          </w:tcPr>
          <w:p w14:paraId="66369C75">
            <w:pPr>
              <w:framePr w:wrap="auto" w:vAnchor="margin" w:hAnchor="text" w:yAlign="inline"/>
              <w:widowControl/>
              <w:jc w:val="center"/>
              <w:textAlignment w:val="center"/>
              <w:rPr>
                <w:rFonts w:ascii="仿宋" w:hAnsi="仿宋" w:eastAsia="仿宋" w:cs="仿宋"/>
                <w:b/>
                <w:bCs/>
                <w:color w:val="auto"/>
                <w:kern w:val="2"/>
                <w:sz w:val="24"/>
                <w:szCs w:val="24"/>
                <w:lang w:eastAsia="zh-CN"/>
              </w:rPr>
            </w:pPr>
            <w:r>
              <w:rPr>
                <w:rFonts w:hint="eastAsia" w:ascii="仿宋" w:hAnsi="仿宋" w:eastAsia="仿宋" w:cs="仿宋"/>
                <w:b/>
                <w:bCs/>
                <w:color w:val="auto"/>
                <w:kern w:val="0"/>
                <w:sz w:val="24"/>
                <w:szCs w:val="24"/>
                <w:lang w:eastAsia="zh-CN" w:bidi="ar"/>
              </w:rPr>
              <w:t>数量</w:t>
            </w:r>
          </w:p>
        </w:tc>
        <w:tc>
          <w:tcPr>
            <w:tcW w:w="1130" w:type="dxa"/>
            <w:tcBorders>
              <w:top w:val="single" w:color="000000" w:sz="8" w:space="0"/>
              <w:left w:val="nil"/>
              <w:bottom w:val="single" w:color="000000" w:sz="8" w:space="0"/>
              <w:right w:val="single" w:color="000000" w:sz="8" w:space="0"/>
            </w:tcBorders>
            <w:noWrap/>
            <w:vAlign w:val="center"/>
          </w:tcPr>
          <w:p w14:paraId="41C523CE">
            <w:pPr>
              <w:framePr w:wrap="auto" w:vAnchor="margin" w:hAnchor="text" w:yAlign="inline"/>
              <w:widowControl/>
              <w:jc w:val="center"/>
              <w:textAlignment w:val="center"/>
              <w:rPr>
                <w:rFonts w:hint="default" w:ascii="仿宋" w:hAnsi="仿宋" w:eastAsia="仿宋" w:cs="仿宋"/>
                <w:b/>
                <w:bCs/>
                <w:color w:val="auto"/>
                <w:kern w:val="2"/>
                <w:sz w:val="24"/>
                <w:szCs w:val="24"/>
                <w:lang w:val="en-US" w:eastAsia="zh-CN"/>
              </w:rPr>
            </w:pPr>
            <w:r>
              <w:rPr>
                <w:rFonts w:hint="eastAsia" w:ascii="仿宋" w:hAnsi="仿宋" w:eastAsia="仿宋" w:cs="仿宋"/>
                <w:b/>
                <w:bCs/>
                <w:color w:val="auto"/>
                <w:kern w:val="0"/>
                <w:sz w:val="24"/>
                <w:szCs w:val="24"/>
                <w:lang w:val="en-US" w:eastAsia="zh-CN" w:bidi="ar"/>
              </w:rPr>
              <w:t>不含税单价（元）</w:t>
            </w:r>
          </w:p>
        </w:tc>
        <w:tc>
          <w:tcPr>
            <w:tcW w:w="1602" w:type="dxa"/>
            <w:tcBorders>
              <w:top w:val="single" w:color="000000" w:sz="8" w:space="0"/>
              <w:left w:val="nil"/>
              <w:bottom w:val="single" w:color="000000" w:sz="8" w:space="0"/>
              <w:right w:val="single" w:color="000000" w:sz="8" w:space="0"/>
            </w:tcBorders>
            <w:noWrap/>
            <w:vAlign w:val="center"/>
          </w:tcPr>
          <w:p w14:paraId="50C5AFAF">
            <w:pPr>
              <w:framePr w:wrap="auto" w:vAnchor="margin" w:hAnchor="text" w:yAlign="inline"/>
              <w:widowControl/>
              <w:jc w:val="center"/>
              <w:textAlignment w:val="center"/>
              <w:rPr>
                <w:rFonts w:hint="default"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不含税合价（元）</w:t>
            </w:r>
          </w:p>
        </w:tc>
      </w:tr>
      <w:tr w14:paraId="16F0A9EB">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22CC06F1">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1</w:t>
            </w:r>
          </w:p>
        </w:tc>
        <w:tc>
          <w:tcPr>
            <w:tcW w:w="2280" w:type="dxa"/>
            <w:tcBorders>
              <w:top w:val="nil"/>
              <w:left w:val="nil"/>
              <w:bottom w:val="single" w:color="000000" w:sz="8" w:space="0"/>
              <w:right w:val="single" w:color="000000" w:sz="8" w:space="0"/>
            </w:tcBorders>
            <w:noWrap/>
            <w:vAlign w:val="center"/>
          </w:tcPr>
          <w:p w14:paraId="5E9166ED">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C20</w:t>
            </w:r>
          </w:p>
        </w:tc>
        <w:tc>
          <w:tcPr>
            <w:tcW w:w="1275" w:type="dxa"/>
            <w:tcBorders>
              <w:top w:val="nil"/>
              <w:left w:val="nil"/>
              <w:bottom w:val="single" w:color="000000" w:sz="8" w:space="0"/>
              <w:right w:val="single" w:color="000000" w:sz="8" w:space="0"/>
            </w:tcBorders>
            <w:noWrap/>
            <w:vAlign w:val="center"/>
          </w:tcPr>
          <w:p w14:paraId="5601257A">
            <w:pPr>
              <w:framePr w:wrap="auto" w:vAnchor="margin" w:hAnchor="text" w:yAlign="inline"/>
              <w:widowControl w:val="0"/>
              <w:jc w:val="center"/>
              <w:rPr>
                <w:rFonts w:hint="eastAsia" w:ascii="仿宋" w:hAnsi="仿宋" w:eastAsia="仿宋" w:cs="仿宋"/>
                <w:i w:val="0"/>
                <w:iCs w:val="0"/>
                <w:color w:val="auto"/>
                <w:kern w:val="0"/>
                <w:sz w:val="22"/>
                <w:szCs w:val="22"/>
                <w:u w:val="none"/>
                <w:lang w:val="en-US" w:eastAsia="zh-CN" w:bidi="ar"/>
              </w:rPr>
            </w:pPr>
          </w:p>
        </w:tc>
        <w:tc>
          <w:tcPr>
            <w:tcW w:w="1138" w:type="dxa"/>
            <w:tcBorders>
              <w:top w:val="nil"/>
              <w:left w:val="nil"/>
              <w:bottom w:val="single" w:color="000000" w:sz="8" w:space="0"/>
              <w:right w:val="single" w:color="000000" w:sz="8" w:space="0"/>
            </w:tcBorders>
            <w:noWrap/>
            <w:vAlign w:val="center"/>
          </w:tcPr>
          <w:p w14:paraId="4CD11AB6">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62876014">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9638 </w:t>
            </w:r>
          </w:p>
        </w:tc>
        <w:tc>
          <w:tcPr>
            <w:tcW w:w="1130" w:type="dxa"/>
            <w:tcBorders>
              <w:top w:val="nil"/>
              <w:left w:val="nil"/>
              <w:bottom w:val="single" w:color="000000" w:sz="8" w:space="0"/>
              <w:right w:val="single" w:color="000000" w:sz="8" w:space="0"/>
            </w:tcBorders>
            <w:noWrap/>
            <w:vAlign w:val="center"/>
          </w:tcPr>
          <w:p w14:paraId="7BC232CD">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single" w:color="auto" w:sz="4" w:space="0"/>
              <w:left w:val="single" w:color="auto" w:sz="4" w:space="0"/>
              <w:bottom w:val="single" w:color="auto" w:sz="4" w:space="0"/>
              <w:right w:val="single" w:color="auto" w:sz="8" w:space="0"/>
            </w:tcBorders>
            <w:noWrap/>
            <w:vAlign w:val="center"/>
          </w:tcPr>
          <w:p w14:paraId="40377FAD">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564FBBFC">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3B9718B1">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2</w:t>
            </w:r>
          </w:p>
        </w:tc>
        <w:tc>
          <w:tcPr>
            <w:tcW w:w="2280" w:type="dxa"/>
            <w:tcBorders>
              <w:top w:val="nil"/>
              <w:left w:val="nil"/>
              <w:bottom w:val="single" w:color="000000" w:sz="8" w:space="0"/>
              <w:right w:val="single" w:color="000000" w:sz="8" w:space="0"/>
            </w:tcBorders>
            <w:noWrap/>
            <w:vAlign w:val="center"/>
          </w:tcPr>
          <w:p w14:paraId="024EB131">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C20</w:t>
            </w:r>
          </w:p>
        </w:tc>
        <w:tc>
          <w:tcPr>
            <w:tcW w:w="1275" w:type="dxa"/>
            <w:tcBorders>
              <w:top w:val="nil"/>
              <w:left w:val="nil"/>
              <w:bottom w:val="single" w:color="000000" w:sz="8" w:space="0"/>
              <w:right w:val="single" w:color="000000" w:sz="8" w:space="0"/>
            </w:tcBorders>
            <w:noWrap/>
            <w:vAlign w:val="center"/>
          </w:tcPr>
          <w:p w14:paraId="0EB32163">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泵送</w:t>
            </w:r>
          </w:p>
        </w:tc>
        <w:tc>
          <w:tcPr>
            <w:tcW w:w="1138" w:type="dxa"/>
            <w:tcBorders>
              <w:top w:val="nil"/>
              <w:left w:val="nil"/>
              <w:bottom w:val="single" w:color="000000" w:sz="8" w:space="0"/>
              <w:right w:val="single" w:color="000000" w:sz="8" w:space="0"/>
            </w:tcBorders>
            <w:noWrap/>
            <w:vAlign w:val="center"/>
          </w:tcPr>
          <w:p w14:paraId="3A14AFD5">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51FCADBB">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3750 </w:t>
            </w:r>
          </w:p>
        </w:tc>
        <w:tc>
          <w:tcPr>
            <w:tcW w:w="1130" w:type="dxa"/>
            <w:tcBorders>
              <w:top w:val="nil"/>
              <w:left w:val="nil"/>
              <w:bottom w:val="single" w:color="000000" w:sz="8" w:space="0"/>
              <w:right w:val="single" w:color="000000" w:sz="8" w:space="0"/>
            </w:tcBorders>
            <w:noWrap/>
            <w:vAlign w:val="center"/>
          </w:tcPr>
          <w:p w14:paraId="0AF9790C">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4F0EE5BB">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0B81FE6">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554AD3F9">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3</w:t>
            </w:r>
          </w:p>
        </w:tc>
        <w:tc>
          <w:tcPr>
            <w:tcW w:w="2280" w:type="dxa"/>
            <w:tcBorders>
              <w:top w:val="nil"/>
              <w:left w:val="nil"/>
              <w:bottom w:val="single" w:color="000000" w:sz="8" w:space="0"/>
              <w:right w:val="single" w:color="000000" w:sz="8" w:space="0"/>
            </w:tcBorders>
            <w:noWrap/>
            <w:vAlign w:val="center"/>
          </w:tcPr>
          <w:p w14:paraId="60410737">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C20</w:t>
            </w:r>
          </w:p>
        </w:tc>
        <w:tc>
          <w:tcPr>
            <w:tcW w:w="1275" w:type="dxa"/>
            <w:tcBorders>
              <w:top w:val="nil"/>
              <w:left w:val="nil"/>
              <w:bottom w:val="single" w:color="000000" w:sz="8" w:space="0"/>
              <w:right w:val="single" w:color="000000" w:sz="8" w:space="0"/>
            </w:tcBorders>
            <w:noWrap/>
            <w:vAlign w:val="center"/>
          </w:tcPr>
          <w:p w14:paraId="53B369E6">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细石</w:t>
            </w:r>
          </w:p>
        </w:tc>
        <w:tc>
          <w:tcPr>
            <w:tcW w:w="1138" w:type="dxa"/>
            <w:tcBorders>
              <w:top w:val="nil"/>
              <w:left w:val="nil"/>
              <w:bottom w:val="single" w:color="000000" w:sz="8" w:space="0"/>
              <w:right w:val="single" w:color="000000" w:sz="8" w:space="0"/>
            </w:tcBorders>
            <w:noWrap/>
            <w:vAlign w:val="center"/>
          </w:tcPr>
          <w:p w14:paraId="112C1FE7">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4C7FA1E3">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29 </w:t>
            </w:r>
          </w:p>
        </w:tc>
        <w:tc>
          <w:tcPr>
            <w:tcW w:w="1130" w:type="dxa"/>
            <w:tcBorders>
              <w:top w:val="nil"/>
              <w:left w:val="nil"/>
              <w:bottom w:val="single" w:color="000000" w:sz="8" w:space="0"/>
              <w:right w:val="single" w:color="000000" w:sz="8" w:space="0"/>
            </w:tcBorders>
            <w:noWrap/>
            <w:vAlign w:val="center"/>
          </w:tcPr>
          <w:p w14:paraId="03C5450B">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6CA93359">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3C55FCED">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14D4B994">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4</w:t>
            </w:r>
          </w:p>
        </w:tc>
        <w:tc>
          <w:tcPr>
            <w:tcW w:w="2280" w:type="dxa"/>
            <w:tcBorders>
              <w:top w:val="nil"/>
              <w:left w:val="nil"/>
              <w:bottom w:val="single" w:color="000000" w:sz="8" w:space="0"/>
              <w:right w:val="single" w:color="000000" w:sz="8" w:space="0"/>
            </w:tcBorders>
            <w:noWrap/>
            <w:vAlign w:val="center"/>
          </w:tcPr>
          <w:p w14:paraId="1D9BCC3B">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C25</w:t>
            </w:r>
          </w:p>
        </w:tc>
        <w:tc>
          <w:tcPr>
            <w:tcW w:w="1275" w:type="dxa"/>
            <w:tcBorders>
              <w:top w:val="nil"/>
              <w:left w:val="nil"/>
              <w:bottom w:val="single" w:color="000000" w:sz="8" w:space="0"/>
              <w:right w:val="single" w:color="000000" w:sz="8" w:space="0"/>
            </w:tcBorders>
            <w:noWrap/>
            <w:vAlign w:val="center"/>
          </w:tcPr>
          <w:p w14:paraId="73403675">
            <w:pPr>
              <w:framePr w:wrap="auto" w:vAnchor="margin" w:hAnchor="text" w:yAlign="inline"/>
              <w:widowControl w:val="0"/>
              <w:jc w:val="center"/>
              <w:rPr>
                <w:rFonts w:hint="eastAsia" w:ascii="仿宋" w:hAnsi="仿宋" w:eastAsia="仿宋" w:cs="仿宋"/>
                <w:i w:val="0"/>
                <w:iCs w:val="0"/>
                <w:color w:val="auto"/>
                <w:kern w:val="0"/>
                <w:sz w:val="22"/>
                <w:szCs w:val="22"/>
                <w:u w:val="none"/>
                <w:lang w:val="en-US" w:eastAsia="zh-CN" w:bidi="ar"/>
              </w:rPr>
            </w:pPr>
          </w:p>
        </w:tc>
        <w:tc>
          <w:tcPr>
            <w:tcW w:w="1138" w:type="dxa"/>
            <w:tcBorders>
              <w:top w:val="nil"/>
              <w:left w:val="nil"/>
              <w:bottom w:val="single" w:color="000000" w:sz="8" w:space="0"/>
              <w:right w:val="single" w:color="000000" w:sz="8" w:space="0"/>
            </w:tcBorders>
            <w:noWrap/>
            <w:vAlign w:val="center"/>
          </w:tcPr>
          <w:p w14:paraId="43F9A2BD">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201D2447">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991 </w:t>
            </w:r>
          </w:p>
        </w:tc>
        <w:tc>
          <w:tcPr>
            <w:tcW w:w="1130" w:type="dxa"/>
            <w:tcBorders>
              <w:top w:val="nil"/>
              <w:left w:val="nil"/>
              <w:bottom w:val="single" w:color="000000" w:sz="8" w:space="0"/>
              <w:right w:val="single" w:color="000000" w:sz="8" w:space="0"/>
            </w:tcBorders>
            <w:noWrap/>
            <w:vAlign w:val="center"/>
          </w:tcPr>
          <w:p w14:paraId="01D632FE">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58DD79AF">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4811020F">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11EE5503">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5</w:t>
            </w:r>
          </w:p>
        </w:tc>
        <w:tc>
          <w:tcPr>
            <w:tcW w:w="2280" w:type="dxa"/>
            <w:tcBorders>
              <w:top w:val="nil"/>
              <w:left w:val="nil"/>
              <w:bottom w:val="single" w:color="000000" w:sz="8" w:space="0"/>
              <w:right w:val="single" w:color="000000" w:sz="8" w:space="0"/>
            </w:tcBorders>
            <w:noWrap/>
            <w:vAlign w:val="center"/>
          </w:tcPr>
          <w:p w14:paraId="153C429B">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C25</w:t>
            </w:r>
          </w:p>
        </w:tc>
        <w:tc>
          <w:tcPr>
            <w:tcW w:w="1275" w:type="dxa"/>
            <w:tcBorders>
              <w:top w:val="nil"/>
              <w:left w:val="nil"/>
              <w:bottom w:val="single" w:color="000000" w:sz="8" w:space="0"/>
              <w:right w:val="single" w:color="000000" w:sz="8" w:space="0"/>
            </w:tcBorders>
            <w:noWrap/>
            <w:vAlign w:val="center"/>
          </w:tcPr>
          <w:p w14:paraId="048FF216">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泵送 道路</w:t>
            </w:r>
          </w:p>
        </w:tc>
        <w:tc>
          <w:tcPr>
            <w:tcW w:w="1138" w:type="dxa"/>
            <w:tcBorders>
              <w:top w:val="nil"/>
              <w:left w:val="nil"/>
              <w:bottom w:val="single" w:color="000000" w:sz="8" w:space="0"/>
              <w:right w:val="single" w:color="000000" w:sz="8" w:space="0"/>
            </w:tcBorders>
            <w:noWrap/>
            <w:vAlign w:val="center"/>
          </w:tcPr>
          <w:p w14:paraId="3E806625">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5C6CAE42">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220 </w:t>
            </w:r>
          </w:p>
        </w:tc>
        <w:tc>
          <w:tcPr>
            <w:tcW w:w="1130" w:type="dxa"/>
            <w:tcBorders>
              <w:top w:val="nil"/>
              <w:left w:val="nil"/>
              <w:bottom w:val="single" w:color="000000" w:sz="8" w:space="0"/>
              <w:right w:val="single" w:color="000000" w:sz="8" w:space="0"/>
            </w:tcBorders>
            <w:noWrap/>
            <w:vAlign w:val="center"/>
          </w:tcPr>
          <w:p w14:paraId="3DAD7D4D">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2ED2192D">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62103D69">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612CAB31">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6</w:t>
            </w:r>
          </w:p>
        </w:tc>
        <w:tc>
          <w:tcPr>
            <w:tcW w:w="2280" w:type="dxa"/>
            <w:tcBorders>
              <w:top w:val="nil"/>
              <w:left w:val="nil"/>
              <w:bottom w:val="single" w:color="000000" w:sz="8" w:space="0"/>
              <w:right w:val="single" w:color="000000" w:sz="8" w:space="0"/>
            </w:tcBorders>
            <w:noWrap/>
            <w:vAlign w:val="center"/>
          </w:tcPr>
          <w:p w14:paraId="1DC53479">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C25</w:t>
            </w:r>
          </w:p>
        </w:tc>
        <w:tc>
          <w:tcPr>
            <w:tcW w:w="1275" w:type="dxa"/>
            <w:tcBorders>
              <w:top w:val="nil"/>
              <w:left w:val="nil"/>
              <w:bottom w:val="single" w:color="000000" w:sz="8" w:space="0"/>
              <w:right w:val="single" w:color="000000" w:sz="8" w:space="0"/>
            </w:tcBorders>
            <w:noWrap/>
            <w:vAlign w:val="center"/>
          </w:tcPr>
          <w:p w14:paraId="3A0497FD">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S6</w:t>
            </w:r>
          </w:p>
        </w:tc>
        <w:tc>
          <w:tcPr>
            <w:tcW w:w="1138" w:type="dxa"/>
            <w:tcBorders>
              <w:top w:val="nil"/>
              <w:left w:val="nil"/>
              <w:bottom w:val="single" w:color="000000" w:sz="8" w:space="0"/>
              <w:right w:val="single" w:color="000000" w:sz="8" w:space="0"/>
            </w:tcBorders>
            <w:noWrap/>
            <w:vAlign w:val="center"/>
          </w:tcPr>
          <w:p w14:paraId="585EA62E">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7E25D427">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100 </w:t>
            </w:r>
          </w:p>
        </w:tc>
        <w:tc>
          <w:tcPr>
            <w:tcW w:w="1130" w:type="dxa"/>
            <w:tcBorders>
              <w:top w:val="nil"/>
              <w:left w:val="nil"/>
              <w:bottom w:val="single" w:color="000000" w:sz="8" w:space="0"/>
              <w:right w:val="single" w:color="000000" w:sz="8" w:space="0"/>
            </w:tcBorders>
            <w:noWrap/>
            <w:vAlign w:val="center"/>
          </w:tcPr>
          <w:p w14:paraId="596AE21B">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0357B5F9">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6E653D0B">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37CB64CF">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7</w:t>
            </w:r>
          </w:p>
        </w:tc>
        <w:tc>
          <w:tcPr>
            <w:tcW w:w="2280" w:type="dxa"/>
            <w:tcBorders>
              <w:top w:val="nil"/>
              <w:left w:val="nil"/>
              <w:bottom w:val="single" w:color="000000" w:sz="8" w:space="0"/>
              <w:right w:val="single" w:color="000000" w:sz="8" w:space="0"/>
            </w:tcBorders>
            <w:noWrap/>
            <w:vAlign w:val="center"/>
          </w:tcPr>
          <w:p w14:paraId="7F8AE5BB">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C30</w:t>
            </w:r>
          </w:p>
        </w:tc>
        <w:tc>
          <w:tcPr>
            <w:tcW w:w="1275" w:type="dxa"/>
            <w:tcBorders>
              <w:top w:val="nil"/>
              <w:left w:val="nil"/>
              <w:bottom w:val="single" w:color="000000" w:sz="8" w:space="0"/>
              <w:right w:val="single" w:color="000000" w:sz="8" w:space="0"/>
            </w:tcBorders>
            <w:noWrap/>
            <w:vAlign w:val="center"/>
          </w:tcPr>
          <w:p w14:paraId="72FE8A95">
            <w:pPr>
              <w:framePr w:wrap="auto" w:vAnchor="margin" w:hAnchor="text" w:yAlign="inline"/>
              <w:widowControl w:val="0"/>
              <w:jc w:val="center"/>
              <w:rPr>
                <w:rFonts w:hint="eastAsia" w:ascii="仿宋" w:hAnsi="仿宋" w:eastAsia="仿宋" w:cs="仿宋"/>
                <w:i w:val="0"/>
                <w:iCs w:val="0"/>
                <w:color w:val="auto"/>
                <w:kern w:val="0"/>
                <w:sz w:val="22"/>
                <w:szCs w:val="22"/>
                <w:u w:val="none"/>
                <w:lang w:val="en-US" w:eastAsia="zh-CN" w:bidi="ar"/>
              </w:rPr>
            </w:pPr>
          </w:p>
        </w:tc>
        <w:tc>
          <w:tcPr>
            <w:tcW w:w="1138" w:type="dxa"/>
            <w:tcBorders>
              <w:top w:val="nil"/>
              <w:left w:val="nil"/>
              <w:bottom w:val="single" w:color="000000" w:sz="8" w:space="0"/>
              <w:right w:val="single" w:color="000000" w:sz="8" w:space="0"/>
            </w:tcBorders>
            <w:noWrap/>
            <w:vAlign w:val="center"/>
          </w:tcPr>
          <w:p w14:paraId="2480B610">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5E6D87F4">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3370 </w:t>
            </w:r>
          </w:p>
        </w:tc>
        <w:tc>
          <w:tcPr>
            <w:tcW w:w="1130" w:type="dxa"/>
            <w:tcBorders>
              <w:top w:val="nil"/>
              <w:left w:val="nil"/>
              <w:bottom w:val="single" w:color="000000" w:sz="8" w:space="0"/>
              <w:right w:val="single" w:color="000000" w:sz="8" w:space="0"/>
            </w:tcBorders>
            <w:noWrap/>
            <w:vAlign w:val="center"/>
          </w:tcPr>
          <w:p w14:paraId="3EA26161">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2166001A">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53645EC1">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7A3EC667">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8</w:t>
            </w:r>
          </w:p>
        </w:tc>
        <w:tc>
          <w:tcPr>
            <w:tcW w:w="2280" w:type="dxa"/>
            <w:tcBorders>
              <w:top w:val="nil"/>
              <w:left w:val="nil"/>
              <w:bottom w:val="single" w:color="000000" w:sz="8" w:space="0"/>
              <w:right w:val="single" w:color="000000" w:sz="8" w:space="0"/>
            </w:tcBorders>
            <w:noWrap/>
            <w:vAlign w:val="center"/>
          </w:tcPr>
          <w:p w14:paraId="7BBB0167">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C30</w:t>
            </w:r>
          </w:p>
        </w:tc>
        <w:tc>
          <w:tcPr>
            <w:tcW w:w="1275" w:type="dxa"/>
            <w:tcBorders>
              <w:top w:val="nil"/>
              <w:left w:val="nil"/>
              <w:bottom w:val="single" w:color="000000" w:sz="8" w:space="0"/>
              <w:right w:val="single" w:color="000000" w:sz="8" w:space="0"/>
            </w:tcBorders>
            <w:noWrap/>
            <w:vAlign w:val="center"/>
          </w:tcPr>
          <w:p w14:paraId="653DA311">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泵送</w:t>
            </w:r>
          </w:p>
        </w:tc>
        <w:tc>
          <w:tcPr>
            <w:tcW w:w="1138" w:type="dxa"/>
            <w:tcBorders>
              <w:top w:val="nil"/>
              <w:left w:val="nil"/>
              <w:bottom w:val="single" w:color="000000" w:sz="8" w:space="0"/>
              <w:right w:val="single" w:color="000000" w:sz="8" w:space="0"/>
            </w:tcBorders>
            <w:noWrap/>
            <w:vAlign w:val="center"/>
          </w:tcPr>
          <w:p w14:paraId="74F13924">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48917F7B">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4510 </w:t>
            </w:r>
          </w:p>
        </w:tc>
        <w:tc>
          <w:tcPr>
            <w:tcW w:w="1130" w:type="dxa"/>
            <w:tcBorders>
              <w:top w:val="nil"/>
              <w:left w:val="nil"/>
              <w:bottom w:val="single" w:color="000000" w:sz="8" w:space="0"/>
              <w:right w:val="single" w:color="000000" w:sz="8" w:space="0"/>
            </w:tcBorders>
            <w:noWrap/>
            <w:vAlign w:val="center"/>
          </w:tcPr>
          <w:p w14:paraId="13FF10A4">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49FF9DBD">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31E39617">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355D2617">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2"/>
                <w:sz w:val="22"/>
                <w:szCs w:val="22"/>
                <w:lang w:val="en-US" w:eastAsia="zh-CN"/>
              </w:rPr>
              <w:t>9</w:t>
            </w:r>
          </w:p>
        </w:tc>
        <w:tc>
          <w:tcPr>
            <w:tcW w:w="2280" w:type="dxa"/>
            <w:tcBorders>
              <w:top w:val="nil"/>
              <w:left w:val="nil"/>
              <w:bottom w:val="single" w:color="000000" w:sz="8" w:space="0"/>
              <w:right w:val="single" w:color="000000" w:sz="8" w:space="0"/>
            </w:tcBorders>
            <w:noWrap/>
            <w:vAlign w:val="center"/>
          </w:tcPr>
          <w:p w14:paraId="51BC3244">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C30</w:t>
            </w:r>
          </w:p>
        </w:tc>
        <w:tc>
          <w:tcPr>
            <w:tcW w:w="1275" w:type="dxa"/>
            <w:tcBorders>
              <w:top w:val="nil"/>
              <w:left w:val="nil"/>
              <w:bottom w:val="single" w:color="000000" w:sz="8" w:space="0"/>
              <w:right w:val="single" w:color="000000" w:sz="8" w:space="0"/>
            </w:tcBorders>
            <w:noWrap/>
            <w:vAlign w:val="center"/>
          </w:tcPr>
          <w:p w14:paraId="22D95DDF">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S6</w:t>
            </w:r>
          </w:p>
        </w:tc>
        <w:tc>
          <w:tcPr>
            <w:tcW w:w="1138" w:type="dxa"/>
            <w:tcBorders>
              <w:top w:val="nil"/>
              <w:left w:val="nil"/>
              <w:bottom w:val="single" w:color="000000" w:sz="8" w:space="0"/>
              <w:right w:val="single" w:color="000000" w:sz="8" w:space="0"/>
            </w:tcBorders>
            <w:noWrap/>
            <w:vAlign w:val="center"/>
          </w:tcPr>
          <w:p w14:paraId="5AF23F3F">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23257CD0">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1430 </w:t>
            </w:r>
          </w:p>
        </w:tc>
        <w:tc>
          <w:tcPr>
            <w:tcW w:w="1130" w:type="dxa"/>
            <w:tcBorders>
              <w:top w:val="nil"/>
              <w:left w:val="nil"/>
              <w:bottom w:val="single" w:color="000000" w:sz="8" w:space="0"/>
              <w:right w:val="single" w:color="000000" w:sz="8" w:space="0"/>
            </w:tcBorders>
            <w:noWrap/>
            <w:vAlign w:val="center"/>
          </w:tcPr>
          <w:p w14:paraId="75939BAB">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4FB054E8">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AEBE09E">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43DB87DA">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2"/>
                <w:sz w:val="22"/>
                <w:szCs w:val="22"/>
                <w:lang w:val="en-US" w:eastAsia="zh-CN"/>
              </w:rPr>
              <w:t>10</w:t>
            </w:r>
          </w:p>
        </w:tc>
        <w:tc>
          <w:tcPr>
            <w:tcW w:w="2280" w:type="dxa"/>
            <w:tcBorders>
              <w:top w:val="nil"/>
              <w:left w:val="nil"/>
              <w:bottom w:val="single" w:color="000000" w:sz="8" w:space="0"/>
              <w:right w:val="single" w:color="000000" w:sz="8" w:space="0"/>
            </w:tcBorders>
            <w:noWrap/>
            <w:vAlign w:val="center"/>
          </w:tcPr>
          <w:p w14:paraId="6071A66F">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普通预拌水下混凝土 C30</w:t>
            </w:r>
          </w:p>
        </w:tc>
        <w:tc>
          <w:tcPr>
            <w:tcW w:w="1275" w:type="dxa"/>
            <w:tcBorders>
              <w:top w:val="nil"/>
              <w:left w:val="nil"/>
              <w:bottom w:val="single" w:color="000000" w:sz="8" w:space="0"/>
              <w:right w:val="single" w:color="000000" w:sz="8" w:space="0"/>
            </w:tcBorders>
            <w:noWrap/>
            <w:vAlign w:val="center"/>
          </w:tcPr>
          <w:p w14:paraId="25F4CC80">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粒径为40mm石子</w:t>
            </w:r>
          </w:p>
        </w:tc>
        <w:tc>
          <w:tcPr>
            <w:tcW w:w="1138" w:type="dxa"/>
            <w:tcBorders>
              <w:top w:val="nil"/>
              <w:left w:val="nil"/>
              <w:bottom w:val="single" w:color="000000" w:sz="8" w:space="0"/>
              <w:right w:val="single" w:color="000000" w:sz="8" w:space="0"/>
            </w:tcBorders>
            <w:noWrap/>
            <w:vAlign w:val="center"/>
          </w:tcPr>
          <w:p w14:paraId="1DAAE4CD">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41B5901E">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1495 </w:t>
            </w:r>
          </w:p>
        </w:tc>
        <w:tc>
          <w:tcPr>
            <w:tcW w:w="1130" w:type="dxa"/>
            <w:tcBorders>
              <w:top w:val="nil"/>
              <w:left w:val="nil"/>
              <w:bottom w:val="single" w:color="000000" w:sz="8" w:space="0"/>
              <w:right w:val="single" w:color="000000" w:sz="8" w:space="0"/>
            </w:tcBorders>
            <w:noWrap/>
            <w:vAlign w:val="center"/>
          </w:tcPr>
          <w:p w14:paraId="0D8B00C4">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7E82867A">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40201658">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4E20123D">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2"/>
                <w:sz w:val="22"/>
                <w:szCs w:val="22"/>
                <w:lang w:val="en-US" w:eastAsia="zh-CN"/>
              </w:rPr>
              <w:t>11</w:t>
            </w:r>
          </w:p>
        </w:tc>
        <w:tc>
          <w:tcPr>
            <w:tcW w:w="2280" w:type="dxa"/>
            <w:tcBorders>
              <w:top w:val="nil"/>
              <w:left w:val="nil"/>
              <w:bottom w:val="single" w:color="000000" w:sz="8" w:space="0"/>
              <w:right w:val="single" w:color="000000" w:sz="8" w:space="0"/>
            </w:tcBorders>
            <w:noWrap/>
            <w:vAlign w:val="center"/>
          </w:tcPr>
          <w:p w14:paraId="280A7BD4">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C35</w:t>
            </w:r>
          </w:p>
        </w:tc>
        <w:tc>
          <w:tcPr>
            <w:tcW w:w="1275" w:type="dxa"/>
            <w:tcBorders>
              <w:top w:val="nil"/>
              <w:left w:val="nil"/>
              <w:bottom w:val="single" w:color="000000" w:sz="8" w:space="0"/>
              <w:right w:val="single" w:color="000000" w:sz="8" w:space="0"/>
            </w:tcBorders>
            <w:noWrap/>
            <w:vAlign w:val="center"/>
          </w:tcPr>
          <w:p w14:paraId="5FC53C18">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泵送</w:t>
            </w:r>
          </w:p>
        </w:tc>
        <w:tc>
          <w:tcPr>
            <w:tcW w:w="1138" w:type="dxa"/>
            <w:tcBorders>
              <w:top w:val="nil"/>
              <w:left w:val="nil"/>
              <w:bottom w:val="single" w:color="000000" w:sz="8" w:space="0"/>
              <w:right w:val="single" w:color="000000" w:sz="8" w:space="0"/>
            </w:tcBorders>
            <w:noWrap/>
            <w:vAlign w:val="center"/>
          </w:tcPr>
          <w:p w14:paraId="10338C7C">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1524AF32">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610 </w:t>
            </w:r>
          </w:p>
        </w:tc>
        <w:tc>
          <w:tcPr>
            <w:tcW w:w="1130" w:type="dxa"/>
            <w:tcBorders>
              <w:top w:val="nil"/>
              <w:left w:val="nil"/>
              <w:bottom w:val="single" w:color="000000" w:sz="8" w:space="0"/>
              <w:right w:val="single" w:color="000000" w:sz="8" w:space="0"/>
            </w:tcBorders>
            <w:noWrap/>
            <w:vAlign w:val="center"/>
          </w:tcPr>
          <w:p w14:paraId="78DC03C0">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21A9A2A6">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311A400E">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4F61BB12">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2"/>
                <w:sz w:val="22"/>
                <w:szCs w:val="22"/>
                <w:lang w:val="en-US" w:eastAsia="zh-CN"/>
              </w:rPr>
              <w:t>12</w:t>
            </w:r>
          </w:p>
        </w:tc>
        <w:tc>
          <w:tcPr>
            <w:tcW w:w="2280" w:type="dxa"/>
            <w:tcBorders>
              <w:top w:val="nil"/>
              <w:left w:val="nil"/>
              <w:bottom w:val="single" w:color="000000" w:sz="8" w:space="0"/>
              <w:right w:val="single" w:color="000000" w:sz="8" w:space="0"/>
            </w:tcBorders>
            <w:noWrap/>
            <w:vAlign w:val="center"/>
          </w:tcPr>
          <w:p w14:paraId="3E670266">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C35</w:t>
            </w:r>
          </w:p>
        </w:tc>
        <w:tc>
          <w:tcPr>
            <w:tcW w:w="1275" w:type="dxa"/>
            <w:tcBorders>
              <w:top w:val="nil"/>
              <w:left w:val="nil"/>
              <w:bottom w:val="single" w:color="000000" w:sz="8" w:space="0"/>
              <w:right w:val="single" w:color="000000" w:sz="8" w:space="0"/>
            </w:tcBorders>
            <w:noWrap/>
            <w:vAlign w:val="center"/>
          </w:tcPr>
          <w:p w14:paraId="4AEBA586">
            <w:pPr>
              <w:framePr w:wrap="auto" w:vAnchor="margin" w:hAnchor="text" w:yAlign="inline"/>
              <w:widowControl w:val="0"/>
              <w:jc w:val="center"/>
              <w:rPr>
                <w:rFonts w:hint="eastAsia" w:ascii="仿宋" w:hAnsi="仿宋" w:eastAsia="仿宋" w:cs="仿宋"/>
                <w:i w:val="0"/>
                <w:iCs w:val="0"/>
                <w:color w:val="auto"/>
                <w:kern w:val="0"/>
                <w:sz w:val="22"/>
                <w:szCs w:val="22"/>
                <w:u w:val="none"/>
                <w:lang w:val="en-US" w:eastAsia="zh-CN" w:bidi="ar"/>
              </w:rPr>
            </w:pPr>
          </w:p>
        </w:tc>
        <w:tc>
          <w:tcPr>
            <w:tcW w:w="1138" w:type="dxa"/>
            <w:tcBorders>
              <w:top w:val="nil"/>
              <w:left w:val="nil"/>
              <w:bottom w:val="single" w:color="000000" w:sz="8" w:space="0"/>
              <w:right w:val="single" w:color="000000" w:sz="8" w:space="0"/>
            </w:tcBorders>
            <w:noWrap/>
            <w:vAlign w:val="center"/>
          </w:tcPr>
          <w:p w14:paraId="51BABA17">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3A23C534">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440 </w:t>
            </w:r>
          </w:p>
        </w:tc>
        <w:tc>
          <w:tcPr>
            <w:tcW w:w="1130" w:type="dxa"/>
            <w:tcBorders>
              <w:top w:val="nil"/>
              <w:left w:val="nil"/>
              <w:bottom w:val="single" w:color="000000" w:sz="8" w:space="0"/>
              <w:right w:val="single" w:color="000000" w:sz="8" w:space="0"/>
            </w:tcBorders>
            <w:noWrap/>
            <w:vAlign w:val="center"/>
          </w:tcPr>
          <w:p w14:paraId="74273B4D">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149D29E5">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3EB08F5F">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4E03161B">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2"/>
                <w:sz w:val="22"/>
                <w:szCs w:val="22"/>
                <w:lang w:val="en-US" w:eastAsia="zh-CN"/>
              </w:rPr>
              <w:t>13</w:t>
            </w:r>
          </w:p>
        </w:tc>
        <w:tc>
          <w:tcPr>
            <w:tcW w:w="2280" w:type="dxa"/>
            <w:tcBorders>
              <w:top w:val="nil"/>
              <w:left w:val="nil"/>
              <w:bottom w:val="single" w:color="000000" w:sz="8" w:space="0"/>
              <w:right w:val="single" w:color="000000" w:sz="8" w:space="0"/>
            </w:tcBorders>
            <w:noWrap/>
            <w:vAlign w:val="center"/>
          </w:tcPr>
          <w:p w14:paraId="2BD8BFCB">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C40</w:t>
            </w:r>
          </w:p>
        </w:tc>
        <w:tc>
          <w:tcPr>
            <w:tcW w:w="1275" w:type="dxa"/>
            <w:tcBorders>
              <w:top w:val="nil"/>
              <w:left w:val="nil"/>
              <w:bottom w:val="single" w:color="000000" w:sz="8" w:space="0"/>
              <w:right w:val="single" w:color="000000" w:sz="8" w:space="0"/>
            </w:tcBorders>
            <w:noWrap/>
            <w:vAlign w:val="center"/>
          </w:tcPr>
          <w:p w14:paraId="43FCFE0A">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泵送</w:t>
            </w:r>
          </w:p>
        </w:tc>
        <w:tc>
          <w:tcPr>
            <w:tcW w:w="1138" w:type="dxa"/>
            <w:tcBorders>
              <w:top w:val="nil"/>
              <w:left w:val="nil"/>
              <w:bottom w:val="single" w:color="000000" w:sz="8" w:space="0"/>
              <w:right w:val="single" w:color="000000" w:sz="8" w:space="0"/>
            </w:tcBorders>
            <w:noWrap/>
            <w:vAlign w:val="center"/>
          </w:tcPr>
          <w:p w14:paraId="6CA3F15A">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4384DBB8">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410 </w:t>
            </w:r>
          </w:p>
        </w:tc>
        <w:tc>
          <w:tcPr>
            <w:tcW w:w="1130" w:type="dxa"/>
            <w:tcBorders>
              <w:top w:val="nil"/>
              <w:left w:val="nil"/>
              <w:bottom w:val="single" w:color="000000" w:sz="8" w:space="0"/>
              <w:right w:val="single" w:color="000000" w:sz="8" w:space="0"/>
            </w:tcBorders>
            <w:noWrap/>
            <w:vAlign w:val="center"/>
          </w:tcPr>
          <w:p w14:paraId="40071CF2">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54EAC080">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428EF8D">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74DE5310">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2"/>
                <w:sz w:val="22"/>
                <w:szCs w:val="22"/>
                <w:lang w:val="en-US" w:eastAsia="zh-CN"/>
              </w:rPr>
              <w:t>14</w:t>
            </w:r>
          </w:p>
        </w:tc>
        <w:tc>
          <w:tcPr>
            <w:tcW w:w="2280" w:type="dxa"/>
            <w:tcBorders>
              <w:top w:val="nil"/>
              <w:left w:val="nil"/>
              <w:bottom w:val="single" w:color="000000" w:sz="8" w:space="0"/>
              <w:right w:val="single" w:color="000000" w:sz="8" w:space="0"/>
            </w:tcBorders>
            <w:noWrap/>
            <w:vAlign w:val="center"/>
          </w:tcPr>
          <w:p w14:paraId="0352B687">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C40</w:t>
            </w:r>
          </w:p>
        </w:tc>
        <w:tc>
          <w:tcPr>
            <w:tcW w:w="1275" w:type="dxa"/>
            <w:tcBorders>
              <w:top w:val="nil"/>
              <w:left w:val="nil"/>
              <w:bottom w:val="single" w:color="000000" w:sz="8" w:space="0"/>
              <w:right w:val="single" w:color="000000" w:sz="8" w:space="0"/>
            </w:tcBorders>
            <w:noWrap/>
            <w:vAlign w:val="center"/>
          </w:tcPr>
          <w:p w14:paraId="57FD1A93">
            <w:pPr>
              <w:framePr w:wrap="auto" w:vAnchor="margin" w:hAnchor="text" w:yAlign="inline"/>
              <w:widowControl w:val="0"/>
              <w:jc w:val="center"/>
              <w:rPr>
                <w:rFonts w:hint="eastAsia" w:ascii="仿宋" w:hAnsi="仿宋" w:eastAsia="仿宋" w:cs="仿宋"/>
                <w:i w:val="0"/>
                <w:iCs w:val="0"/>
                <w:color w:val="auto"/>
                <w:kern w:val="0"/>
                <w:sz w:val="22"/>
                <w:szCs w:val="22"/>
                <w:u w:val="none"/>
                <w:lang w:val="en-US" w:eastAsia="zh-CN" w:bidi="ar"/>
              </w:rPr>
            </w:pPr>
          </w:p>
        </w:tc>
        <w:tc>
          <w:tcPr>
            <w:tcW w:w="1138" w:type="dxa"/>
            <w:tcBorders>
              <w:top w:val="nil"/>
              <w:left w:val="nil"/>
              <w:bottom w:val="single" w:color="000000" w:sz="8" w:space="0"/>
              <w:right w:val="single" w:color="000000" w:sz="8" w:space="0"/>
            </w:tcBorders>
            <w:noWrap/>
            <w:vAlign w:val="center"/>
          </w:tcPr>
          <w:p w14:paraId="0843C8A3">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29787D68">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690 </w:t>
            </w:r>
          </w:p>
        </w:tc>
        <w:tc>
          <w:tcPr>
            <w:tcW w:w="1130" w:type="dxa"/>
            <w:tcBorders>
              <w:top w:val="nil"/>
              <w:left w:val="nil"/>
              <w:bottom w:val="single" w:color="000000" w:sz="8" w:space="0"/>
              <w:right w:val="single" w:color="000000" w:sz="8" w:space="0"/>
            </w:tcBorders>
            <w:noWrap/>
            <w:vAlign w:val="center"/>
          </w:tcPr>
          <w:p w14:paraId="51BA6424">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5B53B7D7">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47BDFD08">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2ACAE165">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2"/>
                <w:sz w:val="22"/>
                <w:szCs w:val="22"/>
                <w:lang w:val="en-US" w:eastAsia="zh-CN"/>
              </w:rPr>
              <w:t>15</w:t>
            </w:r>
          </w:p>
        </w:tc>
        <w:tc>
          <w:tcPr>
            <w:tcW w:w="2280" w:type="dxa"/>
            <w:tcBorders>
              <w:top w:val="nil"/>
              <w:left w:val="nil"/>
              <w:bottom w:val="single" w:color="000000" w:sz="8" w:space="0"/>
              <w:right w:val="single" w:color="000000" w:sz="8" w:space="0"/>
            </w:tcBorders>
            <w:noWrap/>
            <w:vAlign w:val="center"/>
          </w:tcPr>
          <w:p w14:paraId="0AE46A35">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仿宋" w:hAnsi="仿宋" w:eastAsia="仿宋" w:cs="仿宋"/>
                <w:i w:val="0"/>
                <w:iCs w:val="0"/>
                <w:color w:val="auto"/>
                <w:kern w:val="0"/>
                <w:sz w:val="22"/>
                <w:szCs w:val="22"/>
                <w:u w:val="none"/>
                <w:lang w:val="en-US" w:eastAsia="zh-CN" w:bidi="ar"/>
              </w:rPr>
              <w:t>普通预拌混凝土 C50</w:t>
            </w:r>
          </w:p>
        </w:tc>
        <w:tc>
          <w:tcPr>
            <w:tcW w:w="1275" w:type="dxa"/>
            <w:tcBorders>
              <w:top w:val="nil"/>
              <w:left w:val="nil"/>
              <w:bottom w:val="single" w:color="000000" w:sz="8" w:space="0"/>
              <w:right w:val="single" w:color="000000" w:sz="8" w:space="0"/>
            </w:tcBorders>
            <w:noWrap/>
            <w:vAlign w:val="center"/>
          </w:tcPr>
          <w:p w14:paraId="4ADF63C9">
            <w:pPr>
              <w:framePr w:wrap="auto" w:vAnchor="margin" w:hAnchor="text" w:yAlign="inline"/>
              <w:widowControl w:val="0"/>
              <w:jc w:val="center"/>
              <w:rPr>
                <w:rFonts w:hint="eastAsia" w:ascii="仿宋" w:hAnsi="仿宋" w:eastAsia="仿宋" w:cs="仿宋"/>
                <w:i w:val="0"/>
                <w:iCs w:val="0"/>
                <w:color w:val="auto"/>
                <w:kern w:val="0"/>
                <w:sz w:val="22"/>
                <w:szCs w:val="22"/>
                <w:u w:val="none"/>
                <w:lang w:val="en-US" w:eastAsia="zh-CN" w:bidi="ar"/>
              </w:rPr>
            </w:pPr>
          </w:p>
        </w:tc>
        <w:tc>
          <w:tcPr>
            <w:tcW w:w="1138" w:type="dxa"/>
            <w:tcBorders>
              <w:top w:val="nil"/>
              <w:left w:val="nil"/>
              <w:bottom w:val="single" w:color="000000" w:sz="8" w:space="0"/>
              <w:right w:val="single" w:color="000000" w:sz="8" w:space="0"/>
            </w:tcBorders>
            <w:noWrap/>
            <w:vAlign w:val="center"/>
          </w:tcPr>
          <w:p w14:paraId="4381FD7B">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7406108D">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500 </w:t>
            </w:r>
          </w:p>
        </w:tc>
        <w:tc>
          <w:tcPr>
            <w:tcW w:w="1130" w:type="dxa"/>
            <w:tcBorders>
              <w:top w:val="nil"/>
              <w:left w:val="nil"/>
              <w:bottom w:val="single" w:color="000000" w:sz="8" w:space="0"/>
              <w:right w:val="single" w:color="000000" w:sz="8" w:space="0"/>
            </w:tcBorders>
            <w:noWrap/>
            <w:vAlign w:val="center"/>
          </w:tcPr>
          <w:p w14:paraId="1D547FBA">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35A83FE1">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71A09C2">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2124D577">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2"/>
                <w:sz w:val="22"/>
                <w:szCs w:val="22"/>
                <w:lang w:val="en-US" w:eastAsia="zh-CN"/>
              </w:rPr>
              <w:t>16</w:t>
            </w:r>
          </w:p>
        </w:tc>
        <w:tc>
          <w:tcPr>
            <w:tcW w:w="2280" w:type="dxa"/>
            <w:tcBorders>
              <w:top w:val="nil"/>
              <w:left w:val="nil"/>
              <w:bottom w:val="single" w:color="000000" w:sz="8" w:space="0"/>
              <w:right w:val="single" w:color="000000" w:sz="8" w:space="0"/>
            </w:tcBorders>
            <w:noWrap/>
            <w:vAlign w:val="center"/>
          </w:tcPr>
          <w:p w14:paraId="63002E84">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普通预拌混凝土 C50</w:t>
            </w:r>
          </w:p>
        </w:tc>
        <w:tc>
          <w:tcPr>
            <w:tcW w:w="1275" w:type="dxa"/>
            <w:tcBorders>
              <w:top w:val="nil"/>
              <w:left w:val="nil"/>
              <w:bottom w:val="single" w:color="000000" w:sz="8" w:space="0"/>
              <w:right w:val="single" w:color="000000" w:sz="8" w:space="0"/>
            </w:tcBorders>
            <w:noWrap/>
            <w:vAlign w:val="center"/>
          </w:tcPr>
          <w:p w14:paraId="0D9E2C5A">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泵送</w:t>
            </w:r>
          </w:p>
        </w:tc>
        <w:tc>
          <w:tcPr>
            <w:tcW w:w="1138" w:type="dxa"/>
            <w:tcBorders>
              <w:top w:val="nil"/>
              <w:left w:val="nil"/>
              <w:bottom w:val="single" w:color="000000" w:sz="8" w:space="0"/>
              <w:right w:val="single" w:color="000000" w:sz="8" w:space="0"/>
            </w:tcBorders>
            <w:noWrap/>
            <w:vAlign w:val="center"/>
          </w:tcPr>
          <w:p w14:paraId="66D0FB62">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735A70E3">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340 </w:t>
            </w:r>
          </w:p>
        </w:tc>
        <w:tc>
          <w:tcPr>
            <w:tcW w:w="1130" w:type="dxa"/>
            <w:tcBorders>
              <w:top w:val="nil"/>
              <w:left w:val="nil"/>
              <w:bottom w:val="single" w:color="000000" w:sz="8" w:space="0"/>
              <w:right w:val="single" w:color="000000" w:sz="8" w:space="0"/>
            </w:tcBorders>
            <w:noWrap/>
            <w:vAlign w:val="center"/>
          </w:tcPr>
          <w:p w14:paraId="5EEA2431">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21778361">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010A73C6">
        <w:tblPrEx>
          <w:tblCellMar>
            <w:top w:w="0" w:type="dxa"/>
            <w:left w:w="108" w:type="dxa"/>
            <w:bottom w:w="0" w:type="dxa"/>
            <w:right w:w="108" w:type="dxa"/>
          </w:tblCellMar>
        </w:tblPrEx>
        <w:trPr>
          <w:trHeight w:val="548" w:hRule="atLeast"/>
          <w:jc w:val="center"/>
        </w:trPr>
        <w:tc>
          <w:tcPr>
            <w:tcW w:w="483" w:type="dxa"/>
            <w:tcBorders>
              <w:top w:val="nil"/>
              <w:left w:val="single" w:color="000000" w:sz="8" w:space="0"/>
              <w:bottom w:val="single" w:color="000000" w:sz="8" w:space="0"/>
              <w:right w:val="single" w:color="000000" w:sz="8" w:space="0"/>
            </w:tcBorders>
            <w:noWrap/>
            <w:vAlign w:val="center"/>
          </w:tcPr>
          <w:p w14:paraId="64084F26">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jc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2"/>
                <w:sz w:val="22"/>
                <w:szCs w:val="22"/>
                <w:lang w:val="en-US" w:eastAsia="zh-CN"/>
              </w:rPr>
              <w:t>17</w:t>
            </w:r>
          </w:p>
        </w:tc>
        <w:tc>
          <w:tcPr>
            <w:tcW w:w="2280" w:type="dxa"/>
            <w:tcBorders>
              <w:top w:val="nil"/>
              <w:left w:val="nil"/>
              <w:bottom w:val="single" w:color="000000" w:sz="8" w:space="0"/>
              <w:right w:val="single" w:color="000000" w:sz="8" w:space="0"/>
            </w:tcBorders>
            <w:noWrap/>
            <w:vAlign w:val="center"/>
          </w:tcPr>
          <w:p w14:paraId="62E678E1">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C50钢纤维砼</w:t>
            </w:r>
          </w:p>
        </w:tc>
        <w:tc>
          <w:tcPr>
            <w:tcW w:w="1275" w:type="dxa"/>
            <w:tcBorders>
              <w:top w:val="nil"/>
              <w:left w:val="nil"/>
              <w:bottom w:val="single" w:color="000000" w:sz="8" w:space="0"/>
              <w:right w:val="single" w:color="000000" w:sz="8" w:space="0"/>
            </w:tcBorders>
            <w:noWrap/>
            <w:vAlign w:val="center"/>
          </w:tcPr>
          <w:p w14:paraId="0238F73D">
            <w:pPr>
              <w:framePr w:wrap="auto" w:vAnchor="margin" w:hAnchor="text" w:yAlign="inline"/>
              <w:widowControl w:val="0"/>
              <w:jc w:val="center"/>
              <w:rPr>
                <w:rFonts w:hint="eastAsia" w:ascii="仿宋" w:hAnsi="仿宋" w:eastAsia="仿宋" w:cs="仿宋"/>
                <w:i w:val="0"/>
                <w:iCs w:val="0"/>
                <w:color w:val="auto"/>
                <w:kern w:val="0"/>
                <w:sz w:val="22"/>
                <w:szCs w:val="22"/>
                <w:u w:val="none"/>
                <w:lang w:val="en-US" w:eastAsia="zh-CN" w:bidi="ar"/>
              </w:rPr>
            </w:pPr>
          </w:p>
        </w:tc>
        <w:tc>
          <w:tcPr>
            <w:tcW w:w="1138" w:type="dxa"/>
            <w:tcBorders>
              <w:top w:val="nil"/>
              <w:left w:val="nil"/>
              <w:bottom w:val="single" w:color="000000" w:sz="8" w:space="0"/>
              <w:right w:val="single" w:color="000000" w:sz="8" w:space="0"/>
            </w:tcBorders>
            <w:noWrap/>
            <w:vAlign w:val="center"/>
          </w:tcPr>
          <w:p w14:paraId="3A5E69E1">
            <w:pPr>
              <w:keepNext w:val="0"/>
              <w:keepLines w:val="0"/>
              <w:pageBreakBefore w:val="0"/>
              <w:framePr w:wrap="auto" w:vAnchor="margin" w:hAnchor="text" w:yAlign="inline"/>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rPr>
              <w:t>m³</w:t>
            </w:r>
          </w:p>
        </w:tc>
        <w:tc>
          <w:tcPr>
            <w:tcW w:w="1216" w:type="dxa"/>
            <w:tcBorders>
              <w:top w:val="nil"/>
              <w:left w:val="nil"/>
              <w:bottom w:val="single" w:color="000000" w:sz="8" w:space="0"/>
              <w:right w:val="single" w:color="000000" w:sz="8" w:space="0"/>
            </w:tcBorders>
            <w:noWrap/>
            <w:vAlign w:val="center"/>
          </w:tcPr>
          <w:p w14:paraId="0421F3F2">
            <w:pPr>
              <w:keepNext w:val="0"/>
              <w:keepLines w:val="0"/>
              <w:framePr w:wrap="auto" w:vAnchor="margin" w:hAnchor="text" w:yAlign="inline"/>
              <w:widowControl/>
              <w:suppressLineNumbers w:val="0"/>
              <w:jc w:val="center"/>
              <w:textAlignment w:val="center"/>
              <w:rPr>
                <w:rFonts w:hint="eastAsia" w:ascii="仿宋" w:hAnsi="仿宋" w:eastAsia="仿宋" w:cs="仿宋"/>
                <w:color w:val="auto"/>
                <w:kern w:val="2"/>
                <w:sz w:val="22"/>
                <w:szCs w:val="22"/>
                <w:lang w:eastAsia="zh-CN"/>
              </w:rPr>
            </w:pPr>
            <w:r>
              <w:rPr>
                <w:rFonts w:hint="eastAsia" w:ascii="宋体" w:hAnsi="宋体" w:eastAsia="宋体" w:cs="宋体"/>
                <w:i w:val="0"/>
                <w:iCs w:val="0"/>
                <w:color w:val="auto"/>
                <w:kern w:val="0"/>
                <w:sz w:val="24"/>
                <w:szCs w:val="24"/>
                <w:u w:val="none"/>
                <w:lang w:val="en-US" w:eastAsia="zh-CN" w:bidi="ar"/>
              </w:rPr>
              <w:t xml:space="preserve">22 </w:t>
            </w:r>
          </w:p>
        </w:tc>
        <w:tc>
          <w:tcPr>
            <w:tcW w:w="1130" w:type="dxa"/>
            <w:tcBorders>
              <w:top w:val="nil"/>
              <w:left w:val="nil"/>
              <w:bottom w:val="single" w:color="000000" w:sz="8" w:space="0"/>
              <w:right w:val="single" w:color="000000" w:sz="8" w:space="0"/>
            </w:tcBorders>
            <w:noWrap/>
            <w:vAlign w:val="center"/>
          </w:tcPr>
          <w:p w14:paraId="30F7C21C">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602" w:type="dxa"/>
            <w:tcBorders>
              <w:top w:val="nil"/>
              <w:left w:val="single" w:color="auto" w:sz="4" w:space="0"/>
              <w:bottom w:val="single" w:color="auto" w:sz="4" w:space="0"/>
              <w:right w:val="single" w:color="auto" w:sz="8" w:space="0"/>
            </w:tcBorders>
            <w:noWrap/>
            <w:vAlign w:val="center"/>
          </w:tcPr>
          <w:p w14:paraId="53F611FE">
            <w:pPr>
              <w:keepNext w:val="0"/>
              <w:keepLines w:val="0"/>
              <w:framePr w:wrap="auto" w:vAnchor="margin" w:hAnchor="text" w:yAlign="inline"/>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6EEC479D">
        <w:tblPrEx>
          <w:tblCellMar>
            <w:top w:w="0" w:type="dxa"/>
            <w:left w:w="108" w:type="dxa"/>
            <w:bottom w:w="0" w:type="dxa"/>
            <w:right w:w="108" w:type="dxa"/>
          </w:tblCellMar>
        </w:tblPrEx>
        <w:trPr>
          <w:trHeight w:val="415" w:hRule="atLeast"/>
          <w:jc w:val="center"/>
        </w:trPr>
        <w:tc>
          <w:tcPr>
            <w:tcW w:w="7522" w:type="dxa"/>
            <w:gridSpan w:val="6"/>
            <w:tcBorders>
              <w:top w:val="single" w:color="auto" w:sz="4" w:space="0"/>
              <w:left w:val="single" w:color="auto" w:sz="4" w:space="0"/>
              <w:bottom w:val="single" w:color="auto" w:sz="4" w:space="0"/>
              <w:right w:val="single" w:color="auto" w:sz="8" w:space="0"/>
            </w:tcBorders>
            <w:noWrap/>
            <w:vAlign w:val="center"/>
          </w:tcPr>
          <w:p w14:paraId="52B78E89">
            <w:pPr>
              <w:framePr w:wrap="auto" w:vAnchor="margin" w:hAnchor="text" w:yAlign="inline"/>
              <w:widowControl w:val="0"/>
              <w:jc w:val="center"/>
              <w:rPr>
                <w:rFonts w:hint="eastAsia" w:ascii="仿宋" w:hAnsi="仿宋" w:eastAsia="仿宋" w:cs="仿宋"/>
                <w:b/>
                <w:color w:val="auto"/>
                <w:kern w:val="2"/>
                <w:sz w:val="22"/>
                <w:szCs w:val="22"/>
                <w:lang w:eastAsia="zh-CN"/>
              </w:rPr>
            </w:pPr>
            <w:r>
              <w:rPr>
                <w:rFonts w:hint="eastAsia" w:ascii="仿宋" w:hAnsi="仿宋" w:eastAsia="仿宋" w:cs="宋体"/>
                <w:b/>
                <w:bCs/>
                <w:color w:val="auto"/>
                <w:kern w:val="2"/>
                <w:sz w:val="24"/>
                <w:lang w:eastAsia="zh-CN"/>
              </w:rPr>
              <w:t>不含增值税总价</w:t>
            </w:r>
          </w:p>
        </w:tc>
        <w:tc>
          <w:tcPr>
            <w:tcW w:w="1602" w:type="dxa"/>
            <w:tcBorders>
              <w:top w:val="single" w:color="auto" w:sz="4" w:space="0"/>
              <w:left w:val="single" w:color="auto" w:sz="4" w:space="0"/>
              <w:bottom w:val="single" w:color="auto" w:sz="4" w:space="0"/>
              <w:right w:val="single" w:color="auto" w:sz="8" w:space="0"/>
            </w:tcBorders>
            <w:noWrap/>
            <w:vAlign w:val="center"/>
          </w:tcPr>
          <w:p w14:paraId="63967239">
            <w:pPr>
              <w:keepNext w:val="0"/>
              <w:keepLines w:val="0"/>
              <w:framePr w:wrap="auto" w:vAnchor="margin" w:hAnchor="text" w:yAlign="inline"/>
              <w:widowControl/>
              <w:suppressLineNumbers w:val="0"/>
              <w:jc w:val="center"/>
              <w:textAlignment w:val="center"/>
              <w:rPr>
                <w:rFonts w:hint="eastAsia" w:ascii="仿宋" w:hAnsi="仿宋" w:eastAsia="仿宋" w:cs="宋体"/>
                <w:b/>
                <w:bCs/>
                <w:color w:val="auto"/>
                <w:kern w:val="2"/>
                <w:sz w:val="24"/>
                <w:lang w:val="en-US" w:eastAsia="zh-CN"/>
              </w:rPr>
            </w:pPr>
          </w:p>
        </w:tc>
      </w:tr>
      <w:tr w14:paraId="72B2405C">
        <w:tblPrEx>
          <w:tblCellMar>
            <w:top w:w="0" w:type="dxa"/>
            <w:left w:w="108" w:type="dxa"/>
            <w:bottom w:w="0" w:type="dxa"/>
            <w:right w:w="108" w:type="dxa"/>
          </w:tblCellMar>
        </w:tblPrEx>
        <w:trPr>
          <w:trHeight w:val="422" w:hRule="atLeast"/>
          <w:jc w:val="center"/>
        </w:trPr>
        <w:tc>
          <w:tcPr>
            <w:tcW w:w="7522" w:type="dxa"/>
            <w:gridSpan w:val="6"/>
            <w:tcBorders>
              <w:top w:val="nil"/>
              <w:left w:val="single" w:color="auto" w:sz="4" w:space="0"/>
              <w:bottom w:val="single" w:color="auto" w:sz="4" w:space="0"/>
              <w:right w:val="single" w:color="auto" w:sz="8" w:space="0"/>
            </w:tcBorders>
            <w:noWrap/>
            <w:vAlign w:val="center"/>
          </w:tcPr>
          <w:p w14:paraId="1175019F">
            <w:pPr>
              <w:framePr w:wrap="auto" w:vAnchor="margin" w:hAnchor="text" w:yAlign="inline"/>
              <w:widowControl w:val="0"/>
              <w:jc w:val="center"/>
              <w:rPr>
                <w:rFonts w:hint="eastAsia" w:ascii="仿宋" w:hAnsi="仿宋" w:eastAsia="仿宋" w:cs="仿宋"/>
                <w:b/>
                <w:color w:val="auto"/>
                <w:kern w:val="2"/>
                <w:sz w:val="22"/>
                <w:szCs w:val="22"/>
                <w:lang w:eastAsia="zh-CN"/>
              </w:rPr>
            </w:pPr>
            <w:r>
              <w:rPr>
                <w:rFonts w:hint="eastAsia" w:ascii="仿宋" w:hAnsi="仿宋" w:eastAsia="仿宋" w:cs="宋体"/>
                <w:b/>
                <w:bCs/>
                <w:color w:val="auto"/>
                <w:kern w:val="2"/>
                <w:sz w:val="24"/>
                <w:lang w:eastAsia="zh-CN"/>
              </w:rPr>
              <w:t>增值税（</w:t>
            </w:r>
            <w:r>
              <w:rPr>
                <w:rFonts w:hint="eastAsia" w:ascii="仿宋" w:hAnsi="仿宋" w:eastAsia="仿宋" w:cs="宋体"/>
                <w:b/>
                <w:bCs/>
                <w:color w:val="auto"/>
                <w:kern w:val="2"/>
                <w:sz w:val="24"/>
                <w:lang w:val="en-US" w:eastAsia="zh-CN"/>
              </w:rPr>
              <w:t xml:space="preserve">  </w:t>
            </w:r>
            <w:r>
              <w:rPr>
                <w:rFonts w:hint="eastAsia" w:ascii="仿宋" w:hAnsi="仿宋" w:eastAsia="仿宋" w:cs="宋体"/>
                <w:b/>
                <w:bCs/>
                <w:color w:val="auto"/>
                <w:kern w:val="2"/>
                <w:sz w:val="24"/>
                <w:lang w:eastAsia="zh-CN"/>
              </w:rPr>
              <w:t>%）</w:t>
            </w:r>
          </w:p>
        </w:tc>
        <w:tc>
          <w:tcPr>
            <w:tcW w:w="1602" w:type="dxa"/>
            <w:tcBorders>
              <w:top w:val="nil"/>
              <w:left w:val="single" w:color="auto" w:sz="4" w:space="0"/>
              <w:bottom w:val="single" w:color="auto" w:sz="4" w:space="0"/>
              <w:right w:val="single" w:color="auto" w:sz="8" w:space="0"/>
            </w:tcBorders>
            <w:noWrap/>
            <w:vAlign w:val="center"/>
          </w:tcPr>
          <w:p w14:paraId="6A9BBD21">
            <w:pPr>
              <w:keepNext w:val="0"/>
              <w:keepLines w:val="0"/>
              <w:framePr w:wrap="auto" w:vAnchor="margin" w:hAnchor="text" w:yAlign="inline"/>
              <w:widowControl/>
              <w:suppressLineNumbers w:val="0"/>
              <w:jc w:val="center"/>
              <w:textAlignment w:val="center"/>
              <w:rPr>
                <w:rFonts w:hint="eastAsia" w:ascii="仿宋" w:hAnsi="仿宋" w:eastAsia="仿宋" w:cs="宋体"/>
                <w:b/>
                <w:bCs/>
                <w:color w:val="auto"/>
                <w:kern w:val="2"/>
                <w:sz w:val="24"/>
                <w:lang w:val="en-US" w:eastAsia="zh-CN"/>
              </w:rPr>
            </w:pPr>
          </w:p>
        </w:tc>
      </w:tr>
      <w:tr w14:paraId="28BD18D1">
        <w:tblPrEx>
          <w:tblCellMar>
            <w:top w:w="0" w:type="dxa"/>
            <w:left w:w="108" w:type="dxa"/>
            <w:bottom w:w="0" w:type="dxa"/>
            <w:right w:w="108" w:type="dxa"/>
          </w:tblCellMar>
        </w:tblPrEx>
        <w:trPr>
          <w:trHeight w:val="400" w:hRule="atLeast"/>
          <w:jc w:val="center"/>
        </w:trPr>
        <w:tc>
          <w:tcPr>
            <w:tcW w:w="7522" w:type="dxa"/>
            <w:gridSpan w:val="6"/>
            <w:tcBorders>
              <w:top w:val="single" w:color="auto" w:sz="4" w:space="0"/>
              <w:left w:val="single" w:color="auto" w:sz="4" w:space="0"/>
              <w:bottom w:val="single" w:color="auto" w:sz="4" w:space="0"/>
              <w:right w:val="single" w:color="auto" w:sz="8" w:space="0"/>
            </w:tcBorders>
            <w:noWrap/>
            <w:vAlign w:val="center"/>
          </w:tcPr>
          <w:p w14:paraId="7BBE3EE1">
            <w:pPr>
              <w:framePr w:wrap="auto" w:vAnchor="margin" w:hAnchor="text" w:yAlign="inline"/>
              <w:widowControl w:val="0"/>
              <w:jc w:val="center"/>
              <w:rPr>
                <w:rFonts w:hint="eastAsia" w:ascii="仿宋" w:hAnsi="仿宋" w:eastAsia="仿宋" w:cs="仿宋"/>
                <w:b/>
                <w:color w:val="auto"/>
                <w:kern w:val="2"/>
                <w:sz w:val="22"/>
                <w:szCs w:val="22"/>
                <w:lang w:eastAsia="zh-CN"/>
              </w:rPr>
            </w:pPr>
            <w:r>
              <w:rPr>
                <w:rFonts w:hint="eastAsia" w:ascii="仿宋" w:hAnsi="仿宋" w:eastAsia="仿宋" w:cs="宋体"/>
                <w:b/>
                <w:bCs/>
                <w:color w:val="auto"/>
                <w:kern w:val="2"/>
                <w:sz w:val="24"/>
                <w:lang w:eastAsia="zh-CN"/>
              </w:rPr>
              <w:t>含增值税合计</w:t>
            </w:r>
          </w:p>
        </w:tc>
        <w:tc>
          <w:tcPr>
            <w:tcW w:w="1602" w:type="dxa"/>
            <w:tcBorders>
              <w:top w:val="single" w:color="auto" w:sz="4" w:space="0"/>
              <w:left w:val="single" w:color="auto" w:sz="4" w:space="0"/>
              <w:bottom w:val="single" w:color="auto" w:sz="4" w:space="0"/>
              <w:right w:val="single" w:color="auto" w:sz="4" w:space="0"/>
            </w:tcBorders>
            <w:noWrap/>
            <w:vAlign w:val="center"/>
          </w:tcPr>
          <w:p w14:paraId="6F0E18F9">
            <w:pPr>
              <w:keepNext w:val="0"/>
              <w:keepLines w:val="0"/>
              <w:framePr w:wrap="auto" w:vAnchor="margin" w:hAnchor="text" w:yAlign="inline"/>
              <w:widowControl/>
              <w:suppressLineNumbers w:val="0"/>
              <w:jc w:val="center"/>
              <w:textAlignment w:val="center"/>
              <w:rPr>
                <w:rFonts w:hint="eastAsia" w:ascii="仿宋" w:hAnsi="仿宋" w:eastAsia="仿宋" w:cs="宋体"/>
                <w:b/>
                <w:bCs/>
                <w:color w:val="auto"/>
                <w:kern w:val="2"/>
                <w:sz w:val="24"/>
                <w:lang w:val="en-US" w:eastAsia="zh-CN"/>
              </w:rPr>
            </w:pPr>
          </w:p>
        </w:tc>
      </w:tr>
      <w:tr w14:paraId="50D5A139">
        <w:tblPrEx>
          <w:tblCellMar>
            <w:top w:w="0" w:type="dxa"/>
            <w:left w:w="108" w:type="dxa"/>
            <w:bottom w:w="0" w:type="dxa"/>
            <w:right w:w="108" w:type="dxa"/>
          </w:tblCellMar>
        </w:tblPrEx>
        <w:trPr>
          <w:trHeight w:val="400" w:hRule="atLeast"/>
          <w:jc w:val="center"/>
        </w:trPr>
        <w:tc>
          <w:tcPr>
            <w:tcW w:w="9124" w:type="dxa"/>
            <w:gridSpan w:val="7"/>
            <w:tcBorders>
              <w:top w:val="single" w:color="auto" w:sz="4" w:space="0"/>
              <w:left w:val="single" w:color="auto" w:sz="4" w:space="0"/>
              <w:bottom w:val="single" w:color="auto" w:sz="4" w:space="0"/>
              <w:right w:val="single" w:color="auto" w:sz="4" w:space="0"/>
            </w:tcBorders>
            <w:noWrap/>
            <w:vAlign w:val="center"/>
          </w:tcPr>
          <w:p w14:paraId="19988164">
            <w:pPr>
              <w:widowControl w:val="0"/>
              <w:autoSpaceDN w:val="0"/>
              <w:spacing w:after="120" w:line="24" w:lineRule="atLeast"/>
              <w:jc w:val="both"/>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备注：</w:t>
            </w:r>
          </w:p>
          <w:p w14:paraId="1999C9FF">
            <w:pPr>
              <w:keepNext w:val="0"/>
              <w:keepLines w:val="0"/>
              <w:pageBreakBefore w:val="0"/>
              <w:widowControl w:val="0"/>
              <w:kinsoku/>
              <w:wordWrap/>
              <w:overflowPunct/>
              <w:topLinePunct w:val="0"/>
              <w:autoSpaceDE/>
              <w:autoSpaceDN w:val="0"/>
              <w:bidi w:val="0"/>
              <w:adjustRightInd/>
              <w:snapToGrid/>
              <w:spacing w:after="120" w:line="360" w:lineRule="exact"/>
              <w:jc w:val="both"/>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1、泵送加收1</w:t>
            </w:r>
            <w:r>
              <w:rPr>
                <w:rFonts w:ascii="仿宋" w:hAnsi="仿宋" w:eastAsia="仿宋" w:cs="宋体"/>
                <w:bCs/>
                <w:color w:val="auto"/>
                <w:kern w:val="2"/>
                <w:sz w:val="24"/>
                <w:szCs w:val="21"/>
                <w:lang w:val="en-US" w:eastAsia="zh-CN" w:bidi="ar-SA"/>
              </w:rPr>
              <w:t>0</w:t>
            </w:r>
            <w:r>
              <w:rPr>
                <w:rFonts w:hint="eastAsia" w:ascii="仿宋" w:hAnsi="仿宋" w:eastAsia="仿宋" w:cs="宋体"/>
                <w:bCs/>
                <w:color w:val="auto"/>
                <w:kern w:val="2"/>
                <w:sz w:val="24"/>
                <w:szCs w:val="21"/>
                <w:lang w:val="en-US" w:eastAsia="zh-CN" w:bidi="ar-SA"/>
              </w:rPr>
              <w:t>元/m³，水下砼在同一等级泵送砼的基础上加收</w:t>
            </w:r>
            <w:r>
              <w:rPr>
                <w:rFonts w:ascii="仿宋" w:hAnsi="仿宋" w:eastAsia="仿宋" w:cs="宋体"/>
                <w:bCs/>
                <w:color w:val="auto"/>
                <w:kern w:val="2"/>
                <w:sz w:val="24"/>
                <w:szCs w:val="21"/>
                <w:lang w:val="en-US" w:eastAsia="zh-CN" w:bidi="ar-SA"/>
              </w:rPr>
              <w:t>20</w:t>
            </w:r>
            <w:r>
              <w:rPr>
                <w:rFonts w:hint="eastAsia" w:ascii="仿宋" w:hAnsi="仿宋" w:eastAsia="仿宋" w:cs="宋体"/>
                <w:bCs/>
                <w:color w:val="auto"/>
                <w:kern w:val="2"/>
                <w:sz w:val="24"/>
                <w:szCs w:val="21"/>
                <w:lang w:val="en-US" w:eastAsia="zh-CN" w:bidi="ar-SA"/>
              </w:rPr>
              <w:t>元/m3。</w:t>
            </w:r>
          </w:p>
          <w:p w14:paraId="28B54503">
            <w:pPr>
              <w:keepNext w:val="0"/>
              <w:keepLines w:val="0"/>
              <w:pageBreakBefore w:val="0"/>
              <w:widowControl w:val="0"/>
              <w:kinsoku/>
              <w:wordWrap/>
              <w:overflowPunct/>
              <w:topLinePunct w:val="0"/>
              <w:autoSpaceDE/>
              <w:autoSpaceDN w:val="0"/>
              <w:bidi w:val="0"/>
              <w:adjustRightInd/>
              <w:snapToGrid/>
              <w:spacing w:after="120" w:line="360" w:lineRule="exact"/>
              <w:jc w:val="both"/>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2、抗渗砼P6、P8、P10、分别在同一等级的基础上加收10元/m3、15元/m3、20元/m3。</w:t>
            </w:r>
          </w:p>
          <w:p w14:paraId="1515C02F">
            <w:pPr>
              <w:keepNext w:val="0"/>
              <w:keepLines w:val="0"/>
              <w:pageBreakBefore w:val="0"/>
              <w:widowControl w:val="0"/>
              <w:kinsoku/>
              <w:wordWrap/>
              <w:overflowPunct/>
              <w:topLinePunct w:val="0"/>
              <w:autoSpaceDE/>
              <w:autoSpaceDN w:val="0"/>
              <w:bidi w:val="0"/>
              <w:adjustRightInd/>
              <w:snapToGrid/>
              <w:spacing w:after="120" w:line="360" w:lineRule="exact"/>
              <w:jc w:val="both"/>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3、早强砼分三天与七天，分别在同一等级的基础上加收40元/m3、20元/m3。</w:t>
            </w:r>
          </w:p>
          <w:p w14:paraId="341A67FA">
            <w:pPr>
              <w:keepNext w:val="0"/>
              <w:keepLines w:val="0"/>
              <w:pageBreakBefore w:val="0"/>
              <w:widowControl w:val="0"/>
              <w:kinsoku/>
              <w:wordWrap/>
              <w:overflowPunct/>
              <w:topLinePunct w:val="0"/>
              <w:autoSpaceDE/>
              <w:autoSpaceDN w:val="0"/>
              <w:bidi w:val="0"/>
              <w:adjustRightInd/>
              <w:snapToGrid/>
              <w:spacing w:after="120" w:line="360" w:lineRule="exact"/>
              <w:jc w:val="both"/>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4、细石砼在同一等级的基础上加收</w:t>
            </w:r>
            <w:r>
              <w:rPr>
                <w:rFonts w:ascii="仿宋" w:hAnsi="仿宋" w:eastAsia="仿宋" w:cs="宋体"/>
                <w:bCs/>
                <w:color w:val="auto"/>
                <w:kern w:val="2"/>
                <w:sz w:val="24"/>
                <w:szCs w:val="21"/>
                <w:lang w:val="en-US" w:eastAsia="zh-CN" w:bidi="ar-SA"/>
              </w:rPr>
              <w:t>15</w:t>
            </w:r>
            <w:r>
              <w:rPr>
                <w:rFonts w:hint="eastAsia" w:ascii="仿宋" w:hAnsi="仿宋" w:eastAsia="仿宋" w:cs="宋体"/>
                <w:bCs/>
                <w:color w:val="auto"/>
                <w:kern w:val="2"/>
                <w:sz w:val="24"/>
                <w:szCs w:val="21"/>
                <w:lang w:val="en-US" w:eastAsia="zh-CN" w:bidi="ar-SA"/>
              </w:rPr>
              <w:t>元/m3。</w:t>
            </w:r>
          </w:p>
          <w:p w14:paraId="1E55AAEC">
            <w:pPr>
              <w:keepNext w:val="0"/>
              <w:keepLines w:val="0"/>
              <w:pageBreakBefore w:val="0"/>
              <w:widowControl w:val="0"/>
              <w:kinsoku/>
              <w:wordWrap/>
              <w:overflowPunct/>
              <w:topLinePunct w:val="0"/>
              <w:autoSpaceDE/>
              <w:autoSpaceDN w:val="0"/>
              <w:bidi w:val="0"/>
              <w:adjustRightInd/>
              <w:snapToGrid/>
              <w:spacing w:after="120" w:line="360" w:lineRule="exact"/>
              <w:jc w:val="both"/>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5、膨胀砼（UEA）在同一等级的基础上加收45元/m3，若规定使用其他型号膨胀剂另行计价。</w:t>
            </w:r>
          </w:p>
          <w:p w14:paraId="0954C4B3">
            <w:pPr>
              <w:keepNext w:val="0"/>
              <w:keepLines w:val="0"/>
              <w:pageBreakBefore w:val="0"/>
              <w:widowControl w:val="0"/>
              <w:kinsoku/>
              <w:wordWrap/>
              <w:overflowPunct/>
              <w:topLinePunct w:val="0"/>
              <w:autoSpaceDE/>
              <w:autoSpaceDN w:val="0"/>
              <w:bidi w:val="0"/>
              <w:adjustRightInd/>
              <w:snapToGrid/>
              <w:spacing w:after="120" w:line="360" w:lineRule="exact"/>
              <w:jc w:val="both"/>
              <w:rPr>
                <w:rFonts w:hint="eastAsia" w:ascii="方正书宋简体" w:hAnsi="Calibri" w:eastAsia="方正书宋简体" w:cs="Times New Roman"/>
                <w:color w:val="auto"/>
                <w:kern w:val="2"/>
                <w:sz w:val="24"/>
                <w:szCs w:val="24"/>
                <w:lang w:val="en-US" w:eastAsia="zh-CN" w:bidi="ar-SA"/>
              </w:rPr>
            </w:pPr>
            <w:r>
              <w:rPr>
                <w:rFonts w:hint="eastAsia" w:ascii="仿宋" w:hAnsi="仿宋" w:eastAsia="仿宋" w:cs="宋体"/>
                <w:bCs/>
                <w:color w:val="auto"/>
                <w:kern w:val="2"/>
                <w:sz w:val="24"/>
                <w:szCs w:val="21"/>
                <w:lang w:val="en-US" w:eastAsia="zh-CN" w:bidi="ar-SA"/>
              </w:rPr>
              <w:t>6、道路砼和不加粉煤灰在同一等级的基础上加收</w:t>
            </w:r>
            <w:r>
              <w:rPr>
                <w:rFonts w:ascii="仿宋" w:hAnsi="仿宋" w:eastAsia="仿宋" w:cs="宋体"/>
                <w:bCs/>
                <w:color w:val="auto"/>
                <w:kern w:val="2"/>
                <w:sz w:val="24"/>
                <w:szCs w:val="21"/>
                <w:lang w:val="en-US" w:eastAsia="zh-CN" w:bidi="ar-SA"/>
              </w:rPr>
              <w:t>20</w:t>
            </w:r>
            <w:r>
              <w:rPr>
                <w:rFonts w:hint="eastAsia" w:ascii="仿宋" w:hAnsi="仿宋" w:eastAsia="仿宋" w:cs="宋体"/>
                <w:bCs/>
                <w:color w:val="auto"/>
                <w:kern w:val="2"/>
                <w:sz w:val="24"/>
                <w:szCs w:val="21"/>
                <w:lang w:val="en-US" w:eastAsia="zh-CN" w:bidi="ar-SA"/>
              </w:rPr>
              <w:t>元/m3。</w:t>
            </w:r>
          </w:p>
          <w:p w14:paraId="355288B9">
            <w:pPr>
              <w:keepNext w:val="0"/>
              <w:keepLines w:val="0"/>
              <w:pageBreakBefore w:val="0"/>
              <w:widowControl w:val="0"/>
              <w:kinsoku/>
              <w:wordWrap/>
              <w:overflowPunct/>
              <w:topLinePunct w:val="0"/>
              <w:autoSpaceDE/>
              <w:autoSpaceDN w:val="0"/>
              <w:bidi w:val="0"/>
              <w:adjustRightInd/>
              <w:snapToGrid/>
              <w:spacing w:after="120" w:line="360" w:lineRule="exact"/>
              <w:jc w:val="both"/>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7、抗折砼Z3.5加15元、Z4.0加20元、Z4.5加25元、Z5.0加30元、Z5.5加35元。</w:t>
            </w:r>
          </w:p>
          <w:p w14:paraId="4F5A11F7">
            <w:pPr>
              <w:keepNext w:val="0"/>
              <w:keepLines w:val="0"/>
              <w:pageBreakBefore w:val="0"/>
              <w:widowControl w:val="0"/>
              <w:kinsoku/>
              <w:wordWrap/>
              <w:overflowPunct/>
              <w:topLinePunct w:val="0"/>
              <w:autoSpaceDE/>
              <w:autoSpaceDN w:val="0"/>
              <w:bidi w:val="0"/>
              <w:adjustRightInd/>
              <w:snapToGrid/>
              <w:spacing w:after="120" w:line="360" w:lineRule="exact"/>
              <w:jc w:val="both"/>
              <w:textAlignment w:val="auto"/>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8、“泵送砼”指用泵机输送且坍落度为13～17cm的砼(包括塔吊、斗车人卸料及直接</w:t>
            </w:r>
          </w:p>
          <w:p w14:paraId="2218A426">
            <w:pPr>
              <w:keepNext w:val="0"/>
              <w:keepLines w:val="0"/>
              <w:pageBreakBefore w:val="0"/>
              <w:widowControl w:val="0"/>
              <w:kinsoku/>
              <w:wordWrap/>
              <w:overflowPunct/>
              <w:topLinePunct w:val="0"/>
              <w:autoSpaceDE/>
              <w:autoSpaceDN w:val="0"/>
              <w:bidi w:val="0"/>
              <w:adjustRightInd/>
              <w:snapToGrid/>
              <w:spacing w:after="120" w:line="360" w:lineRule="exact"/>
              <w:jc w:val="both"/>
              <w:textAlignment w:val="auto"/>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卸料等任何施工工艺)“非泵送砼”指非泵机输送且坍落度≦12cm的砼；坍落度≧18cm</w:t>
            </w:r>
          </w:p>
          <w:p w14:paraId="071B5AD8">
            <w:pPr>
              <w:keepNext w:val="0"/>
              <w:keepLines w:val="0"/>
              <w:pageBreakBefore w:val="0"/>
              <w:widowControl w:val="0"/>
              <w:kinsoku/>
              <w:wordWrap/>
              <w:overflowPunct/>
              <w:topLinePunct w:val="0"/>
              <w:autoSpaceDE/>
              <w:autoSpaceDN w:val="0"/>
              <w:bidi w:val="0"/>
              <w:adjustRightInd/>
              <w:snapToGrid/>
              <w:spacing w:after="120" w:line="360" w:lineRule="exact"/>
              <w:jc w:val="both"/>
              <w:textAlignment w:val="auto"/>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的大流动性砼，以18cm为基础。每增2cm，价格按同等级泵送砼加10元/m3。</w:t>
            </w:r>
          </w:p>
          <w:p w14:paraId="75504EF7">
            <w:pPr>
              <w:keepNext w:val="0"/>
              <w:keepLines w:val="0"/>
              <w:pageBreakBefore w:val="0"/>
              <w:widowControl w:val="0"/>
              <w:kinsoku/>
              <w:wordWrap/>
              <w:overflowPunct/>
              <w:topLinePunct w:val="0"/>
              <w:autoSpaceDE/>
              <w:autoSpaceDN w:val="0"/>
              <w:bidi w:val="0"/>
              <w:adjustRightInd/>
              <w:snapToGrid/>
              <w:spacing w:after="120" w:line="360" w:lineRule="exact"/>
              <w:jc w:val="both"/>
              <w:textAlignment w:val="auto"/>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9、每载混凝土的塌落度以混凝土到在达施工现场按国家规范即时取样量度为准。</w:t>
            </w:r>
          </w:p>
          <w:p w14:paraId="0B7B6076">
            <w:pPr>
              <w:keepNext w:val="0"/>
              <w:keepLines w:val="0"/>
              <w:pageBreakBefore w:val="0"/>
              <w:widowControl w:val="0"/>
              <w:kinsoku/>
              <w:wordWrap/>
              <w:overflowPunct/>
              <w:topLinePunct w:val="0"/>
              <w:autoSpaceDE/>
              <w:autoSpaceDN w:val="0"/>
              <w:bidi w:val="0"/>
              <w:adjustRightInd/>
              <w:snapToGrid/>
              <w:spacing w:after="120" w:line="360" w:lineRule="exact"/>
              <w:jc w:val="both"/>
              <w:textAlignment w:val="auto"/>
              <w:rPr>
                <w:rFonts w:hint="eastAsia" w:ascii="仿宋" w:hAnsi="仿宋" w:eastAsia="仿宋" w:cs="宋体"/>
                <w:bCs/>
                <w:color w:val="auto"/>
                <w:kern w:val="2"/>
                <w:sz w:val="24"/>
                <w:szCs w:val="21"/>
                <w:lang w:val="en-US" w:eastAsia="zh-CN" w:bidi="ar-SA"/>
              </w:rPr>
            </w:pPr>
            <w:r>
              <w:rPr>
                <w:rFonts w:hint="eastAsia" w:ascii="仿宋" w:hAnsi="仿宋" w:eastAsia="仿宋" w:cs="宋体"/>
                <w:bCs/>
                <w:color w:val="auto"/>
                <w:kern w:val="2"/>
                <w:sz w:val="24"/>
                <w:szCs w:val="21"/>
                <w:lang w:val="en-US" w:eastAsia="zh-CN" w:bidi="ar-SA"/>
              </w:rPr>
              <w:t>10、本单价不含泵送机械租赁费。</w:t>
            </w:r>
          </w:p>
          <w:p w14:paraId="47FB0E90">
            <w:pPr>
              <w:keepNext w:val="0"/>
              <w:keepLines w:val="0"/>
              <w:pageBreakBefore w:val="0"/>
              <w:framePr w:wrap="auto" w:vAnchor="margin" w:hAnchor="text" w:yAlign="inline"/>
              <w:widowControl/>
              <w:suppressLineNumbers w:val="0"/>
              <w:kinsoku/>
              <w:wordWrap/>
              <w:overflowPunct/>
              <w:topLinePunct w:val="0"/>
              <w:autoSpaceDE/>
              <w:bidi w:val="0"/>
              <w:adjustRightInd/>
              <w:snapToGrid/>
              <w:spacing w:line="360" w:lineRule="exact"/>
              <w:jc w:val="both"/>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宋体"/>
                <w:bCs/>
                <w:color w:val="auto"/>
                <w:kern w:val="2"/>
                <w:sz w:val="24"/>
                <w:szCs w:val="21"/>
                <w:lang w:val="en-US" w:eastAsia="zh-CN" w:bidi="ar-SA"/>
              </w:rPr>
              <w:t>11、以上混凝土单价为不含税单价，税率3%。</w:t>
            </w:r>
          </w:p>
        </w:tc>
      </w:tr>
    </w:tbl>
    <w:p w14:paraId="62C40AF7">
      <w:pPr>
        <w:framePr w:wrap="auto" w:vAnchor="margin" w:hAnchor="text" w:yAlign="inline"/>
        <w:rPr>
          <w:rFonts w:hint="eastAsia" w:ascii="仿宋" w:hAnsi="仿宋" w:eastAsia="仿宋" w:cs="宋体"/>
          <w:b/>
          <w:color w:val="auto"/>
          <w:kern w:val="2"/>
          <w:sz w:val="24"/>
          <w:lang w:eastAsia="zh-CN"/>
        </w:rPr>
      </w:pPr>
      <w:r>
        <w:rPr>
          <w:rFonts w:hint="eastAsia" w:ascii="仿宋" w:hAnsi="仿宋" w:eastAsia="仿宋" w:cs="宋体"/>
          <w:b/>
          <w:color w:val="auto"/>
          <w:kern w:val="2"/>
          <w:sz w:val="24"/>
          <w:lang w:eastAsia="zh-CN"/>
        </w:rPr>
        <w:br w:type="page"/>
      </w:r>
    </w:p>
    <w:p w14:paraId="75546B0C">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2" w:firstLineChars="200"/>
        <w:jc w:val="both"/>
        <w:textAlignment w:val="auto"/>
        <w:rPr>
          <w:rFonts w:hint="eastAsia" w:ascii="仿宋" w:hAnsi="仿宋" w:eastAsia="仿宋" w:cs="宋体"/>
          <w:b/>
          <w:color w:val="auto"/>
          <w:kern w:val="2"/>
          <w:sz w:val="24"/>
          <w:lang w:eastAsia="zh-CN"/>
        </w:rPr>
      </w:pPr>
      <w:r>
        <w:rPr>
          <w:rFonts w:hint="eastAsia" w:ascii="仿宋" w:hAnsi="仿宋" w:eastAsia="仿宋" w:cs="宋体"/>
          <w:b/>
          <w:color w:val="auto"/>
          <w:kern w:val="2"/>
          <w:sz w:val="24"/>
          <w:lang w:eastAsia="zh-CN"/>
        </w:rPr>
        <w:t>二、甲方工程资料</w:t>
      </w:r>
    </w:p>
    <w:p w14:paraId="35EB411C">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1</w:t>
      </w:r>
      <w:r>
        <w:rPr>
          <w:rFonts w:hint="eastAsia" w:ascii="仿宋" w:hAnsi="仿宋" w:eastAsia="仿宋" w:cs="宋体"/>
          <w:bCs/>
          <w:color w:val="auto"/>
          <w:kern w:val="2"/>
          <w:sz w:val="24"/>
          <w:lang w:eastAsia="zh-CN"/>
        </w:rPr>
        <w:t>、工程名称：</w:t>
      </w:r>
      <w:r>
        <w:rPr>
          <w:rFonts w:hint="eastAsia" w:ascii="仿宋" w:hAnsi="仿宋" w:eastAsia="仿宋" w:cs="Times New Roman"/>
          <w:color w:val="auto"/>
          <w:kern w:val="2"/>
          <w:sz w:val="24"/>
          <w:u w:val="single"/>
          <w:lang w:val="en-US" w:eastAsia="zh-CN"/>
        </w:rPr>
        <w:t xml:space="preserve">                   </w:t>
      </w:r>
    </w:p>
    <w:p w14:paraId="381A497B">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宋体"/>
          <w:bCs/>
          <w:color w:val="auto"/>
          <w:kern w:val="2"/>
          <w:sz w:val="24"/>
          <w:u w:val="single"/>
          <w:lang w:eastAsia="zh-CN"/>
        </w:rPr>
      </w:pPr>
      <w:r>
        <w:rPr>
          <w:rFonts w:ascii="仿宋" w:hAnsi="仿宋" w:eastAsia="仿宋" w:cs="宋体"/>
          <w:bCs/>
          <w:color w:val="auto"/>
          <w:kern w:val="2"/>
          <w:sz w:val="24"/>
          <w:lang w:eastAsia="zh-CN"/>
        </w:rPr>
        <w:t>2</w:t>
      </w:r>
      <w:r>
        <w:rPr>
          <w:rFonts w:hint="eastAsia" w:ascii="仿宋" w:hAnsi="仿宋" w:eastAsia="仿宋" w:cs="宋体"/>
          <w:bCs/>
          <w:color w:val="auto"/>
          <w:kern w:val="2"/>
          <w:sz w:val="24"/>
          <w:lang w:eastAsia="zh-CN"/>
        </w:rPr>
        <w:t>、工程地址：</w:t>
      </w:r>
      <w:r>
        <w:rPr>
          <w:rFonts w:hint="eastAsia" w:ascii="仿宋" w:hAnsi="仿宋" w:eastAsia="仿宋" w:cs="Times New Roman"/>
          <w:color w:val="auto"/>
          <w:kern w:val="2"/>
          <w:sz w:val="24"/>
          <w:u w:val="single"/>
          <w:lang w:val="en-US" w:eastAsia="zh-CN"/>
        </w:rPr>
        <w:t xml:space="preserve">                   </w:t>
      </w:r>
    </w:p>
    <w:p w14:paraId="1E1F5FC0">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宋体"/>
          <w:bCs/>
          <w:color w:val="auto"/>
          <w:kern w:val="2"/>
          <w:sz w:val="24"/>
          <w:u w:val="single"/>
          <w:lang w:eastAsia="zh-CN"/>
        </w:rPr>
      </w:pPr>
      <w:r>
        <w:rPr>
          <w:rFonts w:ascii="仿宋" w:hAnsi="仿宋" w:eastAsia="仿宋" w:cs="宋体"/>
          <w:bCs/>
          <w:color w:val="auto"/>
          <w:kern w:val="2"/>
          <w:sz w:val="24"/>
          <w:lang w:eastAsia="zh-CN"/>
        </w:rPr>
        <w:t>3</w:t>
      </w:r>
      <w:r>
        <w:rPr>
          <w:rFonts w:hint="eastAsia" w:ascii="仿宋" w:hAnsi="仿宋" w:eastAsia="仿宋" w:cs="宋体"/>
          <w:bCs/>
          <w:color w:val="auto"/>
          <w:kern w:val="2"/>
          <w:sz w:val="24"/>
          <w:lang w:eastAsia="zh-CN"/>
        </w:rPr>
        <w:t>、供应数量：</w:t>
      </w:r>
      <w:r>
        <w:rPr>
          <w:rFonts w:hint="eastAsia" w:ascii="仿宋" w:hAnsi="仿宋" w:eastAsia="仿宋" w:cs="Times New Roman"/>
          <w:color w:val="auto"/>
          <w:kern w:val="2"/>
          <w:sz w:val="24"/>
          <w:u w:val="single"/>
          <w:lang w:val="en-US" w:eastAsia="zh-CN"/>
        </w:rPr>
        <w:t xml:space="preserve">                   </w:t>
      </w:r>
    </w:p>
    <w:p w14:paraId="0B9A8A7E">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宋体"/>
          <w:bCs/>
          <w:color w:val="auto"/>
          <w:kern w:val="2"/>
          <w:sz w:val="24"/>
          <w:lang w:eastAsia="zh-CN"/>
        </w:rPr>
        <w:t>4、供应暂定金额</w:t>
      </w:r>
      <w:r>
        <w:rPr>
          <w:rFonts w:hint="eastAsia" w:ascii="仿宋" w:hAnsi="仿宋" w:eastAsia="仿宋" w:cs="Times New Roman"/>
          <w:color w:val="auto"/>
          <w:kern w:val="2"/>
          <w:sz w:val="24"/>
          <w:lang w:eastAsia="zh-CN"/>
        </w:rPr>
        <w:t>总价为人民币</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元（大写：</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），其中不含增值税总价</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元（大写：</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），增值税</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元（大写：</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w:t>
      </w:r>
      <w:r>
        <w:rPr>
          <w:rFonts w:hint="eastAsia" w:ascii="仿宋" w:hAnsi="仿宋" w:eastAsia="仿宋" w:cs="宋体"/>
          <w:b w:val="0"/>
          <w:bCs/>
          <w:color w:val="auto"/>
          <w:kern w:val="2"/>
          <w:sz w:val="24"/>
          <w:lang w:eastAsia="zh-CN"/>
        </w:rPr>
        <w:t>（增值税税率随国家政策和适用税率同步调整）</w:t>
      </w:r>
      <w:r>
        <w:rPr>
          <w:rFonts w:hint="eastAsia" w:ascii="仿宋" w:hAnsi="仿宋" w:eastAsia="仿宋" w:cs="Times New Roman"/>
          <w:color w:val="auto"/>
          <w:kern w:val="2"/>
          <w:sz w:val="24"/>
          <w:lang w:eastAsia="zh-CN"/>
        </w:rPr>
        <w:t>；本合同暂定总价不作为双方最终结算的依据。结算供货量按实际发生的每月得到甲方签认计量的供货量为准，材料验收合格后由双方验收人员在送货单上签字。每月材料对账根据甲乙双方材料验收人员签字的单据经行汇总，对账汇总表甲乙双方必须加盖公章及签名确认，签名确认为项目经理。最终结算以双方签名加盖公章的汇总表为准。</w:t>
      </w:r>
    </w:p>
    <w:p w14:paraId="7B67A749">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本合同不含增值税总价包含了除增值税以外的一切税费（包括但不限于为实施本合同应缴纳的企业所得税、个人所得税、印花税、资源税、城市维护建设税、教育费附加、地方教育附加、堤围防护费等）。</w:t>
      </w:r>
    </w:p>
    <w:p w14:paraId="693B5E6E">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2" w:firstLineChars="200"/>
        <w:jc w:val="both"/>
        <w:textAlignment w:val="auto"/>
        <w:rPr>
          <w:rFonts w:hint="eastAsia" w:ascii="仿宋" w:hAnsi="仿宋" w:eastAsia="仿宋" w:cs="宋体"/>
          <w:bCs/>
          <w:color w:val="auto"/>
          <w:kern w:val="2"/>
          <w:sz w:val="24"/>
          <w:lang w:eastAsia="zh-CN"/>
        </w:rPr>
      </w:pPr>
      <w:r>
        <w:rPr>
          <w:rFonts w:hint="eastAsia" w:ascii="仿宋" w:hAnsi="仿宋" w:eastAsia="仿宋" w:cs="宋体"/>
          <w:b/>
          <w:color w:val="auto"/>
          <w:kern w:val="2"/>
          <w:sz w:val="24"/>
          <w:lang w:eastAsia="zh-CN"/>
        </w:rPr>
        <w:t>三、乙方责任</w:t>
      </w:r>
    </w:p>
    <w:p w14:paraId="29F7B01C">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1</w:t>
      </w:r>
      <w:r>
        <w:rPr>
          <w:rFonts w:hint="eastAsia" w:ascii="仿宋" w:hAnsi="仿宋" w:eastAsia="仿宋" w:cs="宋体"/>
          <w:bCs/>
          <w:color w:val="auto"/>
          <w:kern w:val="2"/>
          <w:sz w:val="24"/>
          <w:lang w:eastAsia="zh-CN"/>
        </w:rPr>
        <w:t>、按甲方《用料计划》（电话、传真方式）通知时间和供货数量等要求按时送料到工地现场；（因不可抗力因素无法供货，乙方应提前</w:t>
      </w:r>
      <w:r>
        <w:rPr>
          <w:rFonts w:ascii="仿宋" w:hAnsi="仿宋" w:eastAsia="仿宋" w:cs="宋体"/>
          <w:bCs/>
          <w:color w:val="auto"/>
          <w:kern w:val="2"/>
          <w:sz w:val="24"/>
          <w:lang w:eastAsia="zh-CN"/>
        </w:rPr>
        <w:t>6</w:t>
      </w:r>
      <w:r>
        <w:rPr>
          <w:rFonts w:hint="eastAsia" w:ascii="仿宋" w:hAnsi="仿宋" w:eastAsia="仿宋" w:cs="宋体"/>
          <w:bCs/>
          <w:color w:val="auto"/>
          <w:kern w:val="2"/>
          <w:sz w:val="24"/>
          <w:lang w:eastAsia="zh-CN"/>
        </w:rPr>
        <w:t>小时通告甲方。乙方供货必须确保供货时间准时、及时，因供料中断而导致泵车、人工窝工及影响施工质量（泵车、人工窝工台班按现场实际确认），应赔偿甲方因此而造成的经济损失。因乙方原因，未能按甲方项目部施工时间、需求等供货的，乙方应承担造成质量事故的一切责任和误工所增加的全部费用，且甲方有权更换供货商，乙方必须无条件配合。</w:t>
      </w:r>
    </w:p>
    <w:p w14:paraId="26CE3181">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2</w:t>
      </w:r>
      <w:r>
        <w:rPr>
          <w:rFonts w:hint="eastAsia" w:ascii="仿宋" w:hAnsi="仿宋" w:eastAsia="仿宋" w:cs="宋体"/>
          <w:bCs/>
          <w:color w:val="auto"/>
          <w:kern w:val="2"/>
          <w:sz w:val="24"/>
          <w:lang w:eastAsia="zh-CN"/>
        </w:rPr>
        <w:t>、送料车到现场后必须听从甲方施工人员的指挥，因司机违反工地指挥而引致的安全责任、机械材料损坏、成品半成品破坏等相关责任由乙方负责。</w:t>
      </w:r>
    </w:p>
    <w:p w14:paraId="71066E60">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3</w:t>
      </w:r>
      <w:r>
        <w:rPr>
          <w:rFonts w:hint="eastAsia" w:ascii="仿宋" w:hAnsi="仿宋" w:eastAsia="仿宋" w:cs="宋体"/>
          <w:bCs/>
          <w:color w:val="auto"/>
          <w:kern w:val="2"/>
          <w:sz w:val="24"/>
          <w:lang w:eastAsia="zh-CN"/>
        </w:rPr>
        <w:t>、乙方应按甲方要求准确无误地送料到甲方工地，乙方质量保证限于现场取样。甲方应按每批混凝土浇灌部位核对供货方送货单。因乙方送错混凝土或混凝土本身质量问题造成的工程质量事故而引起的经济损失由乙方负责。</w:t>
      </w:r>
    </w:p>
    <w:p w14:paraId="70C65FFF">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4</w:t>
      </w:r>
      <w:r>
        <w:rPr>
          <w:rFonts w:hint="eastAsia" w:ascii="仿宋" w:hAnsi="仿宋" w:eastAsia="仿宋" w:cs="宋体"/>
          <w:bCs/>
          <w:color w:val="auto"/>
          <w:kern w:val="2"/>
          <w:sz w:val="24"/>
          <w:lang w:eastAsia="zh-CN"/>
        </w:rPr>
        <w:t>、为确保工程质量情况，当甲方按《混凝土结构工程施工及验收规范》（</w:t>
      </w:r>
      <w:r>
        <w:rPr>
          <w:rFonts w:ascii="仿宋" w:hAnsi="仿宋" w:eastAsia="仿宋" w:cs="宋体"/>
          <w:bCs/>
          <w:color w:val="auto"/>
          <w:kern w:val="2"/>
          <w:sz w:val="24"/>
          <w:lang w:eastAsia="zh-CN"/>
        </w:rPr>
        <w:t>GB50204-2015</w:t>
      </w:r>
      <w:r>
        <w:rPr>
          <w:rFonts w:hint="eastAsia" w:ascii="仿宋" w:hAnsi="仿宋" w:eastAsia="仿宋" w:cs="宋体"/>
          <w:bCs/>
          <w:color w:val="auto"/>
          <w:kern w:val="2"/>
          <w:sz w:val="24"/>
          <w:lang w:eastAsia="zh-CN"/>
        </w:rPr>
        <w:t>）的规定进行施工和养护后，乙方需提供相关技术支持，确保结构物不出现开裂情况。现约定如下：</w:t>
      </w:r>
    </w:p>
    <w:p w14:paraId="67B7D415">
      <w:pPr>
        <w:keepNext w:val="0"/>
        <w:keepLines w:val="0"/>
        <w:pageBreakBefore w:val="0"/>
        <w:framePr w:wrap="auto" w:vAnchor="margin" w:hAnchor="text" w:yAlign="inline"/>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宋体"/>
          <w:bCs/>
          <w:color w:val="auto"/>
          <w:kern w:val="2"/>
          <w:sz w:val="24"/>
          <w:lang w:eastAsia="zh-CN"/>
        </w:rPr>
      </w:pP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1</w:t>
      </w:r>
      <w:r>
        <w:rPr>
          <w:rFonts w:hint="eastAsia" w:ascii="仿宋" w:hAnsi="仿宋" w:eastAsia="仿宋" w:cs="宋体"/>
          <w:bCs/>
          <w:color w:val="auto"/>
          <w:kern w:val="2"/>
          <w:sz w:val="24"/>
          <w:lang w:eastAsia="zh-CN"/>
        </w:rPr>
        <w:t>）如果出现混凝土结构开裂，造成开裂部分原因及责任归属于乙方的情况下，乙方须承担由此造成的</w:t>
      </w:r>
      <w:r>
        <w:rPr>
          <w:rFonts w:ascii="仿宋" w:hAnsi="仿宋" w:eastAsia="仿宋" w:cs="宋体"/>
          <w:bCs/>
          <w:color w:val="auto"/>
          <w:kern w:val="2"/>
          <w:sz w:val="24"/>
          <w:lang w:eastAsia="zh-CN"/>
        </w:rPr>
        <w:t>30%</w:t>
      </w:r>
      <w:r>
        <w:rPr>
          <w:rFonts w:hint="eastAsia" w:ascii="仿宋" w:hAnsi="仿宋" w:eastAsia="仿宋" w:cs="宋体"/>
          <w:bCs/>
          <w:color w:val="auto"/>
          <w:kern w:val="2"/>
          <w:sz w:val="24"/>
          <w:lang w:eastAsia="zh-CN"/>
        </w:rPr>
        <w:t>经济损失。</w:t>
      </w:r>
    </w:p>
    <w:p w14:paraId="0EE6F362">
      <w:pPr>
        <w:keepNext w:val="0"/>
        <w:keepLines w:val="0"/>
        <w:pageBreakBefore w:val="0"/>
        <w:framePr w:wrap="auto" w:vAnchor="margin" w:hAnchor="text" w:yAlign="inline"/>
        <w:widowControl w:val="0"/>
        <w:kinsoku/>
        <w:wordWrap/>
        <w:overflowPunct/>
        <w:topLinePunct w:val="0"/>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2</w:t>
      </w:r>
      <w:r>
        <w:rPr>
          <w:rFonts w:hint="eastAsia" w:ascii="仿宋" w:hAnsi="仿宋" w:eastAsia="仿宋" w:cs="宋体"/>
          <w:bCs/>
          <w:color w:val="auto"/>
          <w:kern w:val="2"/>
          <w:sz w:val="24"/>
          <w:lang w:eastAsia="zh-CN"/>
        </w:rPr>
        <w:t>）如果出现混凝土结构开裂，由具备相关资质单位判定造成开裂的原因及责任是由于混凝土质量不合格所致，乙方须承担由此所造成的全部责任及经济损失。</w:t>
      </w:r>
    </w:p>
    <w:p w14:paraId="6FEEBF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（3）由于混凝土在甲方施工过程中浇筑振捣不良、拆模过早、随意加水改变水灰比、缺少保养防护等原因引起的碳化深度大于</w:t>
      </w:r>
      <w:r>
        <w:rPr>
          <w:rFonts w:ascii="仿宋" w:hAnsi="仿宋" w:eastAsia="仿宋" w:cs="宋体"/>
          <w:bCs/>
          <w:color w:val="auto"/>
          <w:kern w:val="2"/>
          <w:sz w:val="24"/>
          <w:szCs w:val="24"/>
          <w:lang w:val="en-US" w:eastAsia="zh-CN" w:bidi="ar-SA"/>
        </w:rPr>
        <w:t>2.0mm</w:t>
      </w:r>
      <w:r>
        <w:rPr>
          <w:rFonts w:hint="eastAsia" w:ascii="仿宋" w:hAnsi="仿宋" w:eastAsia="仿宋" w:cs="宋体"/>
          <w:bCs/>
          <w:color w:val="auto"/>
          <w:kern w:val="2"/>
          <w:sz w:val="24"/>
          <w:szCs w:val="24"/>
          <w:lang w:val="en-US" w:eastAsia="zh-CN" w:bidi="ar-SA"/>
        </w:rPr>
        <w:t>以上的任何责任由甲方承担。</w:t>
      </w:r>
    </w:p>
    <w:p w14:paraId="6A30D7F5">
      <w:pPr>
        <w:keepNext w:val="0"/>
        <w:keepLines w:val="0"/>
        <w:pageBreakBefore w:val="0"/>
        <w:framePr w:wrap="auto" w:vAnchor="margin" w:hAnchor="text" w:yAlign="inline"/>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宋体"/>
          <w:bCs/>
          <w:color w:val="auto"/>
          <w:kern w:val="2"/>
          <w:sz w:val="24"/>
          <w:u w:val="single"/>
          <w:lang w:eastAsia="zh-CN"/>
        </w:rPr>
      </w:pPr>
      <w:r>
        <w:rPr>
          <w:rFonts w:hint="eastAsia" w:ascii="仿宋" w:hAnsi="仿宋" w:eastAsia="仿宋" w:cs="宋体"/>
          <w:bCs/>
          <w:color w:val="auto"/>
          <w:kern w:val="2"/>
          <w:sz w:val="24"/>
          <w:lang w:eastAsia="zh-CN"/>
        </w:rPr>
        <w:t>5、乙方生产控制室电话号码</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宋体"/>
          <w:bCs/>
          <w:color w:val="auto"/>
          <w:kern w:val="2"/>
          <w:sz w:val="24"/>
          <w:lang w:eastAsia="zh-CN"/>
        </w:rPr>
        <w:t>；乙方接到甲方《用料计划》传真或电话后，须传真或电话向甲方确认。乙方发货联系人：</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宋体"/>
          <w:bCs/>
          <w:color w:val="auto"/>
          <w:kern w:val="2"/>
          <w:sz w:val="24"/>
          <w:lang w:eastAsia="zh-CN"/>
        </w:rPr>
        <w:t>，</w:t>
      </w:r>
      <w:r>
        <w:rPr>
          <w:rFonts w:hint="eastAsia" w:ascii="仿宋" w:hAnsi="仿宋" w:eastAsia="仿宋" w:cs="Times New Roman"/>
          <w:color w:val="auto"/>
          <w:kern w:val="2"/>
          <w:sz w:val="24"/>
          <w:lang w:eastAsia="zh-CN"/>
        </w:rPr>
        <w:t>身份证号：</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w:t>
      </w:r>
      <w:r>
        <w:rPr>
          <w:rFonts w:hint="eastAsia" w:ascii="仿宋" w:hAnsi="仿宋" w:eastAsia="仿宋" w:cs="宋体"/>
          <w:bCs/>
          <w:color w:val="auto"/>
          <w:kern w:val="2"/>
          <w:sz w:val="24"/>
          <w:lang w:eastAsia="zh-CN"/>
        </w:rPr>
        <w:t>联系电话：</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宋体"/>
          <w:bCs/>
          <w:color w:val="auto"/>
          <w:kern w:val="2"/>
          <w:sz w:val="24"/>
          <w:lang w:eastAsia="zh-CN"/>
        </w:rPr>
        <w:t>；</w:t>
      </w:r>
      <w:r>
        <w:rPr>
          <w:rFonts w:hint="eastAsia" w:ascii="仿宋" w:hAnsi="仿宋" w:eastAsia="仿宋" w:cs="Times New Roman"/>
          <w:color w:val="auto"/>
          <w:kern w:val="2"/>
          <w:sz w:val="24"/>
          <w:lang w:eastAsia="zh-CN"/>
        </w:rPr>
        <w:t>乙方须将货物运至交货地点交甲方联系人签收确认方为有效。非本合同约定甲方联系人签收的送货单，视为甲方未收到相应货物，对甲方不具有效力。</w:t>
      </w:r>
    </w:p>
    <w:p w14:paraId="6DE097B9">
      <w:pPr>
        <w:keepNext w:val="0"/>
        <w:keepLines w:val="0"/>
        <w:pageBreakBefore w:val="0"/>
        <w:framePr w:wrap="auto" w:vAnchor="margin" w:hAnchor="text" w:yAlign="inline"/>
        <w:widowControl w:val="0"/>
        <w:kinsoku/>
        <w:wordWrap/>
        <w:overflowPunct/>
        <w:topLinePunct w:val="0"/>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6</w:t>
      </w:r>
      <w:r>
        <w:rPr>
          <w:rFonts w:hint="eastAsia" w:ascii="仿宋" w:hAnsi="仿宋" w:eastAsia="仿宋" w:cs="宋体"/>
          <w:bCs/>
          <w:color w:val="auto"/>
          <w:kern w:val="2"/>
          <w:sz w:val="24"/>
          <w:lang w:eastAsia="zh-CN"/>
        </w:rPr>
        <w:t>、每批砼供应，乙方需提供砼配料单。</w:t>
      </w:r>
    </w:p>
    <w:p w14:paraId="0F69530D">
      <w:pPr>
        <w:keepNext w:val="0"/>
        <w:keepLines w:val="0"/>
        <w:pageBreakBefore w:val="0"/>
        <w:framePr w:wrap="auto" w:vAnchor="margin" w:hAnchor="text" w:yAlign="inline"/>
        <w:widowControl w:val="0"/>
        <w:kinsoku/>
        <w:wordWrap/>
        <w:overflowPunct/>
        <w:topLinePunct w:val="0"/>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7</w:t>
      </w:r>
      <w:r>
        <w:rPr>
          <w:rFonts w:hint="eastAsia" w:ascii="仿宋" w:hAnsi="仿宋" w:eastAsia="仿宋" w:cs="宋体"/>
          <w:bCs/>
          <w:color w:val="auto"/>
          <w:kern w:val="2"/>
          <w:sz w:val="24"/>
          <w:lang w:eastAsia="zh-CN"/>
        </w:rPr>
        <w:t>、供应商应建立健全质量保证体系，严格按国家标准和规范组织生产，根据合同和甲方通知要求，保质、保量、按时完成混凝土生产供应任务。配合比(如需配合比验证，按需方设计要求选材，避免因验证所需时间和供货时间冲突)经甲方验证后，不可随意调整，如需调整应提前</w:t>
      </w:r>
      <w:r>
        <w:rPr>
          <w:rFonts w:ascii="仿宋" w:hAnsi="仿宋" w:eastAsia="仿宋" w:cs="宋体"/>
          <w:bCs/>
          <w:color w:val="auto"/>
          <w:kern w:val="2"/>
          <w:sz w:val="24"/>
          <w:u w:val="single"/>
          <w:lang w:eastAsia="zh-CN"/>
        </w:rPr>
        <w:t>1</w:t>
      </w:r>
      <w:r>
        <w:rPr>
          <w:rFonts w:hint="eastAsia" w:ascii="仿宋" w:hAnsi="仿宋" w:eastAsia="仿宋" w:cs="宋体"/>
          <w:bCs/>
          <w:color w:val="auto"/>
          <w:kern w:val="2"/>
          <w:sz w:val="24"/>
          <w:lang w:eastAsia="zh-CN"/>
        </w:rPr>
        <w:t>天通知甲方。</w:t>
      </w:r>
    </w:p>
    <w:p w14:paraId="2E42C9E3">
      <w:pPr>
        <w:keepNext w:val="0"/>
        <w:keepLines w:val="0"/>
        <w:pageBreakBefore w:val="0"/>
        <w:framePr w:wrap="auto" w:vAnchor="margin" w:hAnchor="text" w:yAlign="inline"/>
        <w:widowControl w:val="0"/>
        <w:kinsoku/>
        <w:wordWrap/>
        <w:overflowPunct/>
        <w:topLinePunct w:val="0"/>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8</w:t>
      </w:r>
      <w:r>
        <w:rPr>
          <w:rFonts w:hint="eastAsia" w:ascii="仿宋" w:hAnsi="仿宋" w:eastAsia="仿宋" w:cs="宋体"/>
          <w:bCs/>
          <w:color w:val="auto"/>
          <w:kern w:val="2"/>
          <w:sz w:val="24"/>
          <w:lang w:eastAsia="zh-CN"/>
        </w:rPr>
        <w:t>、乙方负责按国家规范设计商品混凝土的配合比，同一部位的混凝土必须使用同一配比并采用同一品种规格的原材料。乙方应及时按不同混凝土品种等级向甲方提供商品混凝土出厂质量证明书和产品使用说明书，及时提供全部有关技术资料。</w:t>
      </w:r>
    </w:p>
    <w:p w14:paraId="164A422A">
      <w:pPr>
        <w:keepNext w:val="0"/>
        <w:keepLines w:val="0"/>
        <w:pageBreakBefore w:val="0"/>
        <w:framePr w:wrap="auto" w:vAnchor="margin" w:hAnchor="text" w:yAlign="inline"/>
        <w:widowControl w:val="0"/>
        <w:kinsoku/>
        <w:wordWrap/>
        <w:overflowPunct/>
        <w:topLinePunct w:val="0"/>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9</w:t>
      </w:r>
      <w:r>
        <w:rPr>
          <w:rFonts w:hint="eastAsia" w:ascii="仿宋" w:hAnsi="仿宋" w:eastAsia="仿宋" w:cs="宋体"/>
          <w:bCs/>
          <w:color w:val="auto"/>
          <w:kern w:val="2"/>
          <w:sz w:val="24"/>
          <w:lang w:eastAsia="zh-CN"/>
        </w:rPr>
        <w:t>、乙方应积极配合甲方对混凝土质量和供应量的抽查，出现争议时，乙方应及时派员进行协商处理。如因供应方原因造成甲方出现质量问题，供应方应该承担赔偿责任。</w:t>
      </w:r>
    </w:p>
    <w:p w14:paraId="72B178F0">
      <w:pPr>
        <w:keepNext w:val="0"/>
        <w:keepLines w:val="0"/>
        <w:pageBreakBefore w:val="0"/>
        <w:framePr w:wrap="auto" w:vAnchor="margin" w:hAnchor="text" w:yAlign="inline"/>
        <w:widowControl w:val="0"/>
        <w:kinsoku/>
        <w:wordWrap/>
        <w:overflowPunct/>
        <w:topLinePunct w:val="0"/>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10</w:t>
      </w:r>
      <w:r>
        <w:rPr>
          <w:rFonts w:hint="eastAsia" w:ascii="仿宋" w:hAnsi="仿宋" w:eastAsia="仿宋" w:cs="宋体"/>
          <w:bCs/>
          <w:color w:val="auto"/>
          <w:kern w:val="2"/>
          <w:sz w:val="24"/>
          <w:lang w:eastAsia="zh-CN"/>
        </w:rPr>
        <w:t>、如甲方有不按合同约定支付货款等违约行为，乙方应积极进行协商。在协商期间不能因故减少车辆供应或不提供混凝土；如协商未果，可在提前</w:t>
      </w:r>
      <w:r>
        <w:rPr>
          <w:rFonts w:ascii="仿宋" w:hAnsi="仿宋" w:eastAsia="仿宋" w:cs="宋体"/>
          <w:bCs/>
          <w:color w:val="auto"/>
          <w:kern w:val="2"/>
          <w:sz w:val="24"/>
          <w:lang w:eastAsia="zh-CN"/>
        </w:rPr>
        <w:t xml:space="preserve"> 15</w:t>
      </w:r>
      <w:r>
        <w:rPr>
          <w:rFonts w:hint="eastAsia" w:ascii="仿宋" w:hAnsi="仿宋" w:eastAsia="仿宋" w:cs="宋体"/>
          <w:bCs/>
          <w:color w:val="auto"/>
          <w:kern w:val="2"/>
          <w:sz w:val="24"/>
          <w:lang w:eastAsia="zh-CN"/>
        </w:rPr>
        <w:t>天书面通知甲方的情况下，停止向甲方供应混凝土。</w:t>
      </w:r>
    </w:p>
    <w:p w14:paraId="60FE880D">
      <w:pPr>
        <w:keepNext w:val="0"/>
        <w:keepLines w:val="0"/>
        <w:pageBreakBefore w:val="0"/>
        <w:framePr w:wrap="auto" w:vAnchor="margin" w:hAnchor="text" w:yAlign="inline"/>
        <w:widowControl w:val="0"/>
        <w:kinsoku/>
        <w:wordWrap/>
        <w:overflowPunct/>
        <w:topLinePunct w:val="0"/>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11</w:t>
      </w:r>
      <w:r>
        <w:rPr>
          <w:rFonts w:hint="eastAsia" w:ascii="仿宋" w:hAnsi="仿宋" w:eastAsia="仿宋" w:cs="宋体"/>
          <w:bCs/>
          <w:color w:val="auto"/>
          <w:kern w:val="2"/>
          <w:sz w:val="24"/>
          <w:lang w:eastAsia="zh-CN"/>
        </w:rPr>
        <w:t>、乙方在每次浇筑砼超过</w:t>
      </w:r>
      <w:r>
        <w:rPr>
          <w:rFonts w:ascii="仿宋" w:hAnsi="仿宋" w:eastAsia="仿宋" w:cs="宋体"/>
          <w:bCs/>
          <w:color w:val="auto"/>
          <w:kern w:val="2"/>
          <w:sz w:val="24"/>
          <w:lang w:eastAsia="zh-CN"/>
        </w:rPr>
        <w:t>80</w:t>
      </w:r>
      <w:r>
        <w:rPr>
          <w:rFonts w:hint="eastAsia" w:ascii="仿宋" w:hAnsi="仿宋" w:eastAsia="仿宋" w:cs="宋体"/>
          <w:bCs/>
          <w:color w:val="auto"/>
          <w:kern w:val="2"/>
          <w:sz w:val="24"/>
          <w:lang w:eastAsia="zh-CN"/>
        </w:rPr>
        <w:t>方时，必须派技术人员到现场监督指导，对浇砼情况、塌落度、试件制作等进行检测、指导等，大体积混凝土或关键部位浇筑，公司副总及技术人员到现场指挥协调，确保供应。</w:t>
      </w:r>
    </w:p>
    <w:p w14:paraId="50765681">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Cs/>
          <w:color w:val="auto"/>
          <w:kern w:val="2"/>
          <w:sz w:val="24"/>
          <w:lang w:eastAsia="zh-CN"/>
        </w:rPr>
      </w:pPr>
      <w:r>
        <w:rPr>
          <w:rFonts w:ascii="仿宋" w:hAnsi="仿宋" w:eastAsia="仿宋" w:cs="宋体"/>
          <w:bCs/>
          <w:color w:val="auto"/>
          <w:kern w:val="2"/>
          <w:sz w:val="24"/>
          <w:lang w:eastAsia="zh-CN"/>
        </w:rPr>
        <w:t>12</w:t>
      </w:r>
      <w:r>
        <w:rPr>
          <w:rFonts w:hint="eastAsia" w:ascii="仿宋" w:hAnsi="仿宋" w:eastAsia="仿宋" w:cs="宋体"/>
          <w:bCs/>
          <w:color w:val="auto"/>
          <w:kern w:val="2"/>
          <w:sz w:val="24"/>
          <w:lang w:eastAsia="zh-CN"/>
        </w:rPr>
        <w:t>、砼车到达工地现场后，甲方应按中华人民共和国颁发的现行《预拌混凝土》检验标准进行取样，甲方留取试件应按规范要求派持有上岗证的技术人员负责取样、制作（砼取样应在每车卸料</w:t>
      </w:r>
      <w:r>
        <w:rPr>
          <w:rFonts w:ascii="仿宋" w:hAnsi="仿宋" w:eastAsia="仿宋" w:cs="宋体"/>
          <w:bCs/>
          <w:color w:val="auto"/>
          <w:kern w:val="2"/>
          <w:sz w:val="24"/>
          <w:lang w:eastAsia="zh-CN"/>
        </w:rPr>
        <w:t>1/4</w:t>
      </w: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3/4</w:t>
      </w:r>
      <w:r>
        <w:rPr>
          <w:rFonts w:hint="eastAsia" w:ascii="仿宋" w:hAnsi="仿宋" w:eastAsia="仿宋" w:cs="宋体"/>
          <w:bCs/>
          <w:color w:val="auto"/>
          <w:kern w:val="2"/>
          <w:sz w:val="24"/>
          <w:lang w:eastAsia="zh-CN"/>
        </w:rPr>
        <w:t>中间抽取）。送检的试块应送到当地有相关资</w:t>
      </w:r>
      <w:r>
        <w:rPr>
          <w:rFonts w:hint="eastAsia" w:ascii="仿宋" w:hAnsi="仿宋" w:eastAsia="仿宋" w:cs="仿宋"/>
          <w:bCs/>
          <w:color w:val="auto"/>
          <w:kern w:val="2"/>
          <w:sz w:val="24"/>
          <w:lang w:eastAsia="zh-CN"/>
        </w:rPr>
        <w:t>质的质检站进行检测，并按国家颁发的现行《混凝土强度检验评定标准》进行检验且检验合格，由此产生的检测费用由甲方承担，检验合格结果作为验收砼的质量依据。</w:t>
      </w:r>
    </w:p>
    <w:p w14:paraId="504B7F57">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Cs/>
          <w:color w:val="auto"/>
          <w:kern w:val="2"/>
          <w:sz w:val="24"/>
          <w:lang w:eastAsia="zh-CN"/>
        </w:rPr>
      </w:pPr>
      <w:r>
        <w:rPr>
          <w:rFonts w:hint="eastAsia" w:ascii="仿宋" w:hAnsi="仿宋" w:eastAsia="仿宋" w:cs="仿宋"/>
          <w:bCs/>
          <w:color w:val="auto"/>
          <w:kern w:val="2"/>
          <w:sz w:val="24"/>
          <w:lang w:eastAsia="zh-CN"/>
        </w:rPr>
        <w:t>13、混凝土已报计划的情况下，混凝土浇筑当天，乙方的混凝土搅拌车应在甲方要求时间准时到场。乙方需根据现场施工实际情况及路途行车情况合理安排出车，如果拖延45分钟后到场（含浇筑过程中的报料），甲方有权处以乙方500元/车/次的罚款（不可抗力因素造成未能按时到达的除外。）。如由于乙方计划出车或路途堵车原因同时到场造成积压，责任由乙方负责。</w:t>
      </w:r>
    </w:p>
    <w:p w14:paraId="49438919">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kern w:val="2"/>
          <w:sz w:val="24"/>
          <w:lang w:eastAsia="zh-CN"/>
        </w:rPr>
      </w:pPr>
      <w:r>
        <w:rPr>
          <w:rFonts w:hint="eastAsia" w:ascii="仿宋" w:hAnsi="仿宋" w:eastAsia="仿宋" w:cs="仿宋"/>
          <w:b/>
          <w:color w:val="auto"/>
          <w:kern w:val="2"/>
          <w:sz w:val="24"/>
          <w:lang w:eastAsia="zh-CN"/>
        </w:rPr>
        <w:t>四、甲方责任</w:t>
      </w:r>
    </w:p>
    <w:p w14:paraId="0E487291">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Cs/>
          <w:color w:val="auto"/>
          <w:kern w:val="2"/>
          <w:sz w:val="24"/>
          <w:lang w:eastAsia="zh-CN"/>
        </w:rPr>
      </w:pPr>
      <w:r>
        <w:rPr>
          <w:rFonts w:hint="eastAsia" w:ascii="仿宋" w:hAnsi="仿宋" w:eastAsia="仿宋" w:cs="仿宋"/>
          <w:bCs/>
          <w:color w:val="auto"/>
          <w:kern w:val="2"/>
          <w:sz w:val="24"/>
          <w:lang w:eastAsia="zh-CN"/>
        </w:rPr>
        <w:t>1、甲方一般应在砼浇灌前12小时用电话或传真向乙方报送次日砼的《用料计划》（含混凝土数量、级别、塌落度、浇灌部位、要求到达时间、输送方式、质量要求等），具体要求到货时间以提前3小时的通知（可为电话通知）为准。如有计划有变化，也应于计划到货时间前2小时通知乙方。计划明确混凝土数量、级别、浇灌部位、要求到达时间等，以便乙方做好原材料的组织工作及供砼的准备工作。甲方每次报用混凝土计划前应准确计算所需砼量，因甲方计算误差造成乙方按计划送料超出实际需要时，甲方应确认乙方送的砼数量。因甲方迟报计划造成未能按甲方要求送料到工地由甲方负责。</w:t>
      </w:r>
    </w:p>
    <w:p w14:paraId="5BB156B8">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Cs/>
          <w:color w:val="auto"/>
          <w:kern w:val="2"/>
          <w:sz w:val="24"/>
          <w:lang w:eastAsia="zh-CN"/>
        </w:rPr>
      </w:pPr>
      <w:r>
        <w:rPr>
          <w:rFonts w:hint="eastAsia" w:ascii="仿宋" w:hAnsi="仿宋" w:eastAsia="仿宋" w:cs="仿宋"/>
          <w:bCs/>
          <w:color w:val="auto"/>
          <w:kern w:val="2"/>
          <w:sz w:val="24"/>
          <w:lang w:eastAsia="zh-CN"/>
        </w:rPr>
        <w:t>2、甲方应在建筑工地为商品混凝土的运输、使用提供必备的条件，保证施工现场道路畅通，有必要的供水、照明等设施和停车场地，并安排专人在现场负责调度指挥，保证车辆和随车人员顺利进出工地。</w:t>
      </w:r>
    </w:p>
    <w:p w14:paraId="2690F6C4">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Cs/>
          <w:color w:val="auto"/>
          <w:kern w:val="2"/>
          <w:sz w:val="24"/>
          <w:lang w:eastAsia="zh-CN"/>
        </w:rPr>
      </w:pPr>
      <w:r>
        <w:rPr>
          <w:rFonts w:hint="eastAsia" w:ascii="仿宋" w:hAnsi="仿宋" w:eastAsia="仿宋" w:cs="仿宋"/>
          <w:bCs/>
          <w:color w:val="auto"/>
          <w:kern w:val="2"/>
          <w:sz w:val="24"/>
          <w:lang w:eastAsia="zh-CN"/>
        </w:rPr>
        <w:t>3、每批次使用混凝土到达后需要在2小时内办完验收手续并完成卸料，卸料时间超过2小时/车，每车须加收150元燃油费。</w:t>
      </w:r>
    </w:p>
    <w:p w14:paraId="6C421829">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Cs/>
          <w:color w:val="auto"/>
          <w:kern w:val="2"/>
          <w:sz w:val="24"/>
          <w:lang w:eastAsia="zh-CN"/>
        </w:rPr>
      </w:pPr>
      <w:r>
        <w:rPr>
          <w:rFonts w:hint="eastAsia" w:ascii="仿宋" w:hAnsi="仿宋" w:eastAsia="仿宋" w:cs="仿宋"/>
          <w:bCs/>
          <w:color w:val="auto"/>
          <w:kern w:val="2"/>
          <w:sz w:val="24"/>
          <w:lang w:eastAsia="zh-CN"/>
        </w:rPr>
        <w:t>4、甲方人员不得对砼加水或加入其它掺合料，因甲方人员随意对砼加水或加入其它掺合料且导致混凝土质量不合格，责任由甲方承担。</w:t>
      </w:r>
    </w:p>
    <w:p w14:paraId="23C8E37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5、甲方指定收货人：</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仿宋"/>
          <w:color w:val="auto"/>
          <w:kern w:val="2"/>
          <w:sz w:val="24"/>
          <w:szCs w:val="24"/>
          <w:lang w:val="en-US" w:eastAsia="zh-CN" w:bidi="ar-SA"/>
        </w:rPr>
        <w:t>，身份证号：</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仿宋"/>
          <w:color w:val="auto"/>
          <w:kern w:val="2"/>
          <w:sz w:val="24"/>
          <w:szCs w:val="24"/>
          <w:lang w:val="en-US" w:eastAsia="zh-CN" w:bidi="ar-SA"/>
        </w:rPr>
        <w:t>，联系电话</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；甲方收货联系人仅有权对乙方送货单中的数量予以确认，无权对货物价款以及最终结算单进行确认。</w:t>
      </w:r>
    </w:p>
    <w:p w14:paraId="65C72F1D">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kern w:val="2"/>
          <w:sz w:val="24"/>
          <w:lang w:eastAsia="zh-CN"/>
        </w:rPr>
      </w:pPr>
      <w:r>
        <w:rPr>
          <w:rFonts w:hint="eastAsia" w:ascii="仿宋" w:hAnsi="仿宋" w:eastAsia="仿宋" w:cs="仿宋"/>
          <w:b/>
          <w:color w:val="auto"/>
          <w:kern w:val="2"/>
          <w:sz w:val="24"/>
          <w:lang w:eastAsia="zh-CN"/>
        </w:rPr>
        <w:t>五、混凝土量验收办法</w:t>
      </w:r>
    </w:p>
    <w:p w14:paraId="1D27C840">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hint="eastAsia" w:ascii="仿宋" w:hAnsi="仿宋" w:eastAsia="仿宋" w:cs="仿宋"/>
          <w:bCs/>
          <w:color w:val="auto"/>
          <w:kern w:val="2"/>
          <w:sz w:val="24"/>
          <w:lang w:eastAsia="zh-CN"/>
        </w:rPr>
        <w:t>1、甲方指定专人签收砼送货单、核对及确认每月混凝土结算表。供货数量以每</w:t>
      </w:r>
      <w:r>
        <w:rPr>
          <w:rFonts w:hint="eastAsia" w:ascii="仿宋" w:hAnsi="仿宋" w:eastAsia="仿宋" w:cs="宋体"/>
          <w:bCs/>
          <w:color w:val="auto"/>
          <w:kern w:val="2"/>
          <w:sz w:val="24"/>
          <w:lang w:eastAsia="zh-CN"/>
        </w:rPr>
        <w:t>车次送货单及每月确认的砼结算表为准。如甲方对乙方所提供的混凝土数量有疑问时，甲方采用过磅形式随机抽验乙方所供砼量（即以砼运输车的实际装砼重量除以砼配合比中确定的砼容重作为该车所载方量），经三次以上抽检平均值为抽验结果，误差为正差的视作乙方优惠而不作调整数量；为负差且超过</w:t>
      </w:r>
      <w:r>
        <w:rPr>
          <w:rFonts w:ascii="仿宋" w:hAnsi="仿宋" w:eastAsia="仿宋" w:cs="宋体"/>
          <w:bCs/>
          <w:color w:val="auto"/>
          <w:kern w:val="2"/>
          <w:sz w:val="24"/>
          <w:lang w:eastAsia="zh-CN"/>
        </w:rPr>
        <w:t>2</w:t>
      </w:r>
      <w:r>
        <w:rPr>
          <w:rFonts w:hint="eastAsia" w:ascii="仿宋" w:hAnsi="仿宋" w:eastAsia="仿宋" w:cs="宋体"/>
          <w:bCs/>
          <w:color w:val="auto"/>
          <w:kern w:val="2"/>
          <w:sz w:val="24"/>
          <w:lang w:eastAsia="zh-CN"/>
        </w:rPr>
        <w:t>％的，则当日批次所有砼数量按本次抽验相差百分比减扣调整供应数量。（负差即为抽验过磅装载量小于送货单确定量，反之为正差）。</w:t>
      </w:r>
    </w:p>
    <w:p w14:paraId="09B06E5B">
      <w:pPr>
        <w:framePr w:wrap="auto" w:vAnchor="margin" w:hAnchor="text" w:yAlign="inline"/>
        <w:widowControl w:val="0"/>
        <w:spacing w:line="360" w:lineRule="auto"/>
        <w:ind w:firstLine="480" w:firstLineChars="200"/>
        <w:jc w:val="both"/>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2</w:t>
      </w:r>
      <w:r>
        <w:rPr>
          <w:rFonts w:hint="eastAsia" w:ascii="仿宋" w:hAnsi="仿宋" w:eastAsia="仿宋" w:cs="宋体"/>
          <w:bCs/>
          <w:color w:val="auto"/>
          <w:kern w:val="2"/>
          <w:sz w:val="24"/>
          <w:lang w:eastAsia="zh-CN"/>
        </w:rPr>
        <w:t>、甲方每次浇捣的砼尾数只能有一车不足</w:t>
      </w:r>
      <w:r>
        <w:rPr>
          <w:rFonts w:ascii="仿宋" w:hAnsi="仿宋" w:eastAsia="仿宋" w:cs="宋体"/>
          <w:bCs/>
          <w:color w:val="auto"/>
          <w:kern w:val="2"/>
          <w:sz w:val="24"/>
          <w:lang w:eastAsia="zh-CN"/>
        </w:rPr>
        <w:t>5m</w:t>
      </w:r>
      <w:r>
        <w:rPr>
          <w:rFonts w:ascii="仿宋" w:hAnsi="仿宋" w:eastAsia="仿宋" w:cs="宋体"/>
          <w:bCs/>
          <w:color w:val="auto"/>
          <w:kern w:val="2"/>
          <w:sz w:val="24"/>
          <w:vertAlign w:val="superscript"/>
          <w:lang w:eastAsia="zh-CN"/>
        </w:rPr>
        <w:t>3</w:t>
      </w:r>
      <w:r>
        <w:rPr>
          <w:rFonts w:hint="eastAsia" w:ascii="仿宋" w:hAnsi="仿宋" w:eastAsia="仿宋" w:cs="宋体"/>
          <w:bCs/>
          <w:color w:val="auto"/>
          <w:kern w:val="2"/>
          <w:sz w:val="24"/>
          <w:lang w:eastAsia="zh-CN"/>
        </w:rPr>
        <w:t>，超过一车以上，乙方每车另向甲方收取</w:t>
      </w:r>
      <w:r>
        <w:rPr>
          <w:rFonts w:ascii="仿宋" w:hAnsi="仿宋" w:eastAsia="仿宋" w:cs="宋体"/>
          <w:bCs/>
          <w:color w:val="auto"/>
          <w:kern w:val="2"/>
          <w:sz w:val="24"/>
          <w:lang w:eastAsia="zh-CN"/>
        </w:rPr>
        <w:t>100</w:t>
      </w:r>
      <w:r>
        <w:rPr>
          <w:rFonts w:hint="eastAsia" w:ascii="仿宋" w:hAnsi="仿宋" w:eastAsia="仿宋" w:cs="宋体"/>
          <w:bCs/>
          <w:color w:val="auto"/>
          <w:kern w:val="2"/>
          <w:sz w:val="24"/>
          <w:lang w:eastAsia="zh-CN"/>
        </w:rPr>
        <w:t>元运费。二次结构时可有两车补料免费。</w:t>
      </w:r>
    </w:p>
    <w:p w14:paraId="2C209369">
      <w:pPr>
        <w:framePr w:wrap="auto" w:vAnchor="margin" w:hAnchor="text" w:yAlign="inline"/>
        <w:widowControl w:val="0"/>
        <w:spacing w:line="360" w:lineRule="auto"/>
        <w:ind w:firstLine="482" w:firstLineChars="200"/>
        <w:jc w:val="both"/>
        <w:rPr>
          <w:rFonts w:hint="eastAsia" w:ascii="仿宋" w:hAnsi="仿宋" w:eastAsia="仿宋" w:cs="宋体"/>
          <w:b/>
          <w:color w:val="auto"/>
          <w:kern w:val="2"/>
          <w:sz w:val="24"/>
          <w:lang w:eastAsia="zh-CN"/>
        </w:rPr>
      </w:pPr>
      <w:r>
        <w:rPr>
          <w:rFonts w:hint="eastAsia" w:ascii="仿宋" w:hAnsi="仿宋" w:eastAsia="仿宋" w:cs="宋体"/>
          <w:b/>
          <w:color w:val="auto"/>
          <w:kern w:val="2"/>
          <w:sz w:val="24"/>
          <w:lang w:eastAsia="zh-CN"/>
        </w:rPr>
        <w:t>六、商品混凝土质量标准及资料要求</w:t>
      </w:r>
    </w:p>
    <w:p w14:paraId="141C139B">
      <w:pPr>
        <w:framePr w:wrap="auto" w:vAnchor="margin" w:hAnchor="text" w:yAlign="inline"/>
        <w:widowControl w:val="0"/>
        <w:spacing w:line="360" w:lineRule="auto"/>
        <w:ind w:firstLine="480" w:firstLineChars="200"/>
        <w:jc w:val="both"/>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1</w:t>
      </w:r>
      <w:r>
        <w:rPr>
          <w:rFonts w:hint="eastAsia" w:ascii="仿宋" w:hAnsi="仿宋" w:eastAsia="仿宋" w:cs="宋体"/>
          <w:bCs/>
          <w:color w:val="auto"/>
          <w:kern w:val="2"/>
          <w:sz w:val="24"/>
          <w:lang w:eastAsia="zh-CN"/>
        </w:rPr>
        <w:t>、质量标准和技术要求：乙方提供的混凝土及使用之原材料，其质量应符合国家标准</w:t>
      </w:r>
      <w:r>
        <w:rPr>
          <w:rFonts w:ascii="仿宋" w:hAnsi="仿宋" w:eastAsia="仿宋" w:cs="宋体"/>
          <w:bCs/>
          <w:color w:val="auto"/>
          <w:kern w:val="2"/>
          <w:sz w:val="24"/>
          <w:lang w:eastAsia="zh-CN"/>
        </w:rPr>
        <w:t>GB/T14902-2012</w:t>
      </w:r>
      <w:r>
        <w:rPr>
          <w:rFonts w:hint="eastAsia" w:ascii="仿宋" w:hAnsi="仿宋" w:eastAsia="仿宋" w:cs="宋体"/>
          <w:bCs/>
          <w:color w:val="auto"/>
          <w:kern w:val="2"/>
          <w:sz w:val="24"/>
          <w:lang w:eastAsia="zh-CN"/>
        </w:rPr>
        <w:t>《预拌混凝土》及其所引用的相关技术标准。乙方应随车附送商品混凝土的发货单及按批次提供货物配料通知单，</w:t>
      </w:r>
      <w:r>
        <w:rPr>
          <w:rFonts w:ascii="仿宋" w:hAnsi="仿宋" w:eastAsia="仿宋" w:cs="宋体"/>
          <w:bCs/>
          <w:color w:val="auto"/>
          <w:kern w:val="2"/>
          <w:sz w:val="24"/>
          <w:lang w:eastAsia="zh-CN"/>
        </w:rPr>
        <w:t>28</w:t>
      </w:r>
      <w:r>
        <w:rPr>
          <w:rFonts w:hint="eastAsia" w:ascii="仿宋" w:hAnsi="仿宋" w:eastAsia="仿宋" w:cs="宋体"/>
          <w:bCs/>
          <w:color w:val="auto"/>
          <w:kern w:val="2"/>
          <w:sz w:val="24"/>
          <w:lang w:eastAsia="zh-CN"/>
        </w:rPr>
        <w:t>天强度报告在货物到货后</w:t>
      </w:r>
      <w:r>
        <w:rPr>
          <w:rFonts w:ascii="仿宋" w:hAnsi="仿宋" w:eastAsia="仿宋" w:cs="宋体"/>
          <w:bCs/>
          <w:color w:val="auto"/>
          <w:kern w:val="2"/>
          <w:sz w:val="24"/>
          <w:lang w:eastAsia="zh-CN"/>
        </w:rPr>
        <w:t>30</w:t>
      </w:r>
      <w:r>
        <w:rPr>
          <w:rFonts w:hint="eastAsia" w:ascii="仿宋" w:hAnsi="仿宋" w:eastAsia="仿宋" w:cs="宋体"/>
          <w:bCs/>
          <w:color w:val="auto"/>
          <w:kern w:val="2"/>
          <w:sz w:val="24"/>
          <w:lang w:eastAsia="zh-CN"/>
        </w:rPr>
        <w:t>天内补交给甲方。</w:t>
      </w:r>
    </w:p>
    <w:p w14:paraId="19DD261D">
      <w:pPr>
        <w:framePr w:wrap="auto" w:vAnchor="margin" w:hAnchor="text" w:yAlign="inline"/>
        <w:widowControl w:val="0"/>
        <w:spacing w:line="360" w:lineRule="auto"/>
        <w:ind w:firstLine="480" w:firstLineChars="200"/>
        <w:jc w:val="both"/>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2</w:t>
      </w:r>
      <w:r>
        <w:rPr>
          <w:rFonts w:hint="eastAsia" w:ascii="仿宋" w:hAnsi="仿宋" w:eastAsia="仿宋" w:cs="宋体"/>
          <w:bCs/>
          <w:color w:val="auto"/>
          <w:kern w:val="2"/>
          <w:sz w:val="24"/>
          <w:lang w:eastAsia="zh-CN"/>
        </w:rPr>
        <w:t>、检验：由现场施工单位和驻地监理，按国家标准</w:t>
      </w:r>
      <w:r>
        <w:rPr>
          <w:rFonts w:ascii="仿宋" w:hAnsi="仿宋" w:eastAsia="仿宋" w:cs="宋体"/>
          <w:bCs/>
          <w:color w:val="auto"/>
          <w:kern w:val="2"/>
          <w:sz w:val="24"/>
          <w:lang w:eastAsia="zh-CN"/>
        </w:rPr>
        <w:t>GB50204-2015</w:t>
      </w:r>
      <w:r>
        <w:rPr>
          <w:rFonts w:hint="eastAsia" w:ascii="仿宋" w:hAnsi="仿宋" w:eastAsia="仿宋" w:cs="宋体"/>
          <w:bCs/>
          <w:color w:val="auto"/>
          <w:kern w:val="2"/>
          <w:sz w:val="24"/>
          <w:lang w:eastAsia="zh-CN"/>
        </w:rPr>
        <w:t>《混凝土结构工程施工及验收规范》进行现场初验。现场初验主要指混凝土的塌落度、入模温度及外观等检测。初验不符合要求的，且乙方现场调整无效，甲方有权利要求退货。</w:t>
      </w:r>
    </w:p>
    <w:p w14:paraId="2A575552">
      <w:pPr>
        <w:framePr w:wrap="auto" w:vAnchor="margin" w:hAnchor="text" w:yAlign="inline"/>
        <w:widowControl w:val="0"/>
        <w:spacing w:line="360" w:lineRule="auto"/>
        <w:ind w:firstLine="480" w:firstLineChars="200"/>
        <w:jc w:val="both"/>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3</w:t>
      </w:r>
      <w:r>
        <w:rPr>
          <w:rFonts w:hint="eastAsia" w:ascii="仿宋" w:hAnsi="仿宋" w:eastAsia="仿宋" w:cs="宋体"/>
          <w:bCs/>
          <w:color w:val="auto"/>
          <w:kern w:val="2"/>
          <w:sz w:val="24"/>
          <w:lang w:eastAsia="zh-CN"/>
        </w:rPr>
        <w:t>、商品混凝土运抵施工现场时，在乙方见证下，由甲方持有相应的技术人员按现行规范要求现场制作、养护试块，并负责送有资质的工程检测机构进行检测及承担相关费用，检测结果作为混凝土强度等级评定依据。</w:t>
      </w:r>
    </w:p>
    <w:p w14:paraId="0309988A">
      <w:pPr>
        <w:framePr w:wrap="auto" w:vAnchor="margin" w:hAnchor="text" w:yAlign="inline"/>
        <w:widowControl w:val="0"/>
        <w:spacing w:line="360" w:lineRule="auto"/>
        <w:ind w:firstLine="480" w:firstLineChars="200"/>
        <w:jc w:val="both"/>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4</w:t>
      </w:r>
      <w:r>
        <w:rPr>
          <w:rFonts w:hint="eastAsia" w:ascii="仿宋" w:hAnsi="仿宋" w:eastAsia="仿宋" w:cs="宋体"/>
          <w:bCs/>
          <w:color w:val="auto"/>
          <w:kern w:val="2"/>
          <w:sz w:val="24"/>
          <w:lang w:eastAsia="zh-CN"/>
        </w:rPr>
        <w:t>、每批随车资料，包括但不仅限于：外加剂物理性能检验报告及产品质量证明文件、混凝土配合比设计报告、商品混凝土产品质量证明、混凝土搅拌质量记录、混凝土生产信息登记回执等。</w:t>
      </w:r>
    </w:p>
    <w:p w14:paraId="36D4B069">
      <w:pPr>
        <w:framePr w:wrap="auto" w:vAnchor="margin" w:hAnchor="text" w:yAlign="inline"/>
        <w:widowControl w:val="0"/>
        <w:spacing w:line="360" w:lineRule="auto"/>
        <w:ind w:firstLine="480" w:firstLineChars="200"/>
        <w:jc w:val="both"/>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5</w:t>
      </w:r>
      <w:r>
        <w:rPr>
          <w:rFonts w:hint="eastAsia" w:ascii="仿宋" w:hAnsi="仿宋" w:eastAsia="仿宋" w:cs="宋体"/>
          <w:bCs/>
          <w:color w:val="auto"/>
          <w:kern w:val="2"/>
          <w:sz w:val="24"/>
          <w:lang w:eastAsia="zh-CN"/>
        </w:rPr>
        <w:t>、结算款项前，乙方须交接好所有验收资料</w:t>
      </w:r>
      <w:r>
        <w:rPr>
          <w:rFonts w:ascii="仿宋" w:hAnsi="仿宋" w:eastAsia="仿宋" w:cs="宋体"/>
          <w:bCs/>
          <w:color w:val="auto"/>
          <w:kern w:val="2"/>
          <w:sz w:val="24"/>
          <w:lang w:eastAsia="zh-CN"/>
        </w:rPr>
        <w:t>,</w:t>
      </w:r>
      <w:r>
        <w:rPr>
          <w:rFonts w:hint="eastAsia" w:ascii="仿宋" w:hAnsi="仿宋" w:eastAsia="仿宋" w:cs="宋体"/>
          <w:bCs/>
          <w:color w:val="auto"/>
          <w:kern w:val="2"/>
          <w:sz w:val="24"/>
          <w:lang w:eastAsia="zh-CN"/>
        </w:rPr>
        <w:t>包括但不仅限于：混凝土试块试验结果汇总表、混凝土抗压强度计算表、混凝土抗压强度检验报告、混凝土抗渗等级检验表等。</w:t>
      </w:r>
    </w:p>
    <w:p w14:paraId="1F1FAF86">
      <w:pPr>
        <w:framePr w:wrap="auto" w:vAnchor="margin" w:hAnchor="text" w:yAlign="inline"/>
        <w:widowControl w:val="0"/>
        <w:spacing w:line="360" w:lineRule="auto"/>
        <w:ind w:firstLine="482" w:firstLineChars="200"/>
        <w:jc w:val="both"/>
        <w:rPr>
          <w:rFonts w:hint="eastAsia" w:ascii="仿宋" w:hAnsi="仿宋" w:eastAsia="仿宋" w:cs="宋体"/>
          <w:b/>
          <w:color w:val="auto"/>
          <w:kern w:val="2"/>
          <w:sz w:val="24"/>
          <w:lang w:eastAsia="zh-CN"/>
        </w:rPr>
      </w:pPr>
      <w:r>
        <w:rPr>
          <w:rFonts w:hint="eastAsia" w:ascii="仿宋" w:hAnsi="仿宋" w:eastAsia="仿宋" w:cs="宋体"/>
          <w:b/>
          <w:color w:val="auto"/>
          <w:kern w:val="2"/>
          <w:sz w:val="24"/>
          <w:lang w:eastAsia="zh-CN"/>
        </w:rPr>
        <w:t>七、结算、付款、调价、发票约定</w:t>
      </w:r>
    </w:p>
    <w:p w14:paraId="23265572">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仿宋" w:hAnsi="仿宋" w:eastAsia="仿宋" w:cs="Times New Roman"/>
          <w:color w:val="auto"/>
          <w:kern w:val="2"/>
          <w:sz w:val="24"/>
          <w:u w:val="single"/>
          <w:lang w:val="en-US" w:eastAsia="zh-CN"/>
        </w:rPr>
      </w:pPr>
      <w:r>
        <w:rPr>
          <w:rFonts w:hint="eastAsia" w:ascii="仿宋" w:hAnsi="仿宋" w:eastAsia="仿宋" w:cs="Times New Roman"/>
          <w:color w:val="auto"/>
          <w:kern w:val="2"/>
          <w:sz w:val="24"/>
          <w:lang w:val="en-US" w:eastAsia="zh-CN"/>
        </w:rPr>
        <w:t>1、</w:t>
      </w:r>
      <w:r>
        <w:rPr>
          <w:rFonts w:hint="eastAsia" w:ascii="仿宋" w:hAnsi="仿宋" w:eastAsia="仿宋" w:cs="Times New Roman"/>
          <w:color w:val="auto"/>
          <w:kern w:val="2"/>
          <w:sz w:val="24"/>
          <w:lang w:eastAsia="zh-CN"/>
        </w:rPr>
        <w:t>本合同材料预付款金额：</w:t>
      </w:r>
      <w:r>
        <w:rPr>
          <w:rFonts w:hint="eastAsia" w:ascii="仿宋" w:hAnsi="仿宋" w:eastAsia="仿宋" w:cs="Times New Roman"/>
          <w:color w:val="auto"/>
          <w:kern w:val="2"/>
          <w:sz w:val="24"/>
          <w:u w:val="single"/>
          <w:lang w:val="en-US" w:eastAsia="zh-CN"/>
        </w:rPr>
        <w:t xml:space="preserve">                         </w:t>
      </w:r>
    </w:p>
    <w:p w14:paraId="452534BC">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cs="Times New Roman"/>
          <w:color w:val="auto"/>
          <w:kern w:val="2"/>
          <w:sz w:val="24"/>
          <w:lang w:eastAsia="zh-CN"/>
        </w:rPr>
      </w:pPr>
      <w:r>
        <w:rPr>
          <w:rFonts w:hint="eastAsia" w:ascii="仿宋" w:hAnsi="仿宋" w:eastAsia="仿宋" w:cs="Times New Roman"/>
          <w:color w:val="auto"/>
          <w:kern w:val="2"/>
          <w:sz w:val="24"/>
          <w:lang w:val="en-US" w:eastAsia="zh-CN"/>
        </w:rPr>
        <w:t>2、</w:t>
      </w:r>
      <w:r>
        <w:rPr>
          <w:rFonts w:hint="eastAsia" w:ascii="仿宋" w:hAnsi="仿宋" w:eastAsia="仿宋" w:cs="Times New Roman"/>
          <w:color w:val="auto"/>
          <w:kern w:val="2"/>
          <w:sz w:val="24"/>
          <w:lang w:eastAsia="zh-CN"/>
        </w:rPr>
        <w:t>预付款扣回：</w:t>
      </w:r>
      <w:r>
        <w:rPr>
          <w:rFonts w:hint="eastAsia" w:ascii="仿宋" w:hAnsi="仿宋" w:eastAsia="仿宋" w:cs="Times New Roman"/>
          <w:color w:val="auto"/>
          <w:kern w:val="2"/>
          <w:sz w:val="24"/>
          <w:u w:val="single"/>
          <w:lang w:val="en-US" w:eastAsia="zh-CN"/>
        </w:rPr>
        <w:t xml:space="preserve">                         </w:t>
      </w:r>
    </w:p>
    <w:p w14:paraId="5CF0AB57">
      <w:pPr>
        <w:framePr w:wrap="auto" w:vAnchor="margin" w:hAnchor="text" w:yAlign="inline"/>
        <w:widowControl w:val="0"/>
        <w:spacing w:line="360" w:lineRule="auto"/>
        <w:ind w:firstLine="480" w:firstLineChars="200"/>
        <w:jc w:val="both"/>
        <w:rPr>
          <w:rFonts w:hint="eastAsia" w:ascii="仿宋" w:hAnsi="仿宋" w:eastAsia="仿宋" w:cs="Times New Roman"/>
          <w:color w:val="auto"/>
          <w:kern w:val="2"/>
          <w:sz w:val="24"/>
          <w:lang w:eastAsia="zh-CN"/>
        </w:rPr>
      </w:pPr>
      <w:r>
        <w:rPr>
          <w:rFonts w:hint="eastAsia" w:ascii="仿宋" w:hAnsi="仿宋" w:eastAsia="仿宋" w:cs="宋体"/>
          <w:bCs/>
          <w:color w:val="auto"/>
          <w:kern w:val="2"/>
          <w:sz w:val="24"/>
          <w:lang w:val="en-US" w:eastAsia="zh-CN"/>
        </w:rPr>
        <w:t>3</w:t>
      </w:r>
      <w:r>
        <w:rPr>
          <w:rFonts w:hint="eastAsia" w:ascii="仿宋" w:hAnsi="仿宋" w:eastAsia="仿宋" w:cs="宋体"/>
          <w:bCs/>
          <w:color w:val="auto"/>
          <w:kern w:val="2"/>
          <w:sz w:val="24"/>
          <w:lang w:eastAsia="zh-CN"/>
        </w:rPr>
        <w:t>、</w:t>
      </w:r>
      <w:r>
        <w:rPr>
          <w:rFonts w:hint="eastAsia" w:ascii="仿宋" w:hAnsi="仿宋" w:eastAsia="仿宋" w:cs="Times New Roman"/>
          <w:color w:val="auto"/>
          <w:kern w:val="2"/>
          <w:sz w:val="24"/>
          <w:lang w:eastAsia="zh-CN"/>
        </w:rPr>
        <w:t>结算方式：每月结算前，甲乙双方对签收确认的送货单进行对账，核实并确认每期结算数量后进行结算；每月材料对账根据甲乙双方材料验收人员签字的单据进行汇总，对账汇总表由甲乙双方加盖公章及签名确认。甲方签名确认为项目经理，非上述人员签字盖章的，甲方不予认可。最终结算以双方签名加盖公章的汇总表为准。</w:t>
      </w:r>
    </w:p>
    <w:p w14:paraId="5263D869">
      <w:pPr>
        <w:framePr w:wrap="auto" w:vAnchor="margin" w:hAnchor="text" w:yAlign="inline"/>
        <w:widowControl w:val="0"/>
        <w:spacing w:line="360" w:lineRule="auto"/>
        <w:ind w:firstLine="480" w:firstLineChars="200"/>
        <w:jc w:val="both"/>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原则上每月</w:t>
      </w:r>
      <w:r>
        <w:rPr>
          <w:rFonts w:ascii="仿宋" w:hAnsi="仿宋" w:eastAsia="仿宋" w:cs="Times New Roman"/>
          <w:color w:val="auto"/>
          <w:kern w:val="2"/>
          <w:sz w:val="24"/>
          <w:lang w:eastAsia="zh-CN"/>
        </w:rPr>
        <w:t>25</w:t>
      </w:r>
      <w:r>
        <w:rPr>
          <w:rFonts w:hint="eastAsia" w:ascii="仿宋" w:hAnsi="仿宋" w:eastAsia="仿宋" w:cs="Times New Roman"/>
          <w:color w:val="auto"/>
          <w:kern w:val="2"/>
          <w:sz w:val="24"/>
          <w:lang w:eastAsia="zh-CN"/>
        </w:rPr>
        <w:t>日前甲方支付上月供应的混凝土货款。每月</w:t>
      </w:r>
      <w:r>
        <w:rPr>
          <w:rFonts w:ascii="仿宋" w:hAnsi="仿宋" w:eastAsia="仿宋" w:cs="Times New Roman"/>
          <w:color w:val="auto"/>
          <w:kern w:val="2"/>
          <w:sz w:val="24"/>
          <w:lang w:eastAsia="zh-CN"/>
        </w:rPr>
        <w:t>10</w:t>
      </w:r>
      <w:r>
        <w:rPr>
          <w:rFonts w:hint="eastAsia" w:ascii="仿宋" w:hAnsi="仿宋" w:eastAsia="仿宋" w:cs="Times New Roman"/>
          <w:color w:val="auto"/>
          <w:kern w:val="2"/>
          <w:sz w:val="24"/>
          <w:lang w:eastAsia="zh-CN"/>
        </w:rPr>
        <w:t>日前并自乙方发出混凝土结算表五日内，甲方对混凝土结算表中所载数量及金额进行确认，并将其中两份原件交还乙方。若对混凝土结算表中的数量、金额存在争议，甲方应在乙方发出混凝土结算表五日内以书面形式提出，否则视作认可，对有争议部分，双方本着实事求是的原则协商解决，但不影响无争议的结算确认及款项支付。</w:t>
      </w:r>
    </w:p>
    <w:p w14:paraId="122205ED">
      <w:pPr>
        <w:framePr w:wrap="auto" w:vAnchor="margin" w:hAnchor="text" w:yAlign="inline"/>
        <w:widowControl w:val="0"/>
        <w:spacing w:line="360" w:lineRule="auto"/>
        <w:ind w:firstLine="480" w:firstLineChars="200"/>
        <w:jc w:val="both"/>
        <w:rPr>
          <w:rFonts w:hint="eastAsia" w:ascii="仿宋" w:hAnsi="仿宋" w:eastAsia="仿宋" w:cs="Times New Roman"/>
          <w:color w:val="auto"/>
          <w:kern w:val="2"/>
          <w:sz w:val="24"/>
          <w:lang w:eastAsia="zh-CN"/>
        </w:rPr>
      </w:pPr>
      <w:r>
        <w:rPr>
          <w:rFonts w:hint="eastAsia" w:ascii="仿宋" w:hAnsi="仿宋" w:eastAsia="仿宋" w:cs="宋体"/>
          <w:bCs/>
          <w:color w:val="auto"/>
          <w:kern w:val="2"/>
          <w:sz w:val="24"/>
          <w:lang w:val="en-US" w:eastAsia="zh-CN"/>
        </w:rPr>
        <w:t>4</w:t>
      </w:r>
      <w:r>
        <w:rPr>
          <w:rFonts w:hint="eastAsia" w:ascii="仿宋" w:hAnsi="仿宋" w:eastAsia="仿宋" w:cs="宋体"/>
          <w:bCs/>
          <w:color w:val="auto"/>
          <w:kern w:val="2"/>
          <w:sz w:val="24"/>
          <w:lang w:eastAsia="zh-CN"/>
        </w:rPr>
        <w:t>、</w:t>
      </w:r>
      <w:r>
        <w:rPr>
          <w:rFonts w:hint="eastAsia" w:ascii="仿宋" w:hAnsi="仿宋" w:eastAsia="仿宋" w:cs="Times New Roman"/>
          <w:color w:val="auto"/>
          <w:kern w:val="2"/>
          <w:sz w:val="24"/>
          <w:lang w:eastAsia="zh-CN"/>
        </w:rPr>
        <w:t>款项支付：</w:t>
      </w:r>
    </w:p>
    <w:p w14:paraId="414A07C0">
      <w:pPr>
        <w:framePr w:wrap="auto" w:vAnchor="margin" w:hAnchor="text" w:yAlign="inline"/>
        <w:widowControl w:val="0"/>
        <w:spacing w:line="360" w:lineRule="auto"/>
        <w:ind w:firstLine="480" w:firstLineChars="200"/>
        <w:jc w:val="both"/>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1</w:t>
      </w:r>
      <w:r>
        <w:rPr>
          <w:rFonts w:hint="eastAsia" w:ascii="仿宋" w:hAnsi="仿宋" w:eastAsia="仿宋" w:cs="Times New Roman"/>
          <w:color w:val="auto"/>
          <w:kern w:val="2"/>
          <w:sz w:val="24"/>
          <w:lang w:eastAsia="zh-CN"/>
        </w:rPr>
        <w:t>）无论本合同其他条款约定的甲方向乙方支付货款的期限是否届满，甲方在收到业主支付的备料款（或工程款）前无义务向乙方垫付相应部分货款；</w:t>
      </w:r>
    </w:p>
    <w:p w14:paraId="149F797E">
      <w:pPr>
        <w:framePr w:wrap="auto" w:vAnchor="margin" w:hAnchor="text" w:yAlign="inline"/>
        <w:widowControl w:val="0"/>
        <w:spacing w:line="360" w:lineRule="auto"/>
        <w:ind w:firstLine="480" w:firstLineChars="200"/>
        <w:jc w:val="both"/>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2</w:t>
      </w:r>
      <w:r>
        <w:rPr>
          <w:rFonts w:hint="eastAsia" w:ascii="仿宋" w:hAnsi="仿宋" w:eastAsia="仿宋" w:cs="Times New Roman"/>
          <w:color w:val="auto"/>
          <w:kern w:val="2"/>
          <w:sz w:val="24"/>
          <w:lang w:eastAsia="zh-CN"/>
        </w:rPr>
        <w:t>）甲乙双方应及时对每期计量结算进行确认，甲方无义务向乙方垫付或预付双方已确认结算量之外的货款；</w:t>
      </w:r>
    </w:p>
    <w:p w14:paraId="789B0FCD">
      <w:pPr>
        <w:framePr w:wrap="auto" w:vAnchor="margin" w:hAnchor="text" w:yAlign="inline"/>
        <w:widowControl w:val="0"/>
        <w:spacing w:line="360" w:lineRule="auto"/>
        <w:ind w:firstLine="480" w:firstLineChars="200"/>
        <w:jc w:val="both"/>
        <w:rPr>
          <w:rFonts w:hint="eastAsia" w:ascii="仿宋" w:hAnsi="仿宋" w:eastAsia="仿宋" w:cs="Times New Roman"/>
          <w:color w:val="auto"/>
          <w:kern w:val="2"/>
          <w:sz w:val="24"/>
          <w:u w:val="wave"/>
          <w:lang w:eastAsia="zh-CN"/>
        </w:rPr>
      </w:pP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3</w:t>
      </w:r>
      <w:r>
        <w:rPr>
          <w:rFonts w:hint="eastAsia" w:ascii="仿宋" w:hAnsi="仿宋" w:eastAsia="仿宋" w:cs="Times New Roman"/>
          <w:color w:val="auto"/>
          <w:kern w:val="2"/>
          <w:sz w:val="24"/>
          <w:lang w:eastAsia="zh-CN"/>
        </w:rPr>
        <w:t>）本合同涉及的所有计量支付均由甲方支付到乙方在合同约定的银行账户，无特殊情况下，甲方不接受乙方提供的任何第三方收款银行账户或委托收款；</w:t>
      </w:r>
    </w:p>
    <w:p w14:paraId="2E137DC1">
      <w:pPr>
        <w:framePr w:wrap="auto" w:vAnchor="margin" w:hAnchor="text" w:yAlign="inline"/>
        <w:widowControl w:val="0"/>
        <w:spacing w:line="360" w:lineRule="auto"/>
        <w:ind w:firstLine="480" w:firstLineChars="200"/>
        <w:jc w:val="both"/>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val="en-US" w:eastAsia="zh-CN"/>
        </w:rPr>
        <w:t>5</w:t>
      </w:r>
      <w:r>
        <w:rPr>
          <w:rFonts w:hint="eastAsia" w:ascii="仿宋" w:hAnsi="仿宋" w:eastAsia="仿宋" w:cs="Times New Roman"/>
          <w:color w:val="auto"/>
          <w:kern w:val="2"/>
          <w:sz w:val="24"/>
          <w:lang w:eastAsia="zh-CN"/>
        </w:rPr>
        <w:t>、款项支付比例：</w:t>
      </w:r>
    </w:p>
    <w:p w14:paraId="7B12CD80">
      <w:pPr>
        <w:framePr w:wrap="auto" w:vAnchor="margin" w:hAnchor="text" w:yAlign="inline"/>
        <w:widowControl w:val="0"/>
        <w:spacing w:line="360" w:lineRule="auto"/>
        <w:ind w:firstLine="480" w:firstLineChars="200"/>
        <w:jc w:val="both"/>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每期结算支付的材料款的比例为</w:t>
      </w:r>
      <w:r>
        <w:rPr>
          <w:rFonts w:ascii="仿宋" w:hAnsi="仿宋" w:eastAsia="仿宋" w:cs="Times New Roman"/>
          <w:color w:val="auto"/>
          <w:kern w:val="2"/>
          <w:sz w:val="24"/>
          <w:u w:val="single"/>
          <w:lang w:eastAsia="zh-CN"/>
        </w:rPr>
        <w:t xml:space="preserve"> </w:t>
      </w:r>
      <w:r>
        <w:rPr>
          <w:rFonts w:hint="eastAsia" w:ascii="仿宋" w:hAnsi="仿宋" w:eastAsia="仿宋" w:cs="Times New Roman"/>
          <w:color w:val="auto"/>
          <w:kern w:val="2"/>
          <w:sz w:val="24"/>
          <w:u w:val="single"/>
          <w:lang w:val="en-US" w:eastAsia="zh-CN"/>
        </w:rPr>
        <w:t xml:space="preserve"> </w:t>
      </w:r>
      <w:r>
        <w:rPr>
          <w:rFonts w:ascii="仿宋" w:hAnsi="仿宋" w:eastAsia="仿宋" w:cs="Times New Roman"/>
          <w:color w:val="auto"/>
          <w:kern w:val="2"/>
          <w:sz w:val="24"/>
          <w:u w:val="single"/>
          <w:lang w:eastAsia="zh-CN"/>
        </w:rPr>
        <w:t xml:space="preserve"> </w:t>
      </w:r>
      <w:r>
        <w:rPr>
          <w:rFonts w:ascii="仿宋" w:hAnsi="仿宋" w:eastAsia="仿宋" w:cs="Times New Roman"/>
          <w:color w:val="auto"/>
          <w:kern w:val="2"/>
          <w:sz w:val="24"/>
          <w:lang w:eastAsia="zh-CN"/>
        </w:rPr>
        <w:t>%</w:t>
      </w:r>
      <w:r>
        <w:rPr>
          <w:rFonts w:hint="eastAsia" w:ascii="仿宋" w:hAnsi="仿宋" w:eastAsia="仿宋" w:cs="Times New Roman"/>
          <w:color w:val="auto"/>
          <w:kern w:val="2"/>
          <w:sz w:val="24"/>
          <w:lang w:eastAsia="zh-CN"/>
        </w:rPr>
        <w:t>，即甲方在双方办理当期结算并签订结算书后支付当期材料款项的</w:t>
      </w:r>
      <w:r>
        <w:rPr>
          <w:rFonts w:ascii="仿宋" w:hAnsi="仿宋" w:eastAsia="仿宋" w:cs="Times New Roman"/>
          <w:color w:val="auto"/>
          <w:kern w:val="2"/>
          <w:sz w:val="24"/>
          <w:u w:val="single"/>
          <w:lang w:eastAsia="zh-CN"/>
        </w:rPr>
        <w:t xml:space="preserve"> </w:t>
      </w:r>
      <w:r>
        <w:rPr>
          <w:rFonts w:hint="eastAsia" w:ascii="仿宋" w:hAnsi="仿宋" w:eastAsia="仿宋" w:cs="Times New Roman"/>
          <w:color w:val="auto"/>
          <w:kern w:val="2"/>
          <w:sz w:val="24"/>
          <w:u w:val="single"/>
          <w:lang w:val="en-US" w:eastAsia="zh-CN"/>
        </w:rPr>
        <w:t xml:space="preserve"> </w:t>
      </w:r>
      <w:r>
        <w:rPr>
          <w:rFonts w:ascii="仿宋" w:hAnsi="仿宋" w:eastAsia="仿宋" w:cs="Times New Roman"/>
          <w:color w:val="auto"/>
          <w:kern w:val="2"/>
          <w:sz w:val="24"/>
          <w:u w:val="single"/>
          <w:lang w:eastAsia="zh-CN"/>
        </w:rPr>
        <w:t xml:space="preserve"> </w:t>
      </w:r>
      <w:r>
        <w:rPr>
          <w:rFonts w:ascii="仿宋" w:hAnsi="仿宋" w:eastAsia="仿宋" w:cs="Times New Roman"/>
          <w:color w:val="auto"/>
          <w:kern w:val="2"/>
          <w:sz w:val="24"/>
          <w:lang w:eastAsia="zh-CN"/>
        </w:rPr>
        <w:t>%</w:t>
      </w:r>
      <w:r>
        <w:rPr>
          <w:rFonts w:hint="eastAsia" w:ascii="仿宋" w:hAnsi="仿宋" w:eastAsia="仿宋" w:cs="Times New Roman"/>
          <w:color w:val="auto"/>
          <w:kern w:val="2"/>
          <w:sz w:val="24"/>
          <w:lang w:eastAsia="zh-CN"/>
        </w:rPr>
        <w:t>。在甲方工程项目竣工验收后三个月内且甲乙双方办理最终结算后（以时间后者为准）支付剩余材料款项至乙方。</w:t>
      </w:r>
    </w:p>
    <w:p w14:paraId="0DC32BE6">
      <w:pPr>
        <w:framePr w:wrap="auto" w:vAnchor="margin" w:hAnchor="text" w:yAlign="inline"/>
        <w:widowControl w:val="0"/>
        <w:spacing w:line="360" w:lineRule="auto"/>
        <w:ind w:firstLine="480" w:firstLineChars="200"/>
        <w:jc w:val="both"/>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在竣工验收前因乙方原因而需对工程进行修复所发生的费用及违约金、处罚等，甲方有权在应付款项中做相应扣款，如仍不能弥补甲方损失的，甲方可对乙方进行追偿。</w:t>
      </w:r>
    </w:p>
    <w:p w14:paraId="0702236C">
      <w:pPr>
        <w:framePr w:wrap="auto" w:vAnchor="margin" w:hAnchor="text" w:yAlign="inline"/>
        <w:widowControl w:val="0"/>
        <w:spacing w:line="360" w:lineRule="auto"/>
        <w:ind w:firstLine="480" w:firstLineChars="200"/>
        <w:jc w:val="both"/>
        <w:rPr>
          <w:rFonts w:hint="eastAsia" w:ascii="仿宋" w:hAnsi="仿宋" w:eastAsia="仿宋" w:cs="宋体"/>
          <w:bCs/>
          <w:color w:val="auto"/>
          <w:kern w:val="2"/>
          <w:sz w:val="24"/>
          <w:lang w:eastAsia="zh-CN"/>
        </w:rPr>
      </w:pPr>
      <w:r>
        <w:rPr>
          <w:rFonts w:hint="eastAsia" w:ascii="仿宋" w:hAnsi="仿宋" w:eastAsia="仿宋" w:cs="Times New Roman"/>
          <w:color w:val="auto"/>
          <w:kern w:val="2"/>
          <w:sz w:val="24"/>
          <w:lang w:val="en-US" w:eastAsia="zh-CN"/>
        </w:rPr>
        <w:t>6</w:t>
      </w:r>
      <w:r>
        <w:rPr>
          <w:rFonts w:hint="eastAsia" w:ascii="仿宋" w:hAnsi="仿宋" w:eastAsia="仿宋" w:cs="Times New Roman"/>
          <w:color w:val="auto"/>
          <w:kern w:val="2"/>
          <w:sz w:val="24"/>
          <w:lang w:eastAsia="zh-CN"/>
        </w:rPr>
        <w:t>、乙方至少应有一百</w:t>
      </w:r>
      <w:r>
        <w:rPr>
          <w:rFonts w:hint="eastAsia" w:ascii="仿宋" w:hAnsi="仿宋" w:eastAsia="仿宋" w:cs="Times New Roman"/>
          <w:color w:val="auto"/>
          <w:kern w:val="2"/>
          <w:sz w:val="24"/>
          <w:u w:val="none"/>
          <w:lang w:eastAsia="zh-CN"/>
        </w:rPr>
        <w:t>万</w:t>
      </w:r>
      <w:r>
        <w:rPr>
          <w:rFonts w:hint="eastAsia" w:ascii="仿宋" w:hAnsi="仿宋" w:eastAsia="仿宋" w:cs="Times New Roman"/>
          <w:color w:val="auto"/>
          <w:kern w:val="2"/>
          <w:sz w:val="24"/>
          <w:lang w:eastAsia="zh-CN"/>
        </w:rPr>
        <w:t>元以上的垫付能力，以确保甲方资金周转困难时，乙方能保证商品混凝土的正常供应；</w:t>
      </w:r>
    </w:p>
    <w:p w14:paraId="15BD9D46">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hint="eastAsia" w:ascii="仿宋" w:hAnsi="仿宋" w:eastAsia="仿宋" w:cs="宋体"/>
          <w:bCs/>
          <w:color w:val="auto"/>
          <w:kern w:val="2"/>
          <w:sz w:val="24"/>
          <w:lang w:val="en-US" w:eastAsia="zh-CN"/>
        </w:rPr>
        <w:t>7</w:t>
      </w:r>
      <w:r>
        <w:rPr>
          <w:rFonts w:hint="eastAsia" w:ascii="仿宋" w:hAnsi="仿宋" w:eastAsia="仿宋" w:cs="宋体"/>
          <w:bCs/>
          <w:color w:val="auto"/>
          <w:kern w:val="2"/>
          <w:sz w:val="24"/>
          <w:lang w:eastAsia="zh-CN"/>
        </w:rPr>
        <w:t>、合同混凝土价格随供料期间《当地工程造价信息》发布的混凝土信息价变化而调整，调整原则：</w:t>
      </w:r>
    </w:p>
    <w:p w14:paraId="06C042E7">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1</w:t>
      </w:r>
      <w:r>
        <w:rPr>
          <w:rFonts w:hint="eastAsia" w:ascii="仿宋" w:hAnsi="仿宋" w:eastAsia="仿宋" w:cs="宋体"/>
          <w:bCs/>
          <w:color w:val="auto"/>
          <w:kern w:val="2"/>
          <w:sz w:val="24"/>
          <w:lang w:eastAsia="zh-CN"/>
        </w:rPr>
        <w:t>）当供料期间信息价上涨或下落幅度未超过合同签订期间信息价的</w:t>
      </w:r>
      <w:r>
        <w:rPr>
          <w:rFonts w:ascii="仿宋" w:hAnsi="仿宋" w:eastAsia="仿宋" w:cs="宋体"/>
          <w:bCs/>
          <w:color w:val="auto"/>
          <w:kern w:val="2"/>
          <w:sz w:val="24"/>
          <w:lang w:eastAsia="zh-CN"/>
        </w:rPr>
        <w:t>5%</w:t>
      </w:r>
      <w:r>
        <w:rPr>
          <w:rFonts w:hint="eastAsia" w:ascii="仿宋" w:hAnsi="仿宋" w:eastAsia="仿宋" w:cs="宋体"/>
          <w:bCs/>
          <w:color w:val="auto"/>
          <w:kern w:val="2"/>
          <w:sz w:val="24"/>
          <w:lang w:eastAsia="zh-CN"/>
        </w:rPr>
        <w:t>（含</w:t>
      </w:r>
      <w:r>
        <w:rPr>
          <w:rFonts w:ascii="仿宋" w:hAnsi="仿宋" w:eastAsia="仿宋" w:cs="宋体"/>
          <w:bCs/>
          <w:color w:val="auto"/>
          <w:kern w:val="2"/>
          <w:sz w:val="24"/>
          <w:lang w:eastAsia="zh-CN"/>
        </w:rPr>
        <w:t>5%</w:t>
      </w:r>
      <w:r>
        <w:rPr>
          <w:rFonts w:hint="eastAsia" w:ascii="仿宋" w:hAnsi="仿宋" w:eastAsia="仿宋" w:cs="宋体"/>
          <w:bCs/>
          <w:color w:val="auto"/>
          <w:kern w:val="2"/>
          <w:sz w:val="24"/>
          <w:lang w:eastAsia="zh-CN"/>
        </w:rPr>
        <w:t>）时，合同混凝土价格不予调整；</w:t>
      </w:r>
    </w:p>
    <w:p w14:paraId="4BA4ACD3">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2</w:t>
      </w:r>
      <w:r>
        <w:rPr>
          <w:rFonts w:hint="eastAsia" w:ascii="仿宋" w:hAnsi="仿宋" w:eastAsia="仿宋" w:cs="宋体"/>
          <w:bCs/>
          <w:color w:val="auto"/>
          <w:kern w:val="2"/>
          <w:sz w:val="24"/>
          <w:lang w:eastAsia="zh-CN"/>
        </w:rPr>
        <w:t>）当供料期间信息价上涨或下落幅度超过合同签订期间信息价的</w:t>
      </w:r>
      <w:r>
        <w:rPr>
          <w:rFonts w:ascii="仿宋" w:hAnsi="仿宋" w:eastAsia="仿宋" w:cs="宋体"/>
          <w:bCs/>
          <w:color w:val="auto"/>
          <w:kern w:val="2"/>
          <w:sz w:val="24"/>
          <w:lang w:eastAsia="zh-CN"/>
        </w:rPr>
        <w:t>5%</w:t>
      </w:r>
      <w:r>
        <w:rPr>
          <w:rFonts w:hint="eastAsia" w:ascii="仿宋" w:hAnsi="仿宋" w:eastAsia="仿宋" w:cs="宋体"/>
          <w:bCs/>
          <w:color w:val="auto"/>
          <w:kern w:val="2"/>
          <w:sz w:val="24"/>
          <w:lang w:eastAsia="zh-CN"/>
        </w:rPr>
        <w:t>时，对超过部分价格进行调差，调差公式：</w:t>
      </w:r>
    </w:p>
    <w:p w14:paraId="649E3C33">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1</w:t>
      </w:r>
      <w:r>
        <w:rPr>
          <w:rFonts w:hint="eastAsia" w:ascii="仿宋" w:hAnsi="仿宋" w:eastAsia="仿宋" w:cs="宋体"/>
          <w:bCs/>
          <w:color w:val="auto"/>
          <w:kern w:val="2"/>
          <w:sz w:val="24"/>
          <w:lang w:eastAsia="zh-CN"/>
        </w:rPr>
        <w:t>）当信息价上涨幅度超过合同签订期间信息价的</w:t>
      </w:r>
      <w:r>
        <w:rPr>
          <w:rFonts w:ascii="仿宋" w:hAnsi="仿宋" w:eastAsia="仿宋" w:cs="宋体"/>
          <w:bCs/>
          <w:color w:val="auto"/>
          <w:kern w:val="2"/>
          <w:sz w:val="24"/>
          <w:lang w:eastAsia="zh-CN"/>
        </w:rPr>
        <w:t>5%</w:t>
      </w:r>
      <w:r>
        <w:rPr>
          <w:rFonts w:hint="eastAsia" w:ascii="仿宋" w:hAnsi="仿宋" w:eastAsia="仿宋" w:cs="宋体"/>
          <w:bCs/>
          <w:color w:val="auto"/>
          <w:kern w:val="2"/>
          <w:sz w:val="24"/>
          <w:lang w:eastAsia="zh-CN"/>
        </w:rPr>
        <w:t>，即△</w:t>
      </w:r>
      <w:r>
        <w:rPr>
          <w:rFonts w:ascii="仿宋" w:hAnsi="仿宋" w:eastAsia="仿宋" w:cs="宋体"/>
          <w:bCs/>
          <w:color w:val="auto"/>
          <w:kern w:val="2"/>
          <w:sz w:val="24"/>
          <w:lang w:eastAsia="zh-CN"/>
        </w:rPr>
        <w:t>S&gt;5%</w:t>
      </w:r>
      <w:r>
        <w:rPr>
          <w:rFonts w:hint="eastAsia" w:ascii="仿宋" w:hAnsi="仿宋" w:eastAsia="仿宋" w:cs="宋体"/>
          <w:bCs/>
          <w:color w:val="auto"/>
          <w:kern w:val="2"/>
          <w:sz w:val="24"/>
          <w:lang w:eastAsia="zh-CN"/>
        </w:rPr>
        <w:t>时：</w:t>
      </w:r>
      <w:r>
        <w:rPr>
          <w:rFonts w:ascii="仿宋" w:hAnsi="仿宋" w:eastAsia="仿宋" w:cs="宋体"/>
          <w:bCs/>
          <w:color w:val="auto"/>
          <w:kern w:val="2"/>
          <w:sz w:val="24"/>
          <w:lang w:eastAsia="zh-CN"/>
        </w:rPr>
        <w:t>Pn=(1+</w:t>
      </w: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S-5%)*Po</w:t>
      </w:r>
      <w:r>
        <w:rPr>
          <w:rFonts w:hint="eastAsia" w:ascii="仿宋" w:hAnsi="仿宋" w:eastAsia="仿宋" w:cs="宋体"/>
          <w:bCs/>
          <w:color w:val="auto"/>
          <w:kern w:val="2"/>
          <w:sz w:val="24"/>
          <w:lang w:eastAsia="zh-CN"/>
        </w:rPr>
        <w:t>。</w:t>
      </w:r>
    </w:p>
    <w:p w14:paraId="74AEF537">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2</w:t>
      </w:r>
      <w:r>
        <w:rPr>
          <w:rFonts w:hint="eastAsia" w:ascii="仿宋" w:hAnsi="仿宋" w:eastAsia="仿宋" w:cs="宋体"/>
          <w:bCs/>
          <w:color w:val="auto"/>
          <w:kern w:val="2"/>
          <w:sz w:val="24"/>
          <w:lang w:eastAsia="zh-CN"/>
        </w:rPr>
        <w:t>）当信息价下落幅度超过合同签订期间信息价的</w:t>
      </w:r>
      <w:r>
        <w:rPr>
          <w:rFonts w:ascii="仿宋" w:hAnsi="仿宋" w:eastAsia="仿宋" w:cs="宋体"/>
          <w:bCs/>
          <w:color w:val="auto"/>
          <w:kern w:val="2"/>
          <w:sz w:val="24"/>
          <w:lang w:eastAsia="zh-CN"/>
        </w:rPr>
        <w:t>5%,</w:t>
      </w:r>
      <w:r>
        <w:rPr>
          <w:rFonts w:hint="eastAsia" w:ascii="仿宋" w:hAnsi="仿宋" w:eastAsia="仿宋" w:cs="宋体"/>
          <w:bCs/>
          <w:color w:val="auto"/>
          <w:kern w:val="2"/>
          <w:sz w:val="24"/>
          <w:lang w:eastAsia="zh-CN"/>
        </w:rPr>
        <w:t>即△</w:t>
      </w:r>
      <w:r>
        <w:rPr>
          <w:rFonts w:ascii="仿宋" w:hAnsi="仿宋" w:eastAsia="仿宋" w:cs="宋体"/>
          <w:bCs/>
          <w:color w:val="auto"/>
          <w:kern w:val="2"/>
          <w:sz w:val="24"/>
          <w:lang w:eastAsia="zh-CN"/>
        </w:rPr>
        <w:t>S&lt;-5%</w:t>
      </w:r>
      <w:r>
        <w:rPr>
          <w:rFonts w:hint="eastAsia" w:ascii="仿宋" w:hAnsi="仿宋" w:eastAsia="仿宋" w:cs="宋体"/>
          <w:bCs/>
          <w:color w:val="auto"/>
          <w:kern w:val="2"/>
          <w:sz w:val="24"/>
          <w:lang w:eastAsia="zh-CN"/>
        </w:rPr>
        <w:t>时：</w:t>
      </w:r>
      <w:r>
        <w:rPr>
          <w:rFonts w:ascii="仿宋" w:hAnsi="仿宋" w:eastAsia="仿宋" w:cs="宋体"/>
          <w:bCs/>
          <w:color w:val="auto"/>
          <w:kern w:val="2"/>
          <w:sz w:val="24"/>
          <w:lang w:eastAsia="zh-CN"/>
        </w:rPr>
        <w:t>Pn=(1+</w:t>
      </w: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S+5%)*Po</w:t>
      </w:r>
      <w:r>
        <w:rPr>
          <w:rFonts w:hint="eastAsia" w:ascii="仿宋" w:hAnsi="仿宋" w:eastAsia="仿宋" w:cs="宋体"/>
          <w:bCs/>
          <w:color w:val="auto"/>
          <w:kern w:val="2"/>
          <w:sz w:val="24"/>
          <w:lang w:eastAsia="zh-CN"/>
        </w:rPr>
        <w:t>。</w:t>
      </w:r>
    </w:p>
    <w:p w14:paraId="0275BC40">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ascii="仿宋" w:hAnsi="仿宋" w:eastAsia="仿宋" w:cs="宋体"/>
          <w:bCs/>
          <w:color w:val="auto"/>
          <w:kern w:val="2"/>
          <w:sz w:val="24"/>
          <w:lang w:eastAsia="zh-CN"/>
        </w:rPr>
        <w:t>3</w:t>
      </w: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Po=</w:t>
      </w:r>
      <w:r>
        <w:rPr>
          <w:rFonts w:hint="eastAsia" w:ascii="仿宋" w:hAnsi="仿宋" w:eastAsia="仿宋" w:cs="宋体"/>
          <w:bCs/>
          <w:color w:val="auto"/>
          <w:kern w:val="2"/>
          <w:sz w:val="24"/>
          <w:lang w:eastAsia="zh-CN"/>
        </w:rPr>
        <w:t>合同签订时普通泵送混凝土单价；</w:t>
      </w:r>
      <w:r>
        <w:rPr>
          <w:rFonts w:ascii="仿宋" w:hAnsi="仿宋" w:eastAsia="仿宋" w:cs="宋体"/>
          <w:bCs/>
          <w:color w:val="auto"/>
          <w:kern w:val="2"/>
          <w:sz w:val="24"/>
          <w:lang w:eastAsia="zh-CN"/>
        </w:rPr>
        <w:t>Pn=</w:t>
      </w:r>
      <w:r>
        <w:rPr>
          <w:rFonts w:hint="eastAsia" w:ascii="仿宋" w:hAnsi="仿宋" w:eastAsia="仿宋" w:cs="宋体"/>
          <w:bCs/>
          <w:color w:val="auto"/>
          <w:kern w:val="2"/>
          <w:sz w:val="24"/>
          <w:lang w:eastAsia="zh-CN"/>
        </w:rPr>
        <w:t>调整后施工当季普通泵送混凝土单价；</w:t>
      </w:r>
      <w:r>
        <w:rPr>
          <w:rFonts w:ascii="仿宋" w:hAnsi="仿宋" w:eastAsia="仿宋" w:cs="宋体"/>
          <w:bCs/>
          <w:color w:val="auto"/>
          <w:kern w:val="2"/>
          <w:sz w:val="24"/>
          <w:lang w:eastAsia="zh-CN"/>
        </w:rPr>
        <w:t>So=</w:t>
      </w:r>
      <w:r>
        <w:rPr>
          <w:rFonts w:hint="eastAsia" w:ascii="仿宋" w:hAnsi="仿宋" w:eastAsia="仿宋" w:cs="宋体"/>
          <w:bCs/>
          <w:color w:val="auto"/>
          <w:kern w:val="2"/>
          <w:sz w:val="24"/>
          <w:lang w:eastAsia="zh-CN"/>
        </w:rPr>
        <w:t>合同签订期间《当地工程造价信息》发布的商品混凝土信息价；</w:t>
      </w:r>
      <w:r>
        <w:rPr>
          <w:rFonts w:ascii="仿宋" w:hAnsi="仿宋" w:eastAsia="仿宋" w:cs="宋体"/>
          <w:bCs/>
          <w:color w:val="auto"/>
          <w:kern w:val="2"/>
          <w:sz w:val="24"/>
          <w:lang w:eastAsia="zh-CN"/>
        </w:rPr>
        <w:t>Sn=</w:t>
      </w:r>
      <w:r>
        <w:rPr>
          <w:rFonts w:hint="eastAsia" w:ascii="仿宋" w:hAnsi="仿宋" w:eastAsia="仿宋" w:cs="宋体"/>
          <w:bCs/>
          <w:color w:val="auto"/>
          <w:kern w:val="2"/>
          <w:sz w:val="24"/>
          <w:lang w:eastAsia="zh-CN"/>
        </w:rPr>
        <w:t>供料当季《工程造价信息》发布的商品混凝土信息价；△</w:t>
      </w:r>
      <w:r>
        <w:rPr>
          <w:rFonts w:ascii="仿宋" w:hAnsi="仿宋" w:eastAsia="仿宋" w:cs="宋体"/>
          <w:bCs/>
          <w:color w:val="auto"/>
          <w:kern w:val="2"/>
          <w:sz w:val="24"/>
          <w:lang w:eastAsia="zh-CN"/>
        </w:rPr>
        <w:t>S=</w:t>
      </w:r>
      <w:r>
        <w:rPr>
          <w:rFonts w:hint="eastAsia" w:ascii="仿宋" w:hAnsi="仿宋" w:eastAsia="仿宋" w:cs="宋体"/>
          <w:bCs/>
          <w:color w:val="auto"/>
          <w:kern w:val="2"/>
          <w:sz w:val="24"/>
          <w:lang w:eastAsia="zh-CN"/>
        </w:rPr>
        <w:t>调价系数</w:t>
      </w:r>
      <w:r>
        <w:rPr>
          <w:rFonts w:ascii="仿宋" w:hAnsi="仿宋" w:eastAsia="仿宋" w:cs="宋体"/>
          <w:bCs/>
          <w:color w:val="auto"/>
          <w:kern w:val="2"/>
          <w:sz w:val="24"/>
          <w:lang w:eastAsia="zh-CN"/>
        </w:rPr>
        <w:t>=</w:t>
      </w: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Sn-So</w:t>
      </w:r>
      <w:r>
        <w:rPr>
          <w:rFonts w:hint="eastAsia" w:ascii="仿宋" w:hAnsi="仿宋" w:eastAsia="仿宋" w:cs="宋体"/>
          <w:bCs/>
          <w:color w:val="auto"/>
          <w:kern w:val="2"/>
          <w:sz w:val="24"/>
          <w:lang w:eastAsia="zh-CN"/>
        </w:rPr>
        <w:t>）</w:t>
      </w:r>
      <w:r>
        <w:rPr>
          <w:rFonts w:ascii="仿宋" w:hAnsi="仿宋" w:eastAsia="仿宋" w:cs="宋体"/>
          <w:bCs/>
          <w:color w:val="auto"/>
          <w:kern w:val="2"/>
          <w:sz w:val="24"/>
          <w:lang w:eastAsia="zh-CN"/>
        </w:rPr>
        <w:t>/So</w:t>
      </w:r>
      <w:r>
        <w:rPr>
          <w:rFonts w:hint="eastAsia" w:ascii="仿宋" w:hAnsi="仿宋" w:eastAsia="仿宋" w:cs="宋体"/>
          <w:bCs/>
          <w:color w:val="auto"/>
          <w:kern w:val="2"/>
          <w:sz w:val="24"/>
          <w:lang w:eastAsia="zh-CN"/>
        </w:rPr>
        <w:t>）。</w:t>
      </w:r>
    </w:p>
    <w:p w14:paraId="36F4AFEE">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color w:val="auto"/>
          <w:kern w:val="2"/>
          <w:sz w:val="24"/>
          <w:lang w:eastAsia="zh-CN"/>
        </w:rPr>
      </w:pPr>
      <w:r>
        <w:rPr>
          <w:rFonts w:hint="eastAsia" w:ascii="仿宋" w:hAnsi="仿宋" w:eastAsia="仿宋" w:cs="宋体"/>
          <w:bCs/>
          <w:color w:val="auto"/>
          <w:kern w:val="2"/>
          <w:sz w:val="24"/>
          <w:lang w:val="en-US" w:eastAsia="zh-CN"/>
        </w:rPr>
        <w:t>8</w:t>
      </w:r>
      <w:r>
        <w:rPr>
          <w:rFonts w:hint="eastAsia" w:ascii="仿宋" w:hAnsi="仿宋" w:eastAsia="仿宋" w:cs="宋体"/>
          <w:bCs/>
          <w:color w:val="auto"/>
          <w:kern w:val="2"/>
          <w:sz w:val="24"/>
          <w:lang w:eastAsia="zh-CN"/>
        </w:rPr>
        <w:t>、</w:t>
      </w:r>
      <w:r>
        <w:rPr>
          <w:rFonts w:hint="eastAsia" w:ascii="仿宋" w:hAnsi="仿宋" w:eastAsia="仿宋" w:cs="Times New Roman"/>
          <w:color w:val="auto"/>
          <w:kern w:val="2"/>
          <w:sz w:val="24"/>
          <w:lang w:eastAsia="zh-CN"/>
        </w:rPr>
        <w:t>发票的提供</w:t>
      </w:r>
    </w:p>
    <w:p w14:paraId="1F23CEA4">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（1）乙方应在每期结算确认后，在甲方资金支付前，根据合同内容和结算书内容向甲方出具相应增值税发票。以上条件不满足时，乙方不得向甲方申请支付款项，甲方有权停止支付且由乙方自身承担资金风险。</w:t>
      </w:r>
    </w:p>
    <w:p w14:paraId="01218AE5">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（2）乙方出具发票需同时满足以下原则：</w:t>
      </w:r>
    </w:p>
    <w:p w14:paraId="7A4F734E">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1）发票金额</w:t>
      </w:r>
    </w:p>
    <w:p w14:paraId="1C346633">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乙方向甲方开具发票的金额（价税合计）需严格依据“累计确认结算量与资金支付量孰高原则”。</w:t>
      </w:r>
    </w:p>
    <w:p w14:paraId="65441F45">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2）票面信息</w:t>
      </w:r>
    </w:p>
    <w:p w14:paraId="4EAC36F5">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bCs/>
          <w:color w:val="auto"/>
          <w:kern w:val="2"/>
          <w:sz w:val="24"/>
          <w:lang w:eastAsia="zh-CN"/>
        </w:rPr>
        <w:t>发票票面记载信息需符合“三流一致”原则，包括：①销售方信息需与货物或应税劳务、服务实际提供单位（即乙方）一致，并与实际收款人（即乙方）一致；②货物或应税劳务、服务名称等需与实际业务内容一致。③税率、税额信息与本合同单列的增值税税率、税额一致。④</w:t>
      </w:r>
      <w:r>
        <w:rPr>
          <w:rFonts w:hint="eastAsia" w:ascii="仿宋" w:hAnsi="仿宋" w:eastAsia="仿宋" w:cs="Times New Roman"/>
          <w:color w:val="auto"/>
          <w:kern w:val="2"/>
          <w:sz w:val="24"/>
          <w:lang w:eastAsia="zh-CN"/>
        </w:rPr>
        <w:t>发票类别（增值税专用发票或普通发票）与本项目的计税方法（一般计税方法或简易计税方法）匹配。</w:t>
      </w:r>
    </w:p>
    <w:p w14:paraId="57D3F526">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color w:val="auto"/>
          <w:kern w:val="2"/>
          <w:sz w:val="24"/>
          <w:lang w:eastAsia="zh-CN"/>
        </w:rPr>
      </w:pPr>
      <w:r>
        <w:rPr>
          <w:rFonts w:hint="eastAsia" w:ascii="仿宋" w:hAnsi="仿宋" w:eastAsia="仿宋" w:cs="宋体"/>
          <w:color w:val="auto"/>
          <w:kern w:val="2"/>
          <w:sz w:val="24"/>
          <w:lang w:eastAsia="zh-CN"/>
        </w:rPr>
        <w:t>（3）发票提供的责任</w:t>
      </w:r>
    </w:p>
    <w:p w14:paraId="665D2F06">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乙方应对提供的发票真实性负责。甲方对乙方实行“一票否决制”，即：如乙方提供非法发票，甲方将不再与乙方进行任何其他合作。乙方提供非法发票，包括以下几种情形：乙方非有意提供假发票，经甲方提醒仍提供假发票的；乙方有意提供假发票的。如因乙方提供非法发票，甲方未及时识别，导致甲方利益受损的，全部损失由乙方承担。</w:t>
      </w:r>
    </w:p>
    <w:p w14:paraId="2C9F65C0">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乙方提供的发票被税务机关通知存在失联状况、异常状况、虚开发票、进项转出等情况的，按以下三项同时处理：1、对应进项税额立即转出，并赔偿相应税款；2、成本全额转出，相应款项已支付的，需全额追回或扣留相同金额款项；未支付的，不再予以支付；3、赔偿相应进项税额3倍的违约金。</w:t>
      </w:r>
    </w:p>
    <w:p w14:paraId="1634E095">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宋体"/>
          <w:b/>
          <w:color w:val="auto"/>
          <w:kern w:val="2"/>
          <w:sz w:val="24"/>
          <w:lang w:eastAsia="zh-CN"/>
        </w:rPr>
      </w:pPr>
      <w:r>
        <w:rPr>
          <w:rFonts w:hint="eastAsia" w:ascii="仿宋" w:hAnsi="仿宋" w:eastAsia="仿宋" w:cs="宋体"/>
          <w:b/>
          <w:color w:val="auto"/>
          <w:kern w:val="2"/>
          <w:sz w:val="24"/>
          <w:lang w:eastAsia="zh-CN"/>
        </w:rPr>
        <w:t>八、违约责任</w:t>
      </w:r>
    </w:p>
    <w:p w14:paraId="534D8122">
      <w:pPr>
        <w:keepNext w:val="0"/>
        <w:keepLines w:val="0"/>
        <w:pageBreakBefore w:val="0"/>
        <w:framePr w:wrap="auto" w:vAnchor="margin" w:hAnchor="text" w:yAlign="inline"/>
        <w:widowControl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ascii="仿宋" w:hAnsi="仿宋" w:eastAsia="仿宋" w:cs="Times New Roman"/>
          <w:color w:val="auto"/>
          <w:kern w:val="2"/>
          <w:sz w:val="24"/>
          <w:lang w:eastAsia="zh-CN"/>
        </w:rPr>
        <w:t>1</w:t>
      </w:r>
      <w:r>
        <w:rPr>
          <w:rFonts w:hint="eastAsia" w:ascii="仿宋" w:hAnsi="仿宋" w:eastAsia="仿宋" w:cs="Times New Roman"/>
          <w:color w:val="auto"/>
          <w:kern w:val="2"/>
          <w:sz w:val="24"/>
          <w:lang w:eastAsia="zh-CN"/>
        </w:rPr>
        <w:t>、乙方责任</w:t>
      </w:r>
    </w:p>
    <w:p w14:paraId="7142B05A">
      <w:pPr>
        <w:keepNext w:val="0"/>
        <w:keepLines w:val="0"/>
        <w:pageBreakBefore w:val="0"/>
        <w:framePr w:wrap="auto" w:vAnchor="margin" w:hAnchor="text" w:yAlign="inline"/>
        <w:widowControl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color w:val="auto"/>
          <w:kern w:val="2"/>
          <w:sz w:val="24"/>
          <w:lang w:val="zh-CN" w:eastAsia="zh-CN"/>
        </w:rPr>
      </w:pP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1</w:t>
      </w:r>
      <w:r>
        <w:rPr>
          <w:rFonts w:hint="eastAsia" w:ascii="仿宋" w:hAnsi="仿宋" w:eastAsia="仿宋" w:cs="Times New Roman"/>
          <w:color w:val="auto"/>
          <w:kern w:val="2"/>
          <w:sz w:val="24"/>
          <w:lang w:eastAsia="zh-CN"/>
        </w:rPr>
        <w:t>）乙方供应的混凝土质量不符合本合同第三条、第五条、第六条的有关要求，供乙方应负责赔偿因此而造成的甲方直接经济损失，甲方有权直接在应付未付货款中直接扣减。同时，甲方有权单方解除合同，另选供应方。乙</w:t>
      </w:r>
      <w:r>
        <w:rPr>
          <w:rFonts w:hint="eastAsia" w:ascii="仿宋" w:hAnsi="仿宋" w:eastAsia="仿宋" w:cs="宋体"/>
          <w:color w:val="auto"/>
          <w:kern w:val="2"/>
          <w:sz w:val="24"/>
          <w:lang w:val="zh-CN" w:eastAsia="zh-CN"/>
        </w:rPr>
        <w:t>方所供混凝土必须按照</w:t>
      </w:r>
      <w:r>
        <w:rPr>
          <w:rFonts w:hint="eastAsia" w:ascii="仿宋" w:hAnsi="仿宋" w:eastAsia="仿宋" w:cs="宋体"/>
          <w:color w:val="auto"/>
          <w:kern w:val="2"/>
          <w:sz w:val="24"/>
          <w:lang w:eastAsia="zh-CN"/>
        </w:rPr>
        <w:t>甲</w:t>
      </w:r>
      <w:r>
        <w:rPr>
          <w:rFonts w:hint="eastAsia" w:ascii="仿宋" w:hAnsi="仿宋" w:eastAsia="仿宋" w:cs="宋体"/>
          <w:color w:val="auto"/>
          <w:kern w:val="2"/>
          <w:sz w:val="24"/>
          <w:lang w:val="zh-CN" w:eastAsia="zh-CN"/>
        </w:rPr>
        <w:t>方指定的生产厂家或品牌供货。</w:t>
      </w:r>
      <w:r>
        <w:rPr>
          <w:rFonts w:hint="eastAsia" w:ascii="仿宋" w:hAnsi="仿宋" w:eastAsia="仿宋" w:cs="宋体"/>
          <w:color w:val="auto"/>
          <w:kern w:val="2"/>
          <w:sz w:val="24"/>
          <w:lang w:eastAsia="zh-CN"/>
        </w:rPr>
        <w:t>乙</w:t>
      </w:r>
      <w:r>
        <w:rPr>
          <w:rFonts w:hint="eastAsia" w:ascii="仿宋" w:hAnsi="仿宋" w:eastAsia="仿宋" w:cs="宋体"/>
          <w:color w:val="auto"/>
          <w:kern w:val="2"/>
          <w:sz w:val="24"/>
          <w:lang w:val="zh-CN" w:eastAsia="zh-CN"/>
        </w:rPr>
        <w:t>方供应的混凝土到达</w:t>
      </w:r>
      <w:r>
        <w:rPr>
          <w:rFonts w:hint="eastAsia" w:ascii="仿宋" w:hAnsi="仿宋" w:eastAsia="仿宋" w:cs="宋体"/>
          <w:color w:val="auto"/>
          <w:kern w:val="2"/>
          <w:sz w:val="24"/>
          <w:lang w:eastAsia="zh-CN"/>
        </w:rPr>
        <w:t>甲</w:t>
      </w:r>
      <w:r>
        <w:rPr>
          <w:rFonts w:hint="eastAsia" w:ascii="仿宋" w:hAnsi="仿宋" w:eastAsia="仿宋" w:cs="宋体"/>
          <w:color w:val="auto"/>
          <w:kern w:val="2"/>
          <w:sz w:val="24"/>
          <w:lang w:val="zh-CN" w:eastAsia="zh-CN"/>
        </w:rPr>
        <w:t>方指定的场所后，如果</w:t>
      </w:r>
      <w:r>
        <w:rPr>
          <w:rFonts w:hint="eastAsia" w:ascii="仿宋" w:hAnsi="仿宋" w:eastAsia="仿宋" w:cs="宋体"/>
          <w:color w:val="auto"/>
          <w:kern w:val="2"/>
          <w:sz w:val="24"/>
          <w:lang w:eastAsia="zh-CN"/>
        </w:rPr>
        <w:t>甲</w:t>
      </w:r>
      <w:r>
        <w:rPr>
          <w:rFonts w:hint="eastAsia" w:ascii="仿宋" w:hAnsi="仿宋" w:eastAsia="仿宋" w:cs="宋体"/>
          <w:color w:val="auto"/>
          <w:kern w:val="2"/>
          <w:sz w:val="24"/>
          <w:lang w:val="zh-CN" w:eastAsia="zh-CN"/>
        </w:rPr>
        <w:t>方</w:t>
      </w:r>
      <w:r>
        <w:rPr>
          <w:rFonts w:hint="eastAsia" w:ascii="仿宋" w:hAnsi="仿宋" w:eastAsia="仿宋" w:cs="宋体"/>
          <w:color w:val="auto"/>
          <w:kern w:val="2"/>
          <w:sz w:val="24"/>
          <w:lang w:eastAsia="zh-CN"/>
        </w:rPr>
        <w:t>经</w:t>
      </w:r>
      <w:r>
        <w:rPr>
          <w:rFonts w:hint="eastAsia" w:ascii="仿宋" w:hAnsi="仿宋" w:eastAsia="仿宋" w:cs="宋体"/>
          <w:color w:val="auto"/>
          <w:kern w:val="2"/>
          <w:sz w:val="24"/>
          <w:lang w:val="zh-CN" w:eastAsia="zh-CN"/>
        </w:rPr>
        <w:t>检查不是所指定的厂家或品牌产品，</w:t>
      </w:r>
      <w:r>
        <w:rPr>
          <w:rFonts w:hint="eastAsia" w:ascii="仿宋" w:hAnsi="仿宋" w:eastAsia="仿宋" w:cs="宋体"/>
          <w:color w:val="auto"/>
          <w:kern w:val="2"/>
          <w:sz w:val="24"/>
          <w:lang w:eastAsia="zh-CN"/>
        </w:rPr>
        <w:t>乙</w:t>
      </w:r>
      <w:r>
        <w:rPr>
          <w:rFonts w:hint="eastAsia" w:ascii="仿宋" w:hAnsi="仿宋" w:eastAsia="仿宋" w:cs="宋体"/>
          <w:color w:val="auto"/>
          <w:kern w:val="2"/>
          <w:sz w:val="24"/>
          <w:lang w:val="zh-CN" w:eastAsia="zh-CN"/>
        </w:rPr>
        <w:t>方必须无条件退货。并在不影响工期的前提下，尽快组织符合要求的混凝土到供货现场，如造成</w:t>
      </w:r>
      <w:r>
        <w:rPr>
          <w:rFonts w:hint="eastAsia" w:ascii="仿宋" w:hAnsi="仿宋" w:eastAsia="仿宋" w:cs="宋体"/>
          <w:color w:val="auto"/>
          <w:kern w:val="2"/>
          <w:sz w:val="24"/>
          <w:lang w:eastAsia="zh-CN"/>
        </w:rPr>
        <w:t>甲</w:t>
      </w:r>
      <w:r>
        <w:rPr>
          <w:rFonts w:hint="eastAsia" w:ascii="仿宋" w:hAnsi="仿宋" w:eastAsia="仿宋" w:cs="宋体"/>
          <w:color w:val="auto"/>
          <w:kern w:val="2"/>
          <w:sz w:val="24"/>
          <w:lang w:val="zh-CN" w:eastAsia="zh-CN"/>
        </w:rPr>
        <w:t>方工程工期延误的，</w:t>
      </w:r>
      <w:r>
        <w:rPr>
          <w:rFonts w:hint="eastAsia" w:ascii="仿宋" w:hAnsi="仿宋" w:eastAsia="仿宋" w:cs="宋体"/>
          <w:color w:val="auto"/>
          <w:kern w:val="2"/>
          <w:sz w:val="24"/>
          <w:lang w:eastAsia="zh-CN"/>
        </w:rPr>
        <w:t>乙</w:t>
      </w:r>
      <w:r>
        <w:rPr>
          <w:rFonts w:hint="eastAsia" w:ascii="仿宋" w:hAnsi="仿宋" w:eastAsia="仿宋" w:cs="宋体"/>
          <w:color w:val="auto"/>
          <w:kern w:val="2"/>
          <w:sz w:val="24"/>
          <w:lang w:val="zh-CN" w:eastAsia="zh-CN"/>
        </w:rPr>
        <w:t>方需赔偿</w:t>
      </w:r>
      <w:r>
        <w:rPr>
          <w:rFonts w:hint="eastAsia" w:ascii="仿宋" w:hAnsi="仿宋" w:eastAsia="仿宋" w:cs="宋体"/>
          <w:color w:val="auto"/>
          <w:kern w:val="2"/>
          <w:sz w:val="24"/>
          <w:lang w:eastAsia="zh-CN"/>
        </w:rPr>
        <w:t>甲</w:t>
      </w:r>
      <w:r>
        <w:rPr>
          <w:rFonts w:hint="eastAsia" w:ascii="仿宋" w:hAnsi="仿宋" w:eastAsia="仿宋" w:cs="宋体"/>
          <w:color w:val="auto"/>
          <w:kern w:val="2"/>
          <w:sz w:val="24"/>
          <w:lang w:val="zh-CN" w:eastAsia="zh-CN"/>
        </w:rPr>
        <w:t>方</w:t>
      </w:r>
      <w:r>
        <w:rPr>
          <w:rFonts w:hint="eastAsia" w:ascii="仿宋" w:hAnsi="仿宋" w:eastAsia="仿宋" w:cs="宋体"/>
          <w:color w:val="auto"/>
          <w:kern w:val="2"/>
          <w:sz w:val="24"/>
          <w:u w:val="single"/>
          <w:lang w:val="en-US" w:eastAsia="zh-CN"/>
        </w:rPr>
        <w:t xml:space="preserve">   </w:t>
      </w:r>
      <w:r>
        <w:rPr>
          <w:rFonts w:hint="eastAsia" w:ascii="仿宋" w:hAnsi="仿宋" w:eastAsia="仿宋" w:cs="宋体"/>
          <w:color w:val="auto"/>
          <w:kern w:val="2"/>
          <w:sz w:val="24"/>
          <w:lang w:eastAsia="zh-CN"/>
        </w:rPr>
        <w:t>元作为违约金，违约金不足以弥补</w:t>
      </w:r>
      <w:r>
        <w:rPr>
          <w:rFonts w:hint="eastAsia" w:ascii="仿宋" w:hAnsi="仿宋" w:eastAsia="仿宋" w:cs="宋体"/>
          <w:color w:val="auto"/>
          <w:kern w:val="2"/>
          <w:sz w:val="24"/>
          <w:lang w:val="zh-CN" w:eastAsia="zh-CN"/>
        </w:rPr>
        <w:t>工期延误</w:t>
      </w:r>
      <w:r>
        <w:rPr>
          <w:rFonts w:hint="eastAsia" w:ascii="仿宋" w:hAnsi="仿宋" w:eastAsia="仿宋" w:cs="宋体"/>
          <w:color w:val="auto"/>
          <w:kern w:val="2"/>
          <w:sz w:val="24"/>
          <w:lang w:eastAsia="zh-CN"/>
        </w:rPr>
        <w:t>对甲方</w:t>
      </w:r>
      <w:r>
        <w:rPr>
          <w:rFonts w:hint="eastAsia" w:ascii="仿宋" w:hAnsi="仿宋" w:eastAsia="仿宋" w:cs="宋体"/>
          <w:color w:val="auto"/>
          <w:kern w:val="2"/>
          <w:sz w:val="24"/>
          <w:lang w:val="zh-CN" w:eastAsia="zh-CN"/>
        </w:rPr>
        <w:t>所造成的经济损失</w:t>
      </w:r>
      <w:r>
        <w:rPr>
          <w:rFonts w:hint="eastAsia" w:ascii="仿宋" w:hAnsi="仿宋" w:eastAsia="仿宋" w:cs="宋体"/>
          <w:color w:val="auto"/>
          <w:kern w:val="2"/>
          <w:sz w:val="24"/>
          <w:lang w:eastAsia="zh-CN"/>
        </w:rPr>
        <w:t>的，甲方有权按照实际损失向乙方追偿</w:t>
      </w:r>
      <w:r>
        <w:rPr>
          <w:rFonts w:hint="eastAsia" w:ascii="仿宋" w:hAnsi="仿宋" w:eastAsia="仿宋" w:cs="宋体"/>
          <w:color w:val="auto"/>
          <w:kern w:val="2"/>
          <w:sz w:val="24"/>
          <w:lang w:val="zh-CN" w:eastAsia="zh-CN"/>
        </w:rPr>
        <w:t>。</w:t>
      </w:r>
    </w:p>
    <w:p w14:paraId="5BC65C34">
      <w:pPr>
        <w:keepNext w:val="0"/>
        <w:keepLines w:val="0"/>
        <w:pageBreakBefore w:val="0"/>
        <w:framePr w:wrap="auto" w:vAnchor="margin" w:hAnchor="text" w:yAlign="inline"/>
        <w:widowControl w:val="0"/>
        <w:numPr>
          <w:ilvl w:val="255"/>
          <w:numId w:val="0"/>
        </w:numPr>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2</w:t>
      </w:r>
      <w:r>
        <w:rPr>
          <w:rFonts w:hint="eastAsia" w:ascii="仿宋" w:hAnsi="仿宋" w:eastAsia="仿宋" w:cs="Times New Roman"/>
          <w:color w:val="auto"/>
          <w:kern w:val="2"/>
          <w:sz w:val="24"/>
          <w:lang w:eastAsia="zh-CN"/>
        </w:rPr>
        <w:t>）如乙方无故未依时足额送货的，则从逾期第一天起，每逾期一天则按该批次材料货款万分之三的标准向甲方支付违约金，直到送货完毕为止。逾期供货超过15日的，甲方有权解除合同并要求乙方支付该批次材料货款的10</w:t>
      </w:r>
      <w:r>
        <w:rPr>
          <w:rFonts w:ascii="仿宋" w:hAnsi="仿宋" w:eastAsia="仿宋" w:cs="Times New Roman"/>
          <w:color w:val="auto"/>
          <w:kern w:val="2"/>
          <w:sz w:val="24"/>
          <w:lang w:eastAsia="zh-CN"/>
        </w:rPr>
        <w:t xml:space="preserve"> %</w:t>
      </w:r>
      <w:r>
        <w:rPr>
          <w:rFonts w:hint="eastAsia" w:ascii="仿宋" w:hAnsi="仿宋" w:eastAsia="仿宋" w:cs="Times New Roman"/>
          <w:color w:val="auto"/>
          <w:kern w:val="2"/>
          <w:sz w:val="24"/>
          <w:lang w:eastAsia="zh-CN"/>
        </w:rPr>
        <w:t>作为违约金；甲方选择继续履行合同的，乙方仍须支付逾期供货违约金。（不可抗力因素造成未能按时交货的除外。）</w:t>
      </w:r>
    </w:p>
    <w:p w14:paraId="70ABE403">
      <w:pPr>
        <w:keepNext w:val="0"/>
        <w:keepLines w:val="0"/>
        <w:pageBreakBefore w:val="0"/>
        <w:framePr w:wrap="auto" w:vAnchor="margin" w:hAnchor="text" w:yAlign="inline"/>
        <w:widowControl w:val="0"/>
        <w:numPr>
          <w:ilvl w:val="255"/>
          <w:numId w:val="0"/>
        </w:numPr>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3</w:t>
      </w:r>
      <w:r>
        <w:rPr>
          <w:rFonts w:hint="eastAsia" w:ascii="仿宋" w:hAnsi="仿宋" w:eastAsia="仿宋" w:cs="Times New Roman"/>
          <w:color w:val="auto"/>
          <w:kern w:val="2"/>
          <w:sz w:val="24"/>
          <w:lang w:eastAsia="zh-CN"/>
        </w:rPr>
        <w:t>）如乙方严重（发生超过</w:t>
      </w:r>
      <w:r>
        <w:rPr>
          <w:rFonts w:ascii="仿宋" w:hAnsi="仿宋" w:eastAsia="仿宋" w:cs="Times New Roman"/>
          <w:color w:val="auto"/>
          <w:kern w:val="2"/>
          <w:sz w:val="24"/>
          <w:lang w:eastAsia="zh-CN"/>
        </w:rPr>
        <w:t>3</w:t>
      </w:r>
      <w:r>
        <w:rPr>
          <w:rFonts w:hint="eastAsia" w:ascii="仿宋" w:hAnsi="仿宋" w:eastAsia="仿宋" w:cs="Times New Roman"/>
          <w:color w:val="auto"/>
          <w:kern w:val="2"/>
          <w:sz w:val="24"/>
          <w:lang w:eastAsia="zh-CN"/>
        </w:rPr>
        <w:t>次以上没按甲方要求供货的）配合不了现场进度供货的，甲方有权单方解除合同并要求乙方支付本合同供应暂定金额的10</w:t>
      </w:r>
      <w:r>
        <w:rPr>
          <w:rFonts w:ascii="仿宋" w:hAnsi="仿宋" w:eastAsia="仿宋" w:cs="Times New Roman"/>
          <w:color w:val="auto"/>
          <w:kern w:val="2"/>
          <w:sz w:val="24"/>
          <w:lang w:eastAsia="zh-CN"/>
        </w:rPr>
        <w:t>%</w:t>
      </w:r>
      <w:r>
        <w:rPr>
          <w:rFonts w:hint="eastAsia" w:ascii="仿宋" w:hAnsi="仿宋" w:eastAsia="仿宋" w:cs="Times New Roman"/>
          <w:color w:val="auto"/>
          <w:kern w:val="2"/>
          <w:sz w:val="24"/>
          <w:lang w:eastAsia="zh-CN"/>
        </w:rPr>
        <w:t>作为违约金，另选供货方。</w:t>
      </w:r>
    </w:p>
    <w:p w14:paraId="19D2D4CD">
      <w:pPr>
        <w:keepNext w:val="0"/>
        <w:keepLines w:val="0"/>
        <w:pageBreakBefore w:val="0"/>
        <w:framePr w:wrap="auto" w:vAnchor="margin" w:hAnchor="text" w:yAlign="inline"/>
        <w:widowControl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4</w:t>
      </w:r>
      <w:r>
        <w:rPr>
          <w:rFonts w:hint="eastAsia" w:ascii="仿宋" w:hAnsi="仿宋" w:eastAsia="仿宋" w:cs="Times New Roman"/>
          <w:color w:val="auto"/>
          <w:kern w:val="2"/>
          <w:sz w:val="24"/>
          <w:lang w:eastAsia="zh-CN"/>
        </w:rPr>
        <w:t>）乙方严禁使用海砂作为混凝土骨料，否则，甲方除有权不支付货款外，乙方须向甲方赔付由此而导致的经济损失，同时甲方可以另选乙方。</w:t>
      </w:r>
    </w:p>
    <w:p w14:paraId="3615F7A0">
      <w:pPr>
        <w:keepNext w:val="0"/>
        <w:keepLines w:val="0"/>
        <w:pageBreakBefore w:val="0"/>
        <w:framePr w:wrap="auto" w:vAnchor="margin" w:hAnchor="text" w:yAlign="inline"/>
        <w:widowControl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5</w:t>
      </w:r>
      <w:r>
        <w:rPr>
          <w:rFonts w:hint="eastAsia" w:ascii="仿宋" w:hAnsi="仿宋" w:eastAsia="仿宋" w:cs="Times New Roman"/>
          <w:color w:val="auto"/>
          <w:kern w:val="2"/>
          <w:sz w:val="24"/>
          <w:lang w:eastAsia="zh-CN"/>
        </w:rPr>
        <w:t>）如因乙方原因导致工程工期延误，由此造成甲方经济损失的，由乙方承担。</w:t>
      </w:r>
    </w:p>
    <w:p w14:paraId="65FDF5EC">
      <w:pPr>
        <w:keepNext w:val="0"/>
        <w:keepLines w:val="0"/>
        <w:pageBreakBefore w:val="0"/>
        <w:framePr w:wrap="auto" w:vAnchor="margin" w:hAnchor="text" w:yAlign="inline"/>
        <w:widowControl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6</w:t>
      </w:r>
      <w:r>
        <w:rPr>
          <w:rFonts w:hint="eastAsia" w:ascii="仿宋" w:hAnsi="仿宋" w:eastAsia="仿宋" w:cs="Times New Roman"/>
          <w:color w:val="auto"/>
          <w:kern w:val="2"/>
          <w:sz w:val="24"/>
          <w:lang w:eastAsia="zh-CN"/>
        </w:rPr>
        <w:t>）如乙方出现本款第（</w:t>
      </w:r>
      <w:r>
        <w:rPr>
          <w:rFonts w:ascii="仿宋" w:hAnsi="仿宋" w:eastAsia="仿宋" w:cs="Times New Roman"/>
          <w:color w:val="auto"/>
          <w:kern w:val="2"/>
          <w:sz w:val="24"/>
          <w:lang w:eastAsia="zh-CN"/>
        </w:rPr>
        <w:t>1</w:t>
      </w: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2</w:t>
      </w: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3</w:t>
      </w:r>
      <w:r>
        <w:rPr>
          <w:rFonts w:hint="eastAsia" w:ascii="仿宋" w:hAnsi="仿宋" w:eastAsia="仿宋" w:cs="Times New Roman"/>
          <w:color w:val="auto"/>
          <w:kern w:val="2"/>
          <w:sz w:val="24"/>
          <w:lang w:eastAsia="zh-CN"/>
        </w:rPr>
        <w:t>）、（</w:t>
      </w:r>
      <w:r>
        <w:rPr>
          <w:rFonts w:ascii="仿宋" w:hAnsi="仿宋" w:eastAsia="仿宋" w:cs="Times New Roman"/>
          <w:color w:val="auto"/>
          <w:kern w:val="2"/>
          <w:sz w:val="24"/>
          <w:lang w:eastAsia="zh-CN"/>
        </w:rPr>
        <w:t>4</w:t>
      </w:r>
      <w:r>
        <w:rPr>
          <w:rFonts w:hint="eastAsia" w:ascii="仿宋" w:hAnsi="仿宋" w:eastAsia="仿宋" w:cs="Times New Roman"/>
          <w:color w:val="auto"/>
          <w:kern w:val="2"/>
          <w:sz w:val="24"/>
          <w:lang w:eastAsia="zh-CN"/>
        </w:rPr>
        <w:t>）项行为的，视为违约，甲方有权单方解除合同，解除合同通知自送达至乙方时生效，本合同解除。</w:t>
      </w:r>
    </w:p>
    <w:p w14:paraId="4455369C">
      <w:pPr>
        <w:framePr w:wrap="auto" w:vAnchor="margin" w:hAnchor="text" w:yAlign="inline"/>
        <w:widowControl w:val="0"/>
        <w:tabs>
          <w:tab w:val="left" w:pos="900"/>
        </w:tabs>
        <w:spacing w:line="360" w:lineRule="auto"/>
        <w:ind w:firstLine="480" w:firstLineChars="200"/>
        <w:jc w:val="both"/>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7）甲方不对乙方提供的货物的商标、专利等知识产权是否侵犯第三方权利负责。对于因乙方货物导致的知识产权争议或违法行为，甲方有权单方以书面通知解除本合同，并不承担任何违约责任，由乙方负责与第三方交涉、参加诉讼、进行抗辩，并承担由此引起的一切法律和经济上的责任。如造成甲方损失的，甲方有权向乙方追偿。</w:t>
      </w:r>
    </w:p>
    <w:p w14:paraId="424F6628">
      <w:pPr>
        <w:framePr w:wrap="auto" w:vAnchor="margin" w:hAnchor="text" w:yAlign="inline"/>
        <w:widowControl w:val="0"/>
        <w:tabs>
          <w:tab w:val="left" w:pos="900"/>
        </w:tabs>
        <w:spacing w:line="360" w:lineRule="auto"/>
        <w:ind w:firstLine="480" w:firstLineChars="200"/>
        <w:jc w:val="both"/>
        <w:rPr>
          <w:rFonts w:hint="eastAsia" w:ascii="仿宋" w:hAnsi="仿宋" w:eastAsia="仿宋" w:cs="Times New Roman"/>
          <w:color w:val="auto"/>
          <w:kern w:val="2"/>
          <w:sz w:val="24"/>
          <w:lang w:eastAsia="zh-CN"/>
        </w:rPr>
      </w:pPr>
      <w:r>
        <w:rPr>
          <w:rFonts w:ascii="仿宋" w:hAnsi="仿宋" w:eastAsia="仿宋" w:cs="Times New Roman"/>
          <w:color w:val="auto"/>
          <w:kern w:val="2"/>
          <w:sz w:val="24"/>
          <w:lang w:eastAsia="zh-CN"/>
        </w:rPr>
        <w:t>2</w:t>
      </w:r>
      <w:r>
        <w:rPr>
          <w:rFonts w:hint="eastAsia" w:ascii="仿宋" w:hAnsi="仿宋" w:eastAsia="仿宋" w:cs="Times New Roman"/>
          <w:color w:val="auto"/>
          <w:kern w:val="2"/>
          <w:sz w:val="24"/>
          <w:lang w:eastAsia="zh-CN"/>
        </w:rPr>
        <w:t>、甲方责任：</w:t>
      </w:r>
    </w:p>
    <w:p w14:paraId="77D4656B">
      <w:pPr>
        <w:framePr w:wrap="auto" w:vAnchor="margin" w:hAnchor="text" w:yAlign="inline"/>
        <w:widowControl w:val="0"/>
        <w:tabs>
          <w:tab w:val="left" w:pos="0"/>
        </w:tabs>
        <w:autoSpaceDE w:val="0"/>
        <w:autoSpaceDN w:val="0"/>
        <w:spacing w:line="360" w:lineRule="auto"/>
        <w:ind w:firstLine="480" w:firstLineChars="200"/>
        <w:jc w:val="both"/>
        <w:rPr>
          <w:rFonts w:hint="eastAsia" w:ascii="仿宋" w:hAnsi="仿宋" w:eastAsia="仿宋" w:cs="Times New Roman"/>
          <w:color w:val="auto"/>
          <w:kern w:val="2"/>
          <w:sz w:val="24"/>
          <w:lang w:val="zh-CN" w:eastAsia="zh-CN"/>
        </w:rPr>
      </w:pPr>
      <w:r>
        <w:rPr>
          <w:rFonts w:hint="eastAsia" w:ascii="仿宋" w:hAnsi="仿宋" w:eastAsia="仿宋" w:cs="Times New Roman"/>
          <w:color w:val="auto"/>
          <w:kern w:val="2"/>
          <w:sz w:val="24"/>
          <w:lang w:val="zh-CN" w:eastAsia="zh-CN"/>
        </w:rPr>
        <w:t>（</w:t>
      </w:r>
      <w:r>
        <w:rPr>
          <w:rFonts w:hint="eastAsia" w:ascii="仿宋" w:hAnsi="仿宋" w:eastAsia="仿宋" w:cs="Times New Roman"/>
          <w:color w:val="auto"/>
          <w:kern w:val="2"/>
          <w:sz w:val="24"/>
          <w:lang w:eastAsia="zh-CN"/>
        </w:rPr>
        <w:t>1</w:t>
      </w:r>
      <w:r>
        <w:rPr>
          <w:rFonts w:hint="eastAsia" w:ascii="仿宋" w:hAnsi="仿宋" w:eastAsia="仿宋" w:cs="Times New Roman"/>
          <w:color w:val="auto"/>
          <w:kern w:val="2"/>
          <w:sz w:val="24"/>
          <w:lang w:val="zh-CN" w:eastAsia="zh-CN"/>
        </w:rPr>
        <w:t>）甲方不按本合同规定上报</w:t>
      </w:r>
      <w:r>
        <w:rPr>
          <w:rFonts w:hint="eastAsia" w:ascii="仿宋" w:hAnsi="仿宋" w:eastAsia="仿宋" w:cs="Times New Roman"/>
          <w:color w:val="auto"/>
          <w:kern w:val="2"/>
          <w:sz w:val="24"/>
          <w:lang w:eastAsia="zh-CN"/>
        </w:rPr>
        <w:t>混凝土</w:t>
      </w:r>
      <w:r>
        <w:rPr>
          <w:rFonts w:hint="eastAsia" w:ascii="仿宋" w:hAnsi="仿宋" w:eastAsia="仿宋" w:cs="Times New Roman"/>
          <w:color w:val="auto"/>
          <w:kern w:val="2"/>
          <w:sz w:val="24"/>
          <w:lang w:val="zh-CN" w:eastAsia="zh-CN"/>
        </w:rPr>
        <w:t>使用计划、不按本合同规定收料（含卸车不及时、便道不畅通和仓库容量不足）所造成的损失由甲方</w:t>
      </w:r>
      <w:r>
        <w:rPr>
          <w:rFonts w:hint="eastAsia" w:ascii="仿宋" w:hAnsi="仿宋" w:eastAsia="仿宋" w:cs="Times New Roman"/>
          <w:color w:val="auto"/>
          <w:kern w:val="2"/>
          <w:sz w:val="24"/>
          <w:lang w:eastAsia="zh-CN"/>
        </w:rPr>
        <w:t>自行</w:t>
      </w:r>
      <w:r>
        <w:rPr>
          <w:rFonts w:hint="eastAsia" w:ascii="仿宋" w:hAnsi="仿宋" w:eastAsia="仿宋" w:cs="Times New Roman"/>
          <w:color w:val="auto"/>
          <w:kern w:val="2"/>
          <w:sz w:val="24"/>
          <w:lang w:val="zh-CN" w:eastAsia="zh-CN"/>
        </w:rPr>
        <w:t>承担。</w:t>
      </w:r>
    </w:p>
    <w:p w14:paraId="28F489C3">
      <w:pPr>
        <w:framePr w:wrap="auto" w:vAnchor="margin" w:hAnchor="text" w:yAlign="inline"/>
        <w:widowControl w:val="0"/>
        <w:tabs>
          <w:tab w:val="left" w:pos="0"/>
        </w:tabs>
        <w:autoSpaceDE w:val="0"/>
        <w:autoSpaceDN w:val="0"/>
        <w:spacing w:line="360" w:lineRule="auto"/>
        <w:ind w:firstLine="480" w:firstLineChars="200"/>
        <w:jc w:val="both"/>
        <w:rPr>
          <w:rFonts w:hint="eastAsia" w:ascii="仿宋" w:hAnsi="仿宋" w:eastAsia="仿宋" w:cs="Times New Roman"/>
          <w:color w:val="auto"/>
          <w:kern w:val="2"/>
          <w:sz w:val="24"/>
          <w:lang w:val="zh-CN" w:eastAsia="zh-CN"/>
        </w:rPr>
      </w:pPr>
      <w:r>
        <w:rPr>
          <w:rFonts w:hint="eastAsia" w:ascii="仿宋" w:hAnsi="仿宋" w:eastAsia="仿宋" w:cs="Times New Roman"/>
          <w:color w:val="auto"/>
          <w:kern w:val="2"/>
          <w:sz w:val="24"/>
          <w:lang w:val="zh-CN" w:eastAsia="zh-CN"/>
        </w:rPr>
        <w:t>（</w:t>
      </w:r>
      <w:r>
        <w:rPr>
          <w:rFonts w:hint="eastAsia" w:ascii="仿宋" w:hAnsi="仿宋" w:eastAsia="仿宋" w:cs="Times New Roman"/>
          <w:color w:val="auto"/>
          <w:kern w:val="2"/>
          <w:sz w:val="24"/>
          <w:lang w:eastAsia="zh-CN"/>
        </w:rPr>
        <w:t>2</w:t>
      </w:r>
      <w:r>
        <w:rPr>
          <w:rFonts w:hint="eastAsia" w:ascii="仿宋" w:hAnsi="仿宋" w:eastAsia="仿宋" w:cs="Times New Roman"/>
          <w:color w:val="auto"/>
          <w:kern w:val="2"/>
          <w:sz w:val="24"/>
          <w:lang w:val="zh-CN" w:eastAsia="zh-CN"/>
        </w:rPr>
        <w:t>）如因甲方原因致使货款未能及时支付给乙方，乙方不承担因停工待料而造成的损失。</w:t>
      </w:r>
    </w:p>
    <w:p w14:paraId="6FAD31E7">
      <w:pPr>
        <w:framePr w:wrap="auto" w:vAnchor="margin" w:hAnchor="text" w:yAlign="inline"/>
        <w:widowControl w:val="0"/>
        <w:spacing w:line="360" w:lineRule="auto"/>
        <w:ind w:firstLine="482" w:firstLineChars="200"/>
        <w:jc w:val="both"/>
        <w:rPr>
          <w:rFonts w:hint="eastAsia" w:ascii="仿宋" w:hAnsi="仿宋" w:eastAsia="仿宋" w:cs="宋体"/>
          <w:b/>
          <w:color w:val="auto"/>
          <w:kern w:val="2"/>
          <w:sz w:val="24"/>
          <w:lang w:eastAsia="zh-CN"/>
        </w:rPr>
      </w:pPr>
      <w:r>
        <w:rPr>
          <w:rFonts w:hint="eastAsia" w:ascii="仿宋" w:hAnsi="仿宋" w:eastAsia="仿宋" w:cs="宋体"/>
          <w:b/>
          <w:color w:val="auto"/>
          <w:kern w:val="2"/>
          <w:sz w:val="24"/>
          <w:lang w:eastAsia="zh-CN"/>
        </w:rPr>
        <w:t>九、安全责任</w:t>
      </w:r>
    </w:p>
    <w:p w14:paraId="42F8F322">
      <w:pPr>
        <w:framePr w:wrap="auto" w:vAnchor="margin" w:hAnchor="text" w:yAlign="inline"/>
        <w:widowControl w:val="0"/>
        <w:spacing w:line="360" w:lineRule="auto"/>
        <w:ind w:firstLine="480" w:firstLineChars="200"/>
        <w:jc w:val="both"/>
        <w:rPr>
          <w:rFonts w:hint="eastAsia" w:ascii="仿宋" w:hAnsi="仿宋" w:eastAsia="仿宋" w:cs="宋体"/>
          <w:color w:val="auto"/>
          <w:kern w:val="2"/>
          <w:sz w:val="24"/>
          <w:lang w:eastAsia="zh-CN"/>
        </w:rPr>
      </w:pPr>
      <w:r>
        <w:rPr>
          <w:rFonts w:hint="eastAsia" w:ascii="仿宋" w:hAnsi="仿宋" w:eastAsia="仿宋" w:cs="宋体"/>
          <w:color w:val="auto"/>
          <w:kern w:val="2"/>
          <w:sz w:val="24"/>
          <w:lang w:eastAsia="zh-CN"/>
        </w:rPr>
        <w:t>乙方及其人员在材料进退场及材料装卸时必须严格遵守甲方现场管理的各项安全纪律要求及国家相关部门的安全条款要求，做好安全防护措施。坚决杜绝发生人身损害及其他事故，乙方及其人员如在甲方工地现场或在其进退场途中发生（包括但不限于）人身损害或因其侵权导致他人权益受损的，一切责任由乙方自行承担所有责任，与甲方无关。</w:t>
      </w:r>
    </w:p>
    <w:p w14:paraId="65ED0DED">
      <w:pPr>
        <w:framePr w:wrap="auto" w:vAnchor="margin" w:hAnchor="text" w:yAlign="inline"/>
        <w:widowControl w:val="0"/>
        <w:spacing w:line="360" w:lineRule="auto"/>
        <w:ind w:firstLine="482" w:firstLineChars="200"/>
        <w:jc w:val="both"/>
        <w:rPr>
          <w:rFonts w:hint="eastAsia" w:ascii="仿宋" w:hAnsi="仿宋" w:eastAsia="仿宋" w:cs="Times New Roman"/>
          <w:b/>
          <w:bCs/>
          <w:color w:val="auto"/>
          <w:kern w:val="2"/>
          <w:sz w:val="24"/>
          <w:lang w:eastAsia="zh-CN"/>
        </w:rPr>
      </w:pPr>
      <w:r>
        <w:rPr>
          <w:rFonts w:hint="eastAsia" w:ascii="仿宋" w:hAnsi="仿宋" w:eastAsia="仿宋" w:cs="宋体"/>
          <w:b/>
          <w:color w:val="auto"/>
          <w:kern w:val="2"/>
          <w:sz w:val="24"/>
          <w:lang w:eastAsia="zh-CN"/>
        </w:rPr>
        <w:t>十、</w:t>
      </w:r>
      <w:r>
        <w:rPr>
          <w:rFonts w:hint="eastAsia" w:ascii="仿宋" w:hAnsi="仿宋" w:eastAsia="仿宋" w:cs="Times New Roman"/>
          <w:b/>
          <w:bCs/>
          <w:color w:val="auto"/>
          <w:kern w:val="2"/>
          <w:sz w:val="24"/>
          <w:lang w:eastAsia="zh-CN"/>
        </w:rPr>
        <w:t>解决争议</w:t>
      </w:r>
    </w:p>
    <w:p w14:paraId="4EC64FDB">
      <w:pPr>
        <w:framePr w:wrap="auto" w:vAnchor="margin" w:hAnchor="text" w:yAlign="inline"/>
        <w:widowControl w:val="0"/>
        <w:tabs>
          <w:tab w:val="left" w:pos="0"/>
        </w:tabs>
        <w:spacing w:line="360" w:lineRule="auto"/>
        <w:ind w:firstLine="480" w:firstLineChars="200"/>
        <w:jc w:val="both"/>
        <w:rPr>
          <w:rFonts w:hint="eastAsia" w:ascii="仿宋" w:hAnsi="仿宋" w:eastAsia="仿宋" w:cs="Times New Roman"/>
          <w:color w:val="auto"/>
          <w:kern w:val="0"/>
          <w:sz w:val="24"/>
          <w:lang w:val="zh-CN" w:eastAsia="zh-CN"/>
        </w:rPr>
      </w:pPr>
      <w:r>
        <w:rPr>
          <w:rFonts w:hint="eastAsia" w:ascii="仿宋" w:hAnsi="仿宋" w:eastAsia="仿宋" w:cs="Times New Roman"/>
          <w:color w:val="auto"/>
          <w:kern w:val="0"/>
          <w:sz w:val="24"/>
          <w:lang w:val="zh-CN" w:eastAsia="zh-CN"/>
        </w:rPr>
        <w:t>本合同如在履行过程中发生争议的，双方协商解决，协商不成时，</w:t>
      </w:r>
      <w:r>
        <w:rPr>
          <w:rFonts w:hint="eastAsia" w:ascii="仿宋" w:hAnsi="仿宋" w:eastAsia="仿宋" w:cs="Times New Roman"/>
          <w:color w:val="auto"/>
          <w:kern w:val="2"/>
          <w:sz w:val="24"/>
          <w:lang w:eastAsia="zh-CN"/>
        </w:rPr>
        <w:t>任何一方可向甲方所在地有管辖权的人民法院提起诉讼。</w:t>
      </w:r>
    </w:p>
    <w:p w14:paraId="50F7AF51">
      <w:pPr>
        <w:framePr w:wrap="auto" w:vAnchor="margin" w:hAnchor="text" w:yAlign="inline"/>
        <w:widowControl w:val="0"/>
        <w:tabs>
          <w:tab w:val="left" w:pos="720"/>
        </w:tabs>
        <w:spacing w:line="360" w:lineRule="auto"/>
        <w:ind w:firstLine="482" w:firstLineChars="200"/>
        <w:jc w:val="both"/>
        <w:rPr>
          <w:rFonts w:hint="eastAsia" w:ascii="仿宋" w:hAnsi="仿宋" w:eastAsia="仿宋" w:cs="宋体"/>
          <w:b/>
          <w:bCs/>
          <w:color w:val="auto"/>
          <w:kern w:val="2"/>
          <w:sz w:val="24"/>
          <w:lang w:eastAsia="zh-CN"/>
        </w:rPr>
      </w:pPr>
      <w:r>
        <w:rPr>
          <w:rFonts w:hint="eastAsia" w:ascii="仿宋" w:hAnsi="仿宋" w:eastAsia="仿宋" w:cs="Times New Roman"/>
          <w:b/>
          <w:bCs/>
          <w:color w:val="auto"/>
          <w:kern w:val="2"/>
          <w:sz w:val="24"/>
          <w:lang w:eastAsia="zh-CN"/>
        </w:rPr>
        <w:t>十一</w:t>
      </w:r>
      <w:r>
        <w:rPr>
          <w:rFonts w:hint="eastAsia" w:ascii="仿宋" w:hAnsi="仿宋" w:eastAsia="仿宋" w:cs="宋体"/>
          <w:b/>
          <w:bCs/>
          <w:color w:val="auto"/>
          <w:kern w:val="2"/>
          <w:sz w:val="24"/>
          <w:lang w:eastAsia="zh-CN"/>
        </w:rPr>
        <w:t>、其他</w:t>
      </w:r>
    </w:p>
    <w:p w14:paraId="79E401D8">
      <w:pPr>
        <w:framePr w:wrap="auto" w:vAnchor="margin" w:hAnchor="text" w:yAlign="inline"/>
        <w:widowControl w:val="0"/>
        <w:spacing w:line="360" w:lineRule="auto"/>
        <w:ind w:firstLine="480" w:firstLineChars="200"/>
        <w:jc w:val="both"/>
        <w:rPr>
          <w:rFonts w:hint="eastAsia" w:ascii="仿宋" w:hAnsi="仿宋" w:eastAsia="仿宋" w:cs="宋体"/>
          <w:color w:val="auto"/>
          <w:kern w:val="2"/>
          <w:sz w:val="24"/>
          <w:lang w:eastAsia="zh-CN"/>
        </w:rPr>
      </w:pPr>
      <w:r>
        <w:rPr>
          <w:rFonts w:ascii="仿宋" w:hAnsi="仿宋" w:eastAsia="仿宋" w:cs="宋体"/>
          <w:color w:val="auto"/>
          <w:kern w:val="2"/>
          <w:sz w:val="24"/>
          <w:lang w:eastAsia="zh-CN"/>
        </w:rPr>
        <w:t>1</w:t>
      </w:r>
      <w:r>
        <w:rPr>
          <w:rFonts w:hint="eastAsia" w:ascii="仿宋" w:hAnsi="仿宋" w:eastAsia="仿宋" w:cs="宋体"/>
          <w:color w:val="auto"/>
          <w:kern w:val="2"/>
          <w:sz w:val="24"/>
          <w:lang w:eastAsia="zh-CN"/>
        </w:rPr>
        <w:t>、</w:t>
      </w:r>
      <w:r>
        <w:rPr>
          <w:rFonts w:hint="eastAsia" w:ascii="仿宋" w:hAnsi="仿宋" w:eastAsia="仿宋" w:cs="仿宋"/>
          <w:color w:val="auto"/>
          <w:kern w:val="0"/>
          <w:sz w:val="24"/>
          <w:lang w:eastAsia="zh-CN"/>
        </w:rPr>
        <w:t>甲方不允许项目部人员擅自变更本合同以及以甲方或甲方项目部名义对外借款等。甲方与乙方之间签订的任何合同、协议、补充合同、承诺书、确认单等均以甲方</w:t>
      </w:r>
      <w:r>
        <w:rPr>
          <w:rFonts w:hint="eastAsia" w:ascii="仿宋" w:hAnsi="仿宋" w:eastAsia="仿宋" w:cs="仿宋"/>
          <w:bCs/>
          <w:color w:val="auto"/>
          <w:kern w:val="0"/>
          <w:sz w:val="24"/>
          <w:lang w:eastAsia="zh-CN"/>
        </w:rPr>
        <w:t>委派项目经理签字并加盖公司公章或公司合同专用章</w:t>
      </w:r>
      <w:r>
        <w:rPr>
          <w:rFonts w:hint="eastAsia" w:ascii="仿宋" w:hAnsi="仿宋" w:eastAsia="仿宋" w:cs="仿宋"/>
          <w:color w:val="auto"/>
          <w:kern w:val="0"/>
          <w:sz w:val="24"/>
          <w:lang w:eastAsia="zh-CN"/>
        </w:rPr>
        <w:t>确认（除送货单、对账单、结算单允许盖项目部公章外），除此之外，加盖任何项目部印章、技术资料专用章、项目部财务章或项目部人员签名均对甲方不具有效力。乙方应谨慎审查相关文件的签署主体资格和权限，对于相关无权代理人签署的文件，乙方应及时提交甲方追认，甲方未盖章追认的，对甲方不产生效力。乙方与甲方项目部人员相互串通虚构发货单或结算单的，应向甲方支付虚构金额2倍的违约金。</w:t>
      </w:r>
    </w:p>
    <w:p w14:paraId="5D734CB4">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color w:val="auto"/>
          <w:kern w:val="2"/>
          <w:sz w:val="24"/>
          <w:lang w:eastAsia="zh-CN"/>
        </w:rPr>
      </w:pPr>
      <w:r>
        <w:rPr>
          <w:rFonts w:hint="eastAsia" w:ascii="仿宋" w:hAnsi="仿宋" w:eastAsia="仿宋" w:cs="宋体"/>
          <w:color w:val="auto"/>
          <w:kern w:val="2"/>
          <w:sz w:val="24"/>
          <w:lang w:eastAsia="zh-CN"/>
        </w:rPr>
        <w:t>2、乙方必须在每月</w:t>
      </w:r>
      <w:r>
        <w:rPr>
          <w:rFonts w:ascii="仿宋" w:hAnsi="仿宋" w:eastAsia="仿宋" w:cs="宋体"/>
          <w:color w:val="auto"/>
          <w:kern w:val="2"/>
          <w:sz w:val="24"/>
          <w:lang w:eastAsia="zh-CN"/>
        </w:rPr>
        <w:t>15</w:t>
      </w:r>
      <w:r>
        <w:rPr>
          <w:rFonts w:hint="eastAsia" w:ascii="仿宋" w:hAnsi="仿宋" w:eastAsia="仿宋" w:cs="宋体"/>
          <w:color w:val="auto"/>
          <w:kern w:val="2"/>
          <w:sz w:val="24"/>
          <w:lang w:eastAsia="zh-CN"/>
        </w:rPr>
        <w:t>日前将上一个月的结算情况、尚欠金额的清单及具体凭证的扫描件（包括但不限于收据、发票、银行凭证等）发到甲方指定电子邮件：</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宋体"/>
          <w:color w:val="auto"/>
          <w:kern w:val="2"/>
          <w:sz w:val="24"/>
          <w:lang w:eastAsia="zh-CN"/>
        </w:rPr>
        <w:t>（需写明具体所属项目），并注明乙方经办人及联系电话。若因乙方没有按约定时间报送上述凭证资料，视为甲方对乙方该月的结算不予确认，由此产生的任何经济损失由乙方承担，与甲方无关。</w:t>
      </w:r>
    </w:p>
    <w:p w14:paraId="34FDE13D">
      <w:pPr>
        <w:keepNext w:val="0"/>
        <w:keepLines w:val="0"/>
        <w:pageBreakBefore w:val="0"/>
        <w:framePr w:wrap="auto" w:vAnchor="margin" w:hAnchor="text" w:yAlign="inline"/>
        <w:widowControl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3、本合同最高结算金额不超过供应暂定金额（含税），超出部分甲方不予确认及支付，双方需另行协商签订补充合同。</w:t>
      </w:r>
    </w:p>
    <w:p w14:paraId="05DBA28B">
      <w:pPr>
        <w:keepNext w:val="0"/>
        <w:keepLines w:val="0"/>
        <w:pageBreakBefore w:val="0"/>
        <w:framePr w:wrap="auto" w:vAnchor="margin" w:hAnchor="text" w:yAlign="inline"/>
        <w:widowControl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4、本合同如有未尽事宜或需变更补充时应另订书面补充协议，补充协议未达成之前按本合同执行，任何一方均无权擅自更改合同内容。</w:t>
      </w:r>
    </w:p>
    <w:p w14:paraId="42574871">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color w:val="auto"/>
          <w:kern w:val="2"/>
          <w:sz w:val="24"/>
          <w:lang w:eastAsia="zh-CN"/>
        </w:rPr>
      </w:pPr>
      <w:r>
        <w:rPr>
          <w:rFonts w:hint="eastAsia" w:ascii="仿宋" w:hAnsi="仿宋" w:eastAsia="仿宋" w:cs="宋体"/>
          <w:color w:val="auto"/>
          <w:kern w:val="2"/>
          <w:sz w:val="24"/>
          <w:lang w:eastAsia="zh-CN"/>
        </w:rPr>
        <w:t>5、就本合同有关事项，任何一方按照下列地址送达、寄送通知等法律文件，即视为已经有效送达另一方。任务一方变更下列联系地址，应当及时书面通知另一方，另一方在收到联系地址变更的书面通知前，按照下列地址送达、寄送通知等法律文件，仍然视为有效送达。</w:t>
      </w:r>
    </w:p>
    <w:p w14:paraId="369FB3F8">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甲方地址：</w:t>
      </w:r>
      <w:r>
        <w:rPr>
          <w:rFonts w:hint="eastAsia" w:ascii="仿宋" w:hAnsi="仿宋" w:eastAsia="仿宋" w:cs="Times New Roman"/>
          <w:color w:val="auto"/>
          <w:kern w:val="2"/>
          <w:sz w:val="24"/>
          <w:u w:val="single"/>
          <w:lang w:val="en-US" w:eastAsia="zh-CN"/>
        </w:rPr>
        <w:t xml:space="preserve">                         </w:t>
      </w:r>
    </w:p>
    <w:p w14:paraId="56B51B61">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乙方地址：</w:t>
      </w:r>
      <w:r>
        <w:rPr>
          <w:rFonts w:hint="eastAsia" w:ascii="仿宋" w:hAnsi="仿宋" w:eastAsia="仿宋" w:cs="Times New Roman"/>
          <w:color w:val="auto"/>
          <w:kern w:val="2"/>
          <w:sz w:val="24"/>
          <w:u w:val="single"/>
          <w:lang w:val="en-US" w:eastAsia="zh-CN"/>
        </w:rPr>
        <w:t xml:space="preserve">                         </w:t>
      </w:r>
    </w:p>
    <w:p w14:paraId="1677177C">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6、本合同一式</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份，甲方执</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份，乙方执</w:t>
      </w:r>
      <w:r>
        <w:rPr>
          <w:rFonts w:hint="eastAsia" w:ascii="仿宋" w:hAnsi="仿宋" w:eastAsia="仿宋" w:cs="Times New Roman"/>
          <w:color w:val="auto"/>
          <w:kern w:val="2"/>
          <w:sz w:val="24"/>
          <w:u w:val="single"/>
          <w:lang w:val="en-US" w:eastAsia="zh-CN"/>
        </w:rPr>
        <w:t xml:space="preserve">  </w:t>
      </w:r>
      <w:r>
        <w:rPr>
          <w:rFonts w:hint="eastAsia" w:ascii="仿宋" w:hAnsi="仿宋" w:eastAsia="仿宋" w:cs="Times New Roman"/>
          <w:color w:val="auto"/>
          <w:kern w:val="2"/>
          <w:sz w:val="24"/>
          <w:lang w:eastAsia="zh-CN"/>
        </w:rPr>
        <w:t>份，具有同等的法律效力。</w:t>
      </w:r>
    </w:p>
    <w:p w14:paraId="64A85A0C">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7、本合同在双方签字盖章后生效，双方履行完毕合同中全部责任后自然终止。</w:t>
      </w:r>
    </w:p>
    <w:p w14:paraId="569F3255">
      <w:pPr>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right="-998" w:rightChars="-416" w:firstLine="480" w:firstLineChars="200"/>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（本行以下无正文）</w:t>
      </w:r>
    </w:p>
    <w:p w14:paraId="4E937E80">
      <w:pPr>
        <w:framePr w:wrap="auto" w:vAnchor="margin" w:hAnchor="text" w:yAlign="inline"/>
        <w:widowControl w:val="0"/>
        <w:spacing w:line="360" w:lineRule="auto"/>
        <w:ind w:right="-998" w:rightChars="-416"/>
        <w:jc w:val="both"/>
        <w:rPr>
          <w:rFonts w:hint="eastAsia" w:ascii="仿宋" w:hAnsi="仿宋" w:eastAsia="仿宋" w:cs="Times New Roman"/>
          <w:color w:val="auto"/>
          <w:kern w:val="2"/>
          <w:sz w:val="24"/>
          <w:lang w:eastAsia="zh-CN"/>
        </w:rPr>
      </w:pPr>
    </w:p>
    <w:p w14:paraId="3084DDE4">
      <w:pPr>
        <w:widowControl w:val="0"/>
        <w:spacing w:after="120"/>
        <w:jc w:val="both"/>
        <w:rPr>
          <w:rFonts w:hint="eastAsia" w:ascii="方正书宋简体" w:hAnsi="Calibri" w:eastAsia="方正书宋简体" w:cs="Times New Roman"/>
          <w:color w:val="auto"/>
          <w:kern w:val="2"/>
          <w:sz w:val="24"/>
          <w:szCs w:val="24"/>
          <w:lang w:val="en-US" w:eastAsia="zh-CN" w:bidi="ar-SA"/>
        </w:rPr>
      </w:pPr>
    </w:p>
    <w:tbl>
      <w:tblPr>
        <w:tblStyle w:val="21"/>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0"/>
        <w:gridCol w:w="4819"/>
      </w:tblGrid>
      <w:tr w14:paraId="0ABA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4820" w:type="dxa"/>
            <w:tcBorders>
              <w:top w:val="nil"/>
              <w:left w:val="nil"/>
              <w:bottom w:val="nil"/>
              <w:right w:val="nil"/>
            </w:tcBorders>
            <w:noWrap w:val="0"/>
            <w:vAlign w:val="top"/>
          </w:tcPr>
          <w:p w14:paraId="600EA3FE">
            <w:pPr>
              <w:framePr w:wrap="auto" w:vAnchor="margin" w:hAnchor="text" w:yAlign="inline"/>
              <w:widowControl/>
              <w:spacing w:line="480" w:lineRule="auto"/>
              <w:jc w:val="both"/>
              <w:rPr>
                <w:rFonts w:ascii="仿宋" w:hAnsi="仿宋" w:eastAsia="仿宋" w:cs="仿宋"/>
                <w:color w:val="auto"/>
                <w:kern w:val="0"/>
                <w:sz w:val="24"/>
                <w:lang w:eastAsia="zh-CN"/>
              </w:rPr>
            </w:pPr>
            <w:r>
              <w:rPr>
                <w:rFonts w:hint="eastAsia" w:ascii="仿宋" w:hAnsi="仿宋" w:eastAsia="仿宋" w:cs="仿宋"/>
                <w:color w:val="auto"/>
                <w:kern w:val="0"/>
                <w:sz w:val="24"/>
                <w:lang w:eastAsia="zh-CN"/>
              </w:rPr>
              <w:t>甲方：</w:t>
            </w:r>
          </w:p>
          <w:p w14:paraId="7BFE234D">
            <w:pPr>
              <w:framePr w:wrap="auto" w:vAnchor="margin" w:hAnchor="text" w:yAlign="inline"/>
              <w:widowControl/>
              <w:spacing w:line="480" w:lineRule="auto"/>
              <w:jc w:val="both"/>
              <w:rPr>
                <w:rFonts w:ascii="仿宋" w:hAnsi="仿宋" w:eastAsia="仿宋" w:cs="仿宋"/>
                <w:color w:val="auto"/>
                <w:kern w:val="0"/>
                <w:sz w:val="24"/>
                <w:lang w:eastAsia="zh-CN"/>
              </w:rPr>
            </w:pPr>
            <w:r>
              <w:rPr>
                <w:rFonts w:hint="eastAsia" w:ascii="仿宋" w:hAnsi="仿宋" w:eastAsia="仿宋" w:cs="仿宋"/>
                <w:color w:val="auto"/>
                <w:kern w:val="0"/>
                <w:sz w:val="24"/>
                <w:lang w:eastAsia="zh-CN"/>
              </w:rPr>
              <w:t xml:space="preserve">法定代表人：            </w:t>
            </w:r>
          </w:p>
          <w:p w14:paraId="72C3F8DC">
            <w:pPr>
              <w:framePr w:wrap="auto" w:vAnchor="margin" w:hAnchor="text" w:yAlign="inline"/>
              <w:widowControl/>
              <w:spacing w:line="480" w:lineRule="auto"/>
              <w:jc w:val="both"/>
              <w:rPr>
                <w:rFonts w:ascii="仿宋" w:hAnsi="仿宋" w:eastAsia="仿宋" w:cs="仿宋"/>
                <w:color w:val="auto"/>
                <w:kern w:val="0"/>
                <w:sz w:val="24"/>
                <w:lang w:eastAsia="zh-CN"/>
              </w:rPr>
            </w:pPr>
            <w:r>
              <w:rPr>
                <w:rFonts w:hint="eastAsia" w:ascii="仿宋" w:hAnsi="仿宋" w:eastAsia="仿宋" w:cs="仿宋"/>
                <w:color w:val="auto"/>
                <w:kern w:val="0"/>
                <w:sz w:val="24"/>
                <w:lang w:eastAsia="zh-CN"/>
              </w:rPr>
              <w:t xml:space="preserve">授权代理人：           </w:t>
            </w:r>
          </w:p>
          <w:p w14:paraId="6581ED97">
            <w:pPr>
              <w:framePr w:wrap="auto" w:vAnchor="margin" w:hAnchor="text" w:yAlign="inline"/>
              <w:widowControl w:val="0"/>
              <w:spacing w:line="480" w:lineRule="auto"/>
              <w:jc w:val="both"/>
              <w:rPr>
                <w:rFonts w:ascii="仿宋" w:hAnsi="仿宋" w:eastAsia="仿宋" w:cs="仿宋"/>
                <w:color w:val="auto"/>
                <w:kern w:val="0"/>
                <w:sz w:val="24"/>
                <w:lang w:eastAsia="zh-CN"/>
              </w:rPr>
            </w:pPr>
            <w:r>
              <w:rPr>
                <w:rFonts w:hint="eastAsia" w:ascii="仿宋" w:hAnsi="仿宋" w:eastAsia="仿宋" w:cs="仿宋"/>
                <w:color w:val="auto"/>
                <w:kern w:val="0"/>
                <w:sz w:val="24"/>
                <w:lang w:eastAsia="zh-CN"/>
              </w:rPr>
              <w:t>签定日期：</w:t>
            </w:r>
          </w:p>
        </w:tc>
        <w:tc>
          <w:tcPr>
            <w:tcW w:w="4819" w:type="dxa"/>
            <w:tcBorders>
              <w:top w:val="nil"/>
              <w:left w:val="nil"/>
              <w:bottom w:val="nil"/>
              <w:right w:val="nil"/>
            </w:tcBorders>
            <w:noWrap w:val="0"/>
            <w:vAlign w:val="top"/>
          </w:tcPr>
          <w:p w14:paraId="5927EB3C">
            <w:pPr>
              <w:keepNext w:val="0"/>
              <w:keepLines w:val="0"/>
              <w:pageBreakBefore w:val="0"/>
              <w:framePr w:wrap="auto" w:vAnchor="margin" w:hAnchor="text" w:yAlign="inline"/>
              <w:widowControl/>
              <w:kinsoku/>
              <w:wordWrap/>
              <w:overflowPunct/>
              <w:topLinePunct w:val="0"/>
              <w:autoSpaceDE/>
              <w:autoSpaceDN/>
              <w:bidi w:val="0"/>
              <w:adjustRightInd/>
              <w:snapToGrid/>
              <w:spacing w:line="480" w:lineRule="auto"/>
              <w:jc w:val="both"/>
              <w:textAlignment w:val="auto"/>
              <w:rPr>
                <w:rFonts w:ascii="仿宋" w:hAnsi="仿宋" w:eastAsia="仿宋" w:cs="仿宋"/>
                <w:color w:val="auto"/>
                <w:kern w:val="0"/>
                <w:sz w:val="24"/>
                <w:lang w:eastAsia="zh-CN"/>
              </w:rPr>
            </w:pPr>
            <w:r>
              <w:rPr>
                <w:rFonts w:hint="eastAsia" w:ascii="仿宋" w:hAnsi="仿宋" w:eastAsia="仿宋" w:cs="仿宋"/>
                <w:color w:val="auto"/>
                <w:kern w:val="0"/>
                <w:sz w:val="24"/>
                <w:lang w:eastAsia="zh-CN"/>
              </w:rPr>
              <w:t>乙方：</w:t>
            </w:r>
          </w:p>
          <w:p w14:paraId="026CB2B7">
            <w:pPr>
              <w:keepNext w:val="0"/>
              <w:keepLines w:val="0"/>
              <w:pageBreakBefore w:val="0"/>
              <w:framePr w:wrap="auto" w:vAnchor="margin" w:hAnchor="text" w:yAlign="inline"/>
              <w:widowControl/>
              <w:kinsoku/>
              <w:wordWrap/>
              <w:overflowPunct/>
              <w:topLinePunct w:val="0"/>
              <w:autoSpaceDE/>
              <w:autoSpaceDN/>
              <w:bidi w:val="0"/>
              <w:adjustRightInd/>
              <w:snapToGrid/>
              <w:spacing w:line="480" w:lineRule="auto"/>
              <w:jc w:val="both"/>
              <w:textAlignment w:val="auto"/>
              <w:rPr>
                <w:rFonts w:hint="eastAsia" w:ascii="仿宋" w:hAnsi="仿宋" w:eastAsia="仿宋" w:cs="Times New Roman"/>
                <w:color w:val="auto"/>
                <w:kern w:val="2"/>
                <w:sz w:val="24"/>
                <w:lang w:eastAsia="zh-CN"/>
              </w:rPr>
            </w:pPr>
            <w:r>
              <w:rPr>
                <w:rFonts w:hint="eastAsia" w:ascii="仿宋" w:hAnsi="仿宋" w:eastAsia="仿宋" w:cs="仿宋"/>
                <w:color w:val="auto"/>
                <w:kern w:val="0"/>
                <w:sz w:val="24"/>
                <w:lang w:eastAsia="zh-CN"/>
              </w:rPr>
              <w:t>法定</w:t>
            </w:r>
            <w:r>
              <w:rPr>
                <w:rFonts w:hint="eastAsia" w:ascii="仿宋" w:hAnsi="仿宋" w:eastAsia="仿宋" w:cs="Times New Roman"/>
                <w:color w:val="auto"/>
                <w:kern w:val="2"/>
                <w:sz w:val="24"/>
                <w:lang w:eastAsia="zh-CN"/>
              </w:rPr>
              <w:t>代表人：</w:t>
            </w:r>
          </w:p>
          <w:p w14:paraId="11C326E7">
            <w:pPr>
              <w:keepNext w:val="0"/>
              <w:keepLines w:val="0"/>
              <w:pageBreakBefore w:val="0"/>
              <w:framePr w:wrap="auto" w:vAnchor="margin" w:hAnchor="text" w:yAlign="inline"/>
              <w:widowControl/>
              <w:kinsoku/>
              <w:wordWrap/>
              <w:overflowPunct/>
              <w:topLinePunct w:val="0"/>
              <w:autoSpaceDE/>
              <w:autoSpaceDN/>
              <w:bidi w:val="0"/>
              <w:adjustRightInd/>
              <w:snapToGrid/>
              <w:spacing w:line="480" w:lineRule="auto"/>
              <w:jc w:val="both"/>
              <w:textAlignment w:val="auto"/>
              <w:rPr>
                <w:rFonts w:hint="eastAsia" w:ascii="仿宋" w:hAnsi="仿宋" w:eastAsia="仿宋" w:cs="Times New Roman"/>
                <w:color w:val="auto"/>
                <w:kern w:val="2"/>
                <w:sz w:val="24"/>
                <w:lang w:eastAsia="zh-CN"/>
              </w:rPr>
            </w:pPr>
            <w:r>
              <w:rPr>
                <w:rFonts w:hint="eastAsia" w:ascii="仿宋" w:hAnsi="仿宋" w:eastAsia="仿宋" w:cs="Times New Roman"/>
                <w:color w:val="auto"/>
                <w:kern w:val="2"/>
                <w:sz w:val="24"/>
                <w:lang w:eastAsia="zh-CN"/>
              </w:rPr>
              <w:t xml:space="preserve">授权代理人：            </w:t>
            </w:r>
          </w:p>
          <w:p w14:paraId="72E7F3F1">
            <w:pPr>
              <w:keepNext w:val="0"/>
              <w:keepLines w:val="0"/>
              <w:pageBreakBefore w:val="0"/>
              <w:framePr w:wrap="auto" w:vAnchor="margin" w:hAnchor="text" w:yAlign="inline"/>
              <w:widowControl w:val="0"/>
              <w:kinsoku/>
              <w:wordWrap/>
              <w:overflowPunct/>
              <w:topLinePunct w:val="0"/>
              <w:autoSpaceDE/>
              <w:autoSpaceDN/>
              <w:bidi w:val="0"/>
              <w:adjustRightInd/>
              <w:snapToGrid/>
              <w:spacing w:line="480" w:lineRule="auto"/>
              <w:jc w:val="both"/>
              <w:textAlignment w:val="auto"/>
              <w:rPr>
                <w:rFonts w:ascii="仿宋" w:hAnsi="仿宋" w:eastAsia="仿宋" w:cs="仿宋"/>
                <w:color w:val="auto"/>
                <w:kern w:val="0"/>
                <w:sz w:val="24"/>
                <w:lang w:eastAsia="zh-CN"/>
              </w:rPr>
            </w:pPr>
            <w:r>
              <w:rPr>
                <w:rFonts w:hint="eastAsia" w:ascii="仿宋" w:hAnsi="仿宋" w:eastAsia="仿宋" w:cs="仿宋"/>
                <w:color w:val="auto"/>
                <w:kern w:val="0"/>
                <w:sz w:val="24"/>
                <w:lang w:eastAsia="zh-CN"/>
              </w:rPr>
              <w:t>签定日期：</w:t>
            </w:r>
          </w:p>
        </w:tc>
      </w:tr>
    </w:tbl>
    <w:p w14:paraId="3CF4CD56">
      <w:pPr>
        <w:framePr w:wrap="auto" w:vAnchor="margin" w:hAnchor="text" w:yAlign="inline"/>
        <w:rPr>
          <w:rFonts w:hint="eastAsia" w:ascii="宋体" w:hAnsi="宋体" w:eastAsia="宋体" w:cs="宋体"/>
          <w:b/>
          <w:bCs/>
          <w:color w:val="auto"/>
          <w:sz w:val="32"/>
          <w:szCs w:val="32"/>
          <w:highlight w:val="none"/>
          <w:lang w:val="en-US" w:eastAsia="zh-CN"/>
        </w:rPr>
      </w:pPr>
    </w:p>
    <w:p w14:paraId="265ED0ED">
      <w:pPr>
        <w:framePr w:wrap="auto" w:vAnchor="margin" w:hAnchor="text" w:yAlign="in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7173E966">
      <w:pPr>
        <w:keepNext w:val="0"/>
        <w:keepLines/>
        <w:pageBreakBefore w:val="0"/>
        <w:framePr w:wrap="auto" w:vAnchor="margin" w:hAnchor="text" w:yAlign="inline"/>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第六部分  响应文件格式</w:t>
      </w:r>
      <w:bookmarkEnd w:id="16"/>
    </w:p>
    <w:p w14:paraId="2529A3A6">
      <w:pPr>
        <w:pStyle w:val="32"/>
        <w:framePr w:wrap="auto" w:vAnchor="margin" w:hAnchor="text" w:yAlign="inline"/>
        <w:wordWrap w:val="0"/>
        <w:spacing w:line="1200" w:lineRule="exact"/>
        <w:jc w:val="center"/>
        <w:rPr>
          <w:rFonts w:hint="eastAsia" w:ascii="宋体" w:hAnsi="宋体" w:eastAsia="宋体" w:cs="宋体"/>
          <w:color w:val="auto"/>
          <w:sz w:val="44"/>
          <w:szCs w:val="44"/>
          <w:highlight w:val="none"/>
          <w:u w:val="single"/>
        </w:rPr>
      </w:pPr>
    </w:p>
    <w:p w14:paraId="50C8FF98">
      <w:pPr>
        <w:pStyle w:val="32"/>
        <w:framePr w:wrap="auto" w:vAnchor="margin" w:hAnchor="text" w:yAlign="inline"/>
        <w:wordWrap w:val="0"/>
        <w:adjustRightInd w:val="0"/>
        <w:snapToGrid w:val="0"/>
        <w:spacing w:line="360" w:lineRule="auto"/>
        <w:jc w:val="center"/>
        <w:rPr>
          <w:rFonts w:hint="eastAsia" w:ascii="宋体" w:hAnsi="宋体" w:eastAsia="宋体" w:cs="宋体"/>
          <w:color w:val="auto"/>
          <w:sz w:val="44"/>
          <w:szCs w:val="44"/>
          <w:highlight w:val="none"/>
          <w:lang w:val="en-US" w:eastAsia="zh-CN"/>
        </w:rPr>
      </w:pPr>
    </w:p>
    <w:p w14:paraId="32D94E6D">
      <w:pPr>
        <w:pStyle w:val="32"/>
        <w:framePr w:wrap="auto" w:vAnchor="margin" w:hAnchor="text" w:yAlign="inline"/>
        <w:wordWrap w:val="0"/>
        <w:adjustRightInd w:val="0"/>
        <w:snapToGrid w:val="0"/>
        <w:spacing w:line="360" w:lineRule="auto"/>
        <w:jc w:val="center"/>
        <w:rPr>
          <w:rFonts w:hint="eastAsia" w:ascii="宋体" w:hAnsi="宋体" w:eastAsia="宋体" w:cs="宋体"/>
          <w:color w:val="auto"/>
          <w:sz w:val="44"/>
          <w:szCs w:val="44"/>
          <w:highlight w:val="none"/>
          <w:lang w:val="en-US" w:eastAsia="zh-CN"/>
        </w:rPr>
      </w:pPr>
    </w:p>
    <w:p w14:paraId="3B70A7E5">
      <w:pPr>
        <w:pStyle w:val="32"/>
        <w:framePr w:wrap="auto" w:vAnchor="margin" w:hAnchor="text" w:yAlign="inline"/>
        <w:wordWrap w:val="0"/>
        <w:adjustRightInd w:val="0"/>
        <w:snapToGrid w:val="0"/>
        <w:spacing w:line="36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惠东县大洲片区新型城镇化基础设施建设项目(沿江北路)建设工程项目</w:t>
      </w:r>
    </w:p>
    <w:p w14:paraId="51D98A10">
      <w:pPr>
        <w:pStyle w:val="32"/>
        <w:framePr w:wrap="auto" w:vAnchor="margin" w:hAnchor="text" w:yAlign="inline"/>
        <w:wordWrap w:val="0"/>
        <w:adjustRightInd w:val="0"/>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编号（05）商品混凝土</w:t>
      </w:r>
      <w:r>
        <w:rPr>
          <w:rFonts w:hint="eastAsia" w:ascii="宋体" w:hAnsi="宋体" w:eastAsia="宋体" w:cs="宋体"/>
          <w:b/>
          <w:bCs/>
          <w:color w:val="auto"/>
          <w:sz w:val="44"/>
          <w:szCs w:val="44"/>
          <w:highlight w:val="none"/>
          <w:lang w:val="en-US" w:eastAsia="zh-CN"/>
        </w:rPr>
        <w:t>竞价</w:t>
      </w:r>
      <w:r>
        <w:rPr>
          <w:rFonts w:hint="eastAsia" w:ascii="宋体" w:hAnsi="宋体" w:eastAsia="宋体" w:cs="宋体"/>
          <w:b/>
          <w:bCs/>
          <w:color w:val="auto"/>
          <w:sz w:val="44"/>
          <w:szCs w:val="44"/>
          <w:highlight w:val="none"/>
          <w:u w:val="none" w:color="auto"/>
          <w:lang w:val="zh-TW"/>
        </w:rPr>
        <w:t>文件</w:t>
      </w:r>
    </w:p>
    <w:p w14:paraId="1A4599A5">
      <w:pPr>
        <w:pStyle w:val="32"/>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highlight w:val="none"/>
        </w:rPr>
      </w:pPr>
    </w:p>
    <w:p w14:paraId="5FA5D989">
      <w:pPr>
        <w:pStyle w:val="32"/>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highlight w:val="none"/>
        </w:rPr>
      </w:pPr>
    </w:p>
    <w:p w14:paraId="341A7A30">
      <w:pPr>
        <w:pStyle w:val="32"/>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highlight w:val="none"/>
        </w:rPr>
      </w:pPr>
    </w:p>
    <w:p w14:paraId="76D20A8F">
      <w:pPr>
        <w:pStyle w:val="32"/>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highlight w:val="none"/>
        </w:rPr>
      </w:pPr>
    </w:p>
    <w:p w14:paraId="38BC5DC2">
      <w:pPr>
        <w:pStyle w:val="32"/>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highlight w:val="none"/>
        </w:rPr>
      </w:pPr>
    </w:p>
    <w:p w14:paraId="2A59EEF4">
      <w:pPr>
        <w:pStyle w:val="32"/>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highlight w:val="none"/>
        </w:rPr>
      </w:pPr>
    </w:p>
    <w:p w14:paraId="1799A0ED">
      <w:pPr>
        <w:pStyle w:val="32"/>
        <w:framePr w:wrap="auto" w:vAnchor="margin" w:hAnchor="text" w:yAlign="inline"/>
        <w:wordWrap w:val="0"/>
        <w:adjustRightInd w:val="0"/>
        <w:snapToGrid w:val="0"/>
        <w:spacing w:line="360" w:lineRule="auto"/>
        <w:ind w:left="0" w:leftChars="0" w:firstLine="480" w:firstLineChars="150"/>
        <w:jc w:val="left"/>
        <w:rPr>
          <w:rFonts w:hint="eastAsia" w:ascii="宋体" w:hAnsi="宋体" w:eastAsia="宋体" w:cs="宋体"/>
          <w:color w:val="auto"/>
          <w:sz w:val="32"/>
          <w:szCs w:val="32"/>
          <w:highlight w:val="none"/>
          <w:u w:val="single"/>
          <w:lang w:val="zh-TW"/>
        </w:rPr>
      </w:pPr>
      <w:r>
        <w:rPr>
          <w:rFonts w:hint="eastAsia" w:ascii="宋体" w:hAnsi="宋体" w:eastAsia="宋体" w:cs="宋体"/>
          <w:color w:val="auto"/>
          <w:sz w:val="32"/>
          <w:szCs w:val="32"/>
          <w:highlight w:val="none"/>
        </w:rPr>
        <w:t>响应人</w:t>
      </w:r>
      <w:r>
        <w:rPr>
          <w:rFonts w:hint="eastAsia" w:ascii="宋体" w:hAnsi="宋体" w:eastAsia="宋体" w:cs="宋体"/>
          <w:color w:val="auto"/>
          <w:sz w:val="32"/>
          <w:szCs w:val="32"/>
          <w:highlight w:val="none"/>
          <w:lang w:val="zh-TW" w:eastAsia="zh-TW"/>
        </w:rPr>
        <w:t>：</w:t>
      </w:r>
      <w:r>
        <w:rPr>
          <w:rFonts w:hint="eastAsia" w:ascii="宋体" w:hAnsi="宋体" w:eastAsia="宋体" w:cs="宋体"/>
          <w:color w:val="auto"/>
          <w:sz w:val="32"/>
          <w:szCs w:val="32"/>
          <w:highlight w:val="none"/>
          <w:u w:val="single"/>
          <w:lang w:val="zh-TW" w:eastAsia="zh-TW"/>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zh-TW" w:eastAsia="zh-TW"/>
        </w:rPr>
        <w:t xml:space="preserve">   </w:t>
      </w:r>
      <w:r>
        <w:rPr>
          <w:rFonts w:hint="eastAsia" w:ascii="宋体" w:hAnsi="宋体" w:eastAsia="宋体" w:cs="宋体"/>
          <w:color w:val="auto"/>
          <w:sz w:val="32"/>
          <w:szCs w:val="32"/>
          <w:highlight w:val="none"/>
          <w:u w:val="single"/>
        </w:rPr>
        <w:t xml:space="preserve"> </w:t>
      </w:r>
    </w:p>
    <w:p w14:paraId="00F3CE29">
      <w:pPr>
        <w:pStyle w:val="32"/>
        <w:framePr w:wrap="auto" w:vAnchor="margin" w:hAnchor="text" w:yAlign="inline"/>
        <w:wordWrap w:val="0"/>
        <w:adjustRightInd w:val="0"/>
        <w:snapToGrid w:val="0"/>
        <w:spacing w:line="360" w:lineRule="auto"/>
        <w:ind w:left="0" w:leftChars="0" w:firstLine="480" w:firstLineChars="150"/>
        <w:rPr>
          <w:rFonts w:hint="eastAsia" w:ascii="宋体" w:hAnsi="宋体" w:eastAsia="宋体" w:cs="宋体"/>
          <w:color w:val="auto"/>
          <w:sz w:val="32"/>
          <w:szCs w:val="32"/>
          <w:highlight w:val="none"/>
          <w:u w:val="single"/>
          <w:lang w:eastAsia="zh-TW"/>
        </w:rPr>
      </w:pPr>
      <w:r>
        <w:rPr>
          <w:rFonts w:hint="eastAsia" w:ascii="宋体" w:hAnsi="宋体" w:eastAsia="宋体" w:cs="宋体"/>
          <w:color w:val="auto"/>
          <w:sz w:val="32"/>
          <w:szCs w:val="32"/>
          <w:highlight w:val="none"/>
          <w:lang w:eastAsia="zh-TW"/>
        </w:rPr>
        <w:t>法定代表人或其委托代理人：</w:t>
      </w:r>
      <w:r>
        <w:rPr>
          <w:rFonts w:hint="eastAsia" w:ascii="宋体" w:hAnsi="宋体" w:eastAsia="宋体" w:cs="宋体"/>
          <w:color w:val="auto"/>
          <w:sz w:val="32"/>
          <w:szCs w:val="32"/>
          <w:highlight w:val="none"/>
          <w:u w:val="single"/>
          <w:lang w:eastAsia="zh-TW"/>
        </w:rPr>
        <w:t xml:space="preserve">        </w:t>
      </w:r>
    </w:p>
    <w:p w14:paraId="77EFD1CB">
      <w:pPr>
        <w:pStyle w:val="32"/>
        <w:framePr w:wrap="auto" w:vAnchor="margin" w:hAnchor="text" w:yAlign="inline"/>
        <w:wordWrap w:val="0"/>
        <w:adjustRightInd w:val="0"/>
        <w:snapToGrid w:val="0"/>
        <w:spacing w:line="360" w:lineRule="auto"/>
        <w:ind w:firstLine="1440"/>
        <w:rPr>
          <w:rFonts w:hint="eastAsia" w:ascii="宋体" w:hAnsi="宋体" w:eastAsia="宋体" w:cs="宋体"/>
          <w:color w:val="auto"/>
          <w:sz w:val="32"/>
          <w:szCs w:val="32"/>
          <w:highlight w:val="none"/>
          <w:lang w:val="zh-TW" w:eastAsia="zh-TW"/>
        </w:rPr>
      </w:pPr>
    </w:p>
    <w:p w14:paraId="436CA819">
      <w:pPr>
        <w:pStyle w:val="32"/>
        <w:framePr w:wrap="auto" w:vAnchor="margin" w:hAnchor="text" w:yAlign="inline"/>
        <w:wordWrap w:val="0"/>
        <w:adjustRightInd w:val="0"/>
        <w:snapToGrid w:val="0"/>
        <w:spacing w:line="360" w:lineRule="auto"/>
        <w:ind w:firstLine="1440"/>
        <w:rPr>
          <w:rFonts w:hint="eastAsia" w:ascii="宋体" w:hAnsi="宋体" w:eastAsia="宋体" w:cs="宋体"/>
          <w:color w:val="auto"/>
          <w:sz w:val="32"/>
          <w:szCs w:val="32"/>
          <w:highlight w:val="none"/>
          <w:lang w:val="zh-TW" w:eastAsia="zh-TW"/>
        </w:rPr>
      </w:pPr>
    </w:p>
    <w:p w14:paraId="69C8B3F5">
      <w:pPr>
        <w:pStyle w:val="32"/>
        <w:framePr w:wrap="auto" w:vAnchor="margin" w:hAnchor="text" w:yAlign="inline"/>
        <w:wordWrap w:val="0"/>
        <w:adjustRightInd w:val="0"/>
        <w:snapToGrid w:val="0"/>
        <w:spacing w:line="360" w:lineRule="auto"/>
        <w:ind w:left="0" w:lef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zh-TW" w:eastAsia="zh-TW"/>
        </w:rPr>
        <w:t xml:space="preserve">编制日期：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lang w:val="zh-TW" w:eastAsia="zh-TW"/>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lang w:val="zh-TW" w:eastAsia="zh-TW"/>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lang w:val="zh-TW" w:eastAsia="zh-TW"/>
        </w:rPr>
        <w:t>日</w:t>
      </w:r>
    </w:p>
    <w:p w14:paraId="25D1B0AF">
      <w:pPr>
        <w:pStyle w:val="32"/>
        <w:framePr w:wrap="auto" w:vAnchor="margin" w:hAnchor="text" w:yAlign="inline"/>
        <w:wordWrap w:val="0"/>
        <w:spacing w:line="520" w:lineRule="exact"/>
        <w:ind w:firstLine="177"/>
        <w:jc w:val="center"/>
        <w:rPr>
          <w:rFonts w:hint="eastAsia" w:ascii="宋体" w:hAnsi="宋体" w:eastAsia="宋体" w:cs="宋体"/>
          <w:b/>
          <w:bCs/>
          <w:color w:val="auto"/>
          <w:sz w:val="30"/>
          <w:szCs w:val="30"/>
          <w:highlight w:val="none"/>
        </w:rPr>
      </w:pPr>
    </w:p>
    <w:p w14:paraId="0EEC2C3F">
      <w:pPr>
        <w:pStyle w:val="32"/>
        <w:framePr w:wrap="auto" w:vAnchor="margin" w:hAnchor="text" w:yAlign="inline"/>
        <w:wordWrap w:val="0"/>
        <w:adjustRightInd w:val="0"/>
        <w:snapToGrid w:val="0"/>
        <w:spacing w:line="360" w:lineRule="auto"/>
        <w:ind w:firstLine="1440"/>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highlight w:val="none"/>
          <w:lang w:eastAsia="zh-CN"/>
        </w:rPr>
        <w:br w:type="page"/>
      </w:r>
    </w:p>
    <w:p w14:paraId="79C524D2">
      <w:pPr>
        <w:pStyle w:val="32"/>
        <w:framePr w:wrap="auto" w:vAnchor="margin" w:hAnchor="text" w:yAlign="inline"/>
        <w:wordWrap w:val="0"/>
        <w:adjustRightInd w:val="0"/>
        <w:snapToGrid w:val="0"/>
        <w:spacing w:line="360" w:lineRule="auto"/>
        <w:jc w:val="both"/>
        <w:rPr>
          <w:rFonts w:ascii="宋体" w:hAnsi="宋体" w:eastAsia="宋体" w:cs="宋体"/>
          <w:b/>
          <w:bCs/>
          <w:color w:val="auto"/>
          <w:sz w:val="30"/>
          <w:szCs w:val="30"/>
          <w:lang w:eastAsia="zh-CN"/>
        </w:rPr>
      </w:pPr>
      <w:r>
        <w:rPr>
          <w:rFonts w:hint="eastAsia" w:ascii="宋体" w:hAnsi="宋体" w:eastAsia="宋体" w:cs="宋体"/>
          <w:b/>
          <w:bCs/>
          <w:color w:val="auto"/>
          <w:sz w:val="30"/>
          <w:szCs w:val="30"/>
          <w:lang w:val="en-US" w:eastAsia="zh-CN"/>
        </w:rPr>
        <w:t>一、</w:t>
      </w:r>
      <w:r>
        <w:rPr>
          <w:rFonts w:hint="eastAsia" w:ascii="宋体" w:hAnsi="宋体" w:eastAsia="宋体" w:cs="宋体"/>
          <w:b/>
          <w:bCs/>
          <w:color w:val="auto"/>
          <w:sz w:val="30"/>
          <w:szCs w:val="30"/>
          <w:lang w:eastAsia="zh-CN"/>
        </w:rPr>
        <w:t>报价函格式</w:t>
      </w:r>
    </w:p>
    <w:p w14:paraId="0A3E9B6A">
      <w:pPr>
        <w:framePr w:wrap="auto" w:vAnchor="margin" w:hAnchor="text" w:yAlign="inline"/>
        <w:wordWrap w:val="0"/>
        <w:jc w:val="center"/>
        <w:rPr>
          <w:rFonts w:hint="eastAsia" w:ascii="宋体" w:hAnsi="宋体" w:eastAsia="宋体" w:cs="宋体"/>
          <w:b w:val="0"/>
          <w:bCs w:val="0"/>
          <w:color w:val="auto"/>
          <w:sz w:val="30"/>
          <w:szCs w:val="30"/>
          <w:lang w:val="en-US" w:eastAsia="zh-CN"/>
        </w:rPr>
      </w:pPr>
    </w:p>
    <w:p w14:paraId="5CBE2D13">
      <w:pPr>
        <w:pStyle w:val="32"/>
        <w:framePr w:wrap="auto" w:vAnchor="margin" w:hAnchor="text" w:yAlign="inline"/>
        <w:numPr>
          <w:ilvl w:val="0"/>
          <w:numId w:val="0"/>
        </w:numPr>
        <w:wordWrap w:val="0"/>
        <w:spacing w:line="520" w:lineRule="exact"/>
        <w:jc w:val="left"/>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1：根据竞价文件的“第三部分 工程量清单”填写报价函</w:t>
      </w:r>
    </w:p>
    <w:p w14:paraId="46DB7C0D">
      <w:pPr>
        <w:pStyle w:val="32"/>
        <w:framePr w:wrap="auto" w:vAnchor="margin" w:hAnchor="text" w:yAlign="inline"/>
        <w:wordWrap w:val="0"/>
        <w:spacing w:line="520" w:lineRule="exact"/>
        <w:jc w:val="left"/>
        <w:rPr>
          <w:rFonts w:hint="eastAsia" w:ascii="宋体" w:hAnsi="宋体" w:eastAsia="宋体" w:cs="宋体"/>
          <w:b w:val="0"/>
          <w:bCs w:val="0"/>
          <w:color w:val="auto"/>
          <w:sz w:val="30"/>
          <w:szCs w:val="30"/>
          <w:lang w:val="en-US" w:eastAsia="zh-CN"/>
        </w:rPr>
      </w:pPr>
    </w:p>
    <w:p w14:paraId="43B87497">
      <w:pPr>
        <w:framePr w:wrap="auto" w:vAnchor="margin" w:hAnchor="text" w:yAlign="inline"/>
        <w:rPr>
          <w:rFonts w:ascii="宋体" w:hAnsi="宋体" w:eastAsia="宋体" w:cs="宋体"/>
          <w:b w:val="0"/>
          <w:bCs w:val="0"/>
          <w:color w:val="auto"/>
          <w:sz w:val="30"/>
          <w:szCs w:val="30"/>
        </w:rPr>
      </w:pPr>
      <w:bookmarkStart w:id="17" w:name="_Toc480462724"/>
      <w:bookmarkStart w:id="18" w:name="_Toc39826987"/>
      <w:bookmarkStart w:id="19" w:name="_Toc474920011"/>
      <w:bookmarkStart w:id="20" w:name="_Toc486837000"/>
    </w:p>
    <w:p w14:paraId="57A9ED40">
      <w:pPr>
        <w:framePr w:wrap="auto" w:vAnchor="margin" w:hAnchor="text" w:yAlign="inline"/>
        <w:rPr>
          <w:rFonts w:ascii="宋体" w:hAnsi="宋体" w:eastAsia="宋体" w:cs="宋体"/>
          <w:b w:val="0"/>
          <w:bCs w:val="0"/>
          <w:color w:val="auto"/>
          <w:sz w:val="30"/>
          <w:szCs w:val="30"/>
        </w:rPr>
      </w:pPr>
    </w:p>
    <w:p w14:paraId="0D44F96D">
      <w:pPr>
        <w:framePr w:wrap="auto" w:vAnchor="margin" w:hAnchor="text" w:yAlign="inline"/>
        <w:rPr>
          <w:rFonts w:ascii="宋体" w:hAnsi="宋体" w:eastAsia="宋体" w:cs="宋体"/>
          <w:b w:val="0"/>
          <w:bCs w:val="0"/>
          <w:color w:val="auto"/>
          <w:sz w:val="30"/>
          <w:szCs w:val="30"/>
        </w:rPr>
      </w:pPr>
    </w:p>
    <w:p w14:paraId="1D03179C">
      <w:pPr>
        <w:framePr w:wrap="auto" w:vAnchor="margin" w:hAnchor="text" w:yAlign="inline"/>
        <w:rPr>
          <w:rFonts w:ascii="宋体" w:hAnsi="宋体" w:eastAsia="宋体" w:cs="宋体"/>
          <w:b w:val="0"/>
          <w:bCs w:val="0"/>
          <w:color w:val="auto"/>
          <w:sz w:val="30"/>
          <w:szCs w:val="30"/>
        </w:rPr>
      </w:pPr>
    </w:p>
    <w:p w14:paraId="3838A5F4">
      <w:pPr>
        <w:framePr w:wrap="auto" w:vAnchor="margin" w:hAnchor="text" w:yAlign="inline"/>
        <w:rPr>
          <w:rFonts w:ascii="宋体" w:hAnsi="宋体" w:eastAsia="宋体" w:cs="宋体"/>
          <w:b w:val="0"/>
          <w:bCs w:val="0"/>
          <w:color w:val="auto"/>
          <w:sz w:val="30"/>
          <w:szCs w:val="30"/>
        </w:rPr>
      </w:pPr>
    </w:p>
    <w:p w14:paraId="06AB9069">
      <w:pPr>
        <w:framePr w:wrap="auto" w:vAnchor="margin" w:hAnchor="text" w:yAlign="inline"/>
        <w:rPr>
          <w:rFonts w:ascii="宋体" w:hAnsi="宋体" w:eastAsia="宋体" w:cs="宋体"/>
          <w:b w:val="0"/>
          <w:bCs w:val="0"/>
          <w:color w:val="auto"/>
          <w:sz w:val="30"/>
          <w:szCs w:val="30"/>
        </w:rPr>
      </w:pPr>
    </w:p>
    <w:p w14:paraId="3DEA0698">
      <w:pPr>
        <w:framePr w:wrap="auto" w:vAnchor="margin" w:hAnchor="text" w:yAlign="inline"/>
        <w:rPr>
          <w:rFonts w:ascii="宋体" w:hAnsi="宋体" w:eastAsia="宋体" w:cs="宋体"/>
          <w:b w:val="0"/>
          <w:bCs w:val="0"/>
          <w:color w:val="auto"/>
          <w:sz w:val="30"/>
          <w:szCs w:val="30"/>
        </w:rPr>
      </w:pPr>
    </w:p>
    <w:p w14:paraId="0F6F0E86">
      <w:pPr>
        <w:framePr w:wrap="auto" w:vAnchor="margin" w:hAnchor="text" w:yAlign="inline"/>
        <w:rPr>
          <w:rFonts w:ascii="宋体" w:hAnsi="宋体" w:eastAsia="宋体" w:cs="宋体"/>
          <w:b w:val="0"/>
          <w:bCs w:val="0"/>
          <w:color w:val="auto"/>
          <w:sz w:val="30"/>
          <w:szCs w:val="30"/>
          <w:lang w:eastAsia="zh-CN"/>
        </w:rPr>
      </w:pPr>
    </w:p>
    <w:bookmarkEnd w:id="17"/>
    <w:bookmarkEnd w:id="18"/>
    <w:bookmarkEnd w:id="19"/>
    <w:bookmarkEnd w:id="20"/>
    <w:p w14:paraId="2676C4C5">
      <w:pPr>
        <w:pStyle w:val="32"/>
        <w:framePr w:wrap="auto" w:vAnchor="margin" w:hAnchor="text" w:yAlign="inline"/>
        <w:wordWrap w:val="0"/>
        <w:adjustRightInd w:val="0"/>
        <w:snapToGrid w:val="0"/>
        <w:spacing w:line="360" w:lineRule="auto"/>
        <w:jc w:val="both"/>
        <w:rPr>
          <w:rFonts w:hint="default" w:ascii="宋体" w:hAnsi="宋体" w:eastAsia="宋体" w:cs="宋体"/>
          <w:color w:val="auto"/>
          <w:sz w:val="32"/>
          <w:szCs w:val="32"/>
        </w:rPr>
      </w:pPr>
      <w:r>
        <w:rPr>
          <w:rFonts w:hint="eastAsia" w:ascii="宋体" w:hAnsi="宋体" w:eastAsia="宋体" w:cs="宋体"/>
          <w:b/>
          <w:bCs/>
          <w:color w:val="auto"/>
          <w:sz w:val="30"/>
          <w:szCs w:val="30"/>
          <w:lang w:val="en-US" w:eastAsia="zh-CN"/>
        </w:rPr>
        <w:t>二</w:t>
      </w:r>
      <w:r>
        <w:rPr>
          <w:rFonts w:ascii="宋体" w:hAnsi="宋体" w:eastAsia="宋体" w:cs="宋体"/>
          <w:b/>
          <w:bCs/>
          <w:color w:val="auto"/>
          <w:sz w:val="30"/>
          <w:szCs w:val="30"/>
        </w:rPr>
        <w:t>、</w:t>
      </w:r>
      <w:r>
        <w:rPr>
          <w:rFonts w:hint="eastAsia" w:ascii="宋体" w:hAnsi="宋体" w:eastAsia="宋体" w:cs="宋体"/>
          <w:b/>
          <w:bCs/>
          <w:color w:val="auto"/>
          <w:sz w:val="30"/>
          <w:szCs w:val="30"/>
        </w:rPr>
        <w:t>营业执照（或事业法人登记证等相关证明）副本复印件</w:t>
      </w:r>
    </w:p>
    <w:p w14:paraId="244DEB29">
      <w:pPr>
        <w:pStyle w:val="32"/>
        <w:framePr w:wrap="auto" w:vAnchor="margin" w:hAnchor="text" w:yAlign="inline"/>
        <w:wordWrap w:val="0"/>
        <w:adjustRightInd w:val="0"/>
        <w:snapToGrid w:val="0"/>
        <w:spacing w:line="360" w:lineRule="auto"/>
        <w:jc w:val="both"/>
        <w:rPr>
          <w:rFonts w:hint="eastAsia" w:ascii="宋体" w:hAnsi="宋体" w:eastAsia="宋体" w:cs="宋体"/>
          <w:b/>
          <w:bCs/>
          <w:color w:val="auto"/>
          <w:sz w:val="30"/>
          <w:szCs w:val="30"/>
          <w:highlight w:val="none"/>
        </w:rPr>
      </w:pPr>
    </w:p>
    <w:p w14:paraId="20C4C891">
      <w:pPr>
        <w:pStyle w:val="32"/>
        <w:framePr w:wrap="auto" w:vAnchor="margin" w:hAnchor="text" w:yAlign="inline"/>
        <w:wordWrap w:val="0"/>
        <w:adjustRightInd w:val="0"/>
        <w:snapToGrid w:val="0"/>
        <w:spacing w:line="360" w:lineRule="auto"/>
        <w:ind w:firstLine="640" w:firstLineChars="200"/>
        <w:rPr>
          <w:rFonts w:hint="eastAsia" w:ascii="宋体" w:hAnsi="宋体" w:eastAsia="宋体" w:cs="宋体"/>
          <w:color w:val="auto"/>
          <w:sz w:val="32"/>
          <w:szCs w:val="32"/>
          <w:highlight w:val="none"/>
        </w:rPr>
      </w:pPr>
    </w:p>
    <w:bookmarkEnd w:id="21"/>
    <w:sectPr>
      <w:footerReference r:id="rId6" w:type="default"/>
      <w:pgSz w:w="11900" w:h="16840"/>
      <w:pgMar w:top="1440" w:right="1576" w:bottom="1440" w:left="1803" w:header="851"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
    <w:panose1 w:val="02010601030101010101"/>
    <w:charset w:val="86"/>
    <w:family w:val="auto"/>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97CF">
    <w:pPr>
      <w:pStyle w:val="31"/>
      <w:framePr w:wrap="auto" w:vAnchor="margin" w:hAnchor="text" w:yAlign="inline"/>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1AB2A4D8">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horRs0cCAACIBAAADgAAAAAAAAABACAAAAAf&#10;AQAAZHJzL2Uyb0RvYy54bWxQSwUGAAAAAAYABgBZAQAA2AUAAAAA&#10;">
              <v:fill on="f" focussize="0,0"/>
              <v:stroke on="f" weight="1pt" miterlimit="4" joinstyle="miter"/>
              <v:imagedata o:title=""/>
              <o:lock v:ext="edit" aspectratio="f"/>
              <v:textbox inset="0mm,0mm,0mm,0mm" style="mso-fit-shape-to-text:t;">
                <w:txbxContent>
                  <w:p w14:paraId="1AB2A4D8">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A22D5">
    <w:pPr>
      <w:pStyle w:val="31"/>
      <w:framePr w:wrap="auto" w:vAnchor="margin" w:hAnchor="text" w:yAlign="inline"/>
      <w:rPr>
        <w:rFonts w:hint="eastAsia"/>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512C4991">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3ndhtkcCAACIBAAADgAAAAAAAAABACAAAAAf&#10;AQAAZHJzL2Uyb0RvYy54bWxQSwUGAAAAAAYABgBZAQAA2AUAAAAA&#10;">
              <v:fill on="f" focussize="0,0"/>
              <v:stroke on="f" weight="1pt" miterlimit="4" joinstyle="miter"/>
              <v:imagedata o:title=""/>
              <o:lock v:ext="edit" aspectratio="f"/>
              <v:textbox inset="0mm,0mm,0mm,0mm" style="mso-fit-shape-to-text:t;">
                <w:txbxContent>
                  <w:p w14:paraId="512C4991">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62B9">
    <w:pPr>
      <w:pStyle w:val="14"/>
      <w:framePr w:wrap="auto" w:vAnchor="margin" w:hAnchor="text" w:yAlign="inline"/>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6302DBBB">
                          <w:pPr>
                            <w:pStyle w:val="14"/>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&#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KSHeA0cCAACIBAAADgAAAAAAAAABACAAAAAf&#10;AQAAZHJzL2Uyb0RvYy54bWxQSwUGAAAAAAYABgBZAQAA2AUAAAAA&#10;">
              <v:fill on="f" focussize="0,0"/>
              <v:stroke on="f" weight="1pt" miterlimit="4" joinstyle="miter"/>
              <v:imagedata o:title=""/>
              <o:lock v:ext="edit" aspectratio="f"/>
              <v:textbox inset="0mm,0mm,0mm,0mm" style="mso-fit-shape-to-text:t;">
                <w:txbxContent>
                  <w:p w14:paraId="6302DBBB">
                    <w:pPr>
                      <w:pStyle w:val="14"/>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4FE1">
    <w:pPr>
      <w:pStyle w:val="31"/>
      <w:framePr w:wrap="auto" w:vAnchor="margin" w:hAnchor="text" w:yAlign="inlin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BDBB2"/>
    <w:multiLevelType w:val="singleLevel"/>
    <w:tmpl w:val="981BDBB2"/>
    <w:lvl w:ilvl="0" w:tentative="0">
      <w:start w:val="2"/>
      <w:numFmt w:val="decimal"/>
      <w:suff w:val="nothing"/>
      <w:lvlText w:val="%1、"/>
      <w:lvlJc w:val="left"/>
    </w:lvl>
  </w:abstractNum>
  <w:abstractNum w:abstractNumId="1">
    <w:nsid w:val="6265E37F"/>
    <w:multiLevelType w:val="singleLevel"/>
    <w:tmpl w:val="6265E37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YjNjYTJjMTZkY2RjMWVmYzNiZTc3ZmUyZjg1NmUifQ=="/>
  </w:docVars>
  <w:rsids>
    <w:rsidRoot w:val="00172A27"/>
    <w:rsid w:val="00172A27"/>
    <w:rsid w:val="006A50FA"/>
    <w:rsid w:val="007326DF"/>
    <w:rsid w:val="007A2F1C"/>
    <w:rsid w:val="00A0552E"/>
    <w:rsid w:val="00B55AF9"/>
    <w:rsid w:val="00B8196E"/>
    <w:rsid w:val="00BC3D7B"/>
    <w:rsid w:val="00C309D2"/>
    <w:rsid w:val="00C9085C"/>
    <w:rsid w:val="00FA70CD"/>
    <w:rsid w:val="014C1F37"/>
    <w:rsid w:val="019E2DBE"/>
    <w:rsid w:val="023A3A33"/>
    <w:rsid w:val="024300FB"/>
    <w:rsid w:val="024C15CF"/>
    <w:rsid w:val="02547825"/>
    <w:rsid w:val="02B04ABC"/>
    <w:rsid w:val="02C2004A"/>
    <w:rsid w:val="038672E8"/>
    <w:rsid w:val="043113F9"/>
    <w:rsid w:val="043F299D"/>
    <w:rsid w:val="044B0E64"/>
    <w:rsid w:val="0491260D"/>
    <w:rsid w:val="049E7588"/>
    <w:rsid w:val="05623797"/>
    <w:rsid w:val="061D0A00"/>
    <w:rsid w:val="06304F9D"/>
    <w:rsid w:val="06415FBB"/>
    <w:rsid w:val="071A025A"/>
    <w:rsid w:val="073F2629"/>
    <w:rsid w:val="07CD0348"/>
    <w:rsid w:val="07D74797"/>
    <w:rsid w:val="07ED6D23"/>
    <w:rsid w:val="081F5B7A"/>
    <w:rsid w:val="0899642B"/>
    <w:rsid w:val="09116FB1"/>
    <w:rsid w:val="095A7CB3"/>
    <w:rsid w:val="098D00AD"/>
    <w:rsid w:val="09E6423A"/>
    <w:rsid w:val="0A0A4661"/>
    <w:rsid w:val="0A9B78EE"/>
    <w:rsid w:val="0AA6363C"/>
    <w:rsid w:val="0AB93C82"/>
    <w:rsid w:val="0B2B3E47"/>
    <w:rsid w:val="0B93489F"/>
    <w:rsid w:val="0BB37C4B"/>
    <w:rsid w:val="0BE81DF9"/>
    <w:rsid w:val="0C9A1D8E"/>
    <w:rsid w:val="0CC25F19"/>
    <w:rsid w:val="0D381DBD"/>
    <w:rsid w:val="0D9951E8"/>
    <w:rsid w:val="0DC363ED"/>
    <w:rsid w:val="0FD52CE0"/>
    <w:rsid w:val="0FD9253D"/>
    <w:rsid w:val="0FDB5EA5"/>
    <w:rsid w:val="100D6828"/>
    <w:rsid w:val="10B218B8"/>
    <w:rsid w:val="10CD5EA6"/>
    <w:rsid w:val="11380CCB"/>
    <w:rsid w:val="12515E3C"/>
    <w:rsid w:val="140E413A"/>
    <w:rsid w:val="14FA6062"/>
    <w:rsid w:val="15A136FE"/>
    <w:rsid w:val="15B07E81"/>
    <w:rsid w:val="168F20CE"/>
    <w:rsid w:val="16E516C6"/>
    <w:rsid w:val="17981E8F"/>
    <w:rsid w:val="19583322"/>
    <w:rsid w:val="195E6747"/>
    <w:rsid w:val="1A5D7931"/>
    <w:rsid w:val="1AD638BE"/>
    <w:rsid w:val="1B0150F1"/>
    <w:rsid w:val="1B1D3FD6"/>
    <w:rsid w:val="1B2C7B36"/>
    <w:rsid w:val="1B7955E1"/>
    <w:rsid w:val="1B9E43BC"/>
    <w:rsid w:val="1BAF3AD0"/>
    <w:rsid w:val="1BDD3DA5"/>
    <w:rsid w:val="1BED1392"/>
    <w:rsid w:val="1BFB69C0"/>
    <w:rsid w:val="1C0F29B1"/>
    <w:rsid w:val="1C322BB7"/>
    <w:rsid w:val="1CAC2181"/>
    <w:rsid w:val="1CBF1566"/>
    <w:rsid w:val="1CF20A54"/>
    <w:rsid w:val="1CFF68B4"/>
    <w:rsid w:val="1D970CFC"/>
    <w:rsid w:val="1DB23C0B"/>
    <w:rsid w:val="1EFA5217"/>
    <w:rsid w:val="1F8F77FD"/>
    <w:rsid w:val="201062FC"/>
    <w:rsid w:val="205163BE"/>
    <w:rsid w:val="219132FB"/>
    <w:rsid w:val="21C47050"/>
    <w:rsid w:val="21FD4113"/>
    <w:rsid w:val="22D00EB0"/>
    <w:rsid w:val="22F1606B"/>
    <w:rsid w:val="2351663C"/>
    <w:rsid w:val="23AB43E8"/>
    <w:rsid w:val="245A088B"/>
    <w:rsid w:val="245F0C9E"/>
    <w:rsid w:val="247D1B43"/>
    <w:rsid w:val="24A006CC"/>
    <w:rsid w:val="24B45492"/>
    <w:rsid w:val="24FB5CB3"/>
    <w:rsid w:val="262C6D90"/>
    <w:rsid w:val="26BE19EF"/>
    <w:rsid w:val="27D825DA"/>
    <w:rsid w:val="284E0260"/>
    <w:rsid w:val="28C64C12"/>
    <w:rsid w:val="28D6674B"/>
    <w:rsid w:val="28E7251D"/>
    <w:rsid w:val="294A72C5"/>
    <w:rsid w:val="29565F0F"/>
    <w:rsid w:val="29765334"/>
    <w:rsid w:val="299E3781"/>
    <w:rsid w:val="29DB69C6"/>
    <w:rsid w:val="2AEA3133"/>
    <w:rsid w:val="2B774634"/>
    <w:rsid w:val="2C7E1DC6"/>
    <w:rsid w:val="2CB12B13"/>
    <w:rsid w:val="2CFF41D5"/>
    <w:rsid w:val="2D2640D4"/>
    <w:rsid w:val="2DB33930"/>
    <w:rsid w:val="2DB7701A"/>
    <w:rsid w:val="2DB97FB3"/>
    <w:rsid w:val="2E046D43"/>
    <w:rsid w:val="2E185319"/>
    <w:rsid w:val="2E2D62CC"/>
    <w:rsid w:val="2E39100B"/>
    <w:rsid w:val="2E4034A0"/>
    <w:rsid w:val="2EDE37A2"/>
    <w:rsid w:val="2EEC77D7"/>
    <w:rsid w:val="2F690995"/>
    <w:rsid w:val="2FA03983"/>
    <w:rsid w:val="31820D34"/>
    <w:rsid w:val="31D1754E"/>
    <w:rsid w:val="320F2F73"/>
    <w:rsid w:val="322D042D"/>
    <w:rsid w:val="327E16D2"/>
    <w:rsid w:val="32D02EF5"/>
    <w:rsid w:val="32FD030B"/>
    <w:rsid w:val="336E55B2"/>
    <w:rsid w:val="337404A1"/>
    <w:rsid w:val="33A81F17"/>
    <w:rsid w:val="340F04F3"/>
    <w:rsid w:val="35642D82"/>
    <w:rsid w:val="35E421F9"/>
    <w:rsid w:val="361F3BD3"/>
    <w:rsid w:val="36CC0C86"/>
    <w:rsid w:val="36E11002"/>
    <w:rsid w:val="370E04C5"/>
    <w:rsid w:val="371834E5"/>
    <w:rsid w:val="372C4A22"/>
    <w:rsid w:val="37314A6B"/>
    <w:rsid w:val="37B04845"/>
    <w:rsid w:val="37DD445E"/>
    <w:rsid w:val="38A807CE"/>
    <w:rsid w:val="38CD5385"/>
    <w:rsid w:val="3AB652D5"/>
    <w:rsid w:val="3AFB30DD"/>
    <w:rsid w:val="3B286FE0"/>
    <w:rsid w:val="3B497155"/>
    <w:rsid w:val="3B9C1436"/>
    <w:rsid w:val="3BA75327"/>
    <w:rsid w:val="3C301A6B"/>
    <w:rsid w:val="3C3257D1"/>
    <w:rsid w:val="3DB15680"/>
    <w:rsid w:val="3E410621"/>
    <w:rsid w:val="3E647790"/>
    <w:rsid w:val="3E772B72"/>
    <w:rsid w:val="3F5D3D7D"/>
    <w:rsid w:val="3FA10590"/>
    <w:rsid w:val="3FD87226"/>
    <w:rsid w:val="3FEA7A79"/>
    <w:rsid w:val="4033666C"/>
    <w:rsid w:val="40A25D3E"/>
    <w:rsid w:val="40B05440"/>
    <w:rsid w:val="41000ED7"/>
    <w:rsid w:val="415A648B"/>
    <w:rsid w:val="420416B7"/>
    <w:rsid w:val="423A2EF4"/>
    <w:rsid w:val="42480BEE"/>
    <w:rsid w:val="42CD4900"/>
    <w:rsid w:val="42EA4D31"/>
    <w:rsid w:val="44935E12"/>
    <w:rsid w:val="451E2F5B"/>
    <w:rsid w:val="455436D3"/>
    <w:rsid w:val="45BA47D3"/>
    <w:rsid w:val="46171F44"/>
    <w:rsid w:val="46C42F35"/>
    <w:rsid w:val="46D05AEB"/>
    <w:rsid w:val="4703605D"/>
    <w:rsid w:val="479A3252"/>
    <w:rsid w:val="481D675B"/>
    <w:rsid w:val="4885485B"/>
    <w:rsid w:val="488C3E1C"/>
    <w:rsid w:val="493B5A4A"/>
    <w:rsid w:val="49415E3C"/>
    <w:rsid w:val="499C7517"/>
    <w:rsid w:val="4B1E4D42"/>
    <w:rsid w:val="4B7A7462"/>
    <w:rsid w:val="4B9A2838"/>
    <w:rsid w:val="4CB9722B"/>
    <w:rsid w:val="4D2F1B44"/>
    <w:rsid w:val="4D6D2823"/>
    <w:rsid w:val="4DF76CDF"/>
    <w:rsid w:val="4EB27EE8"/>
    <w:rsid w:val="4FCF1240"/>
    <w:rsid w:val="519F2ED6"/>
    <w:rsid w:val="51EB08AF"/>
    <w:rsid w:val="524170EC"/>
    <w:rsid w:val="52885F20"/>
    <w:rsid w:val="52BA21D8"/>
    <w:rsid w:val="535328CC"/>
    <w:rsid w:val="53CD3DB2"/>
    <w:rsid w:val="53D85B2C"/>
    <w:rsid w:val="53ED3F12"/>
    <w:rsid w:val="54153486"/>
    <w:rsid w:val="54921FFB"/>
    <w:rsid w:val="54C942CF"/>
    <w:rsid w:val="551014B3"/>
    <w:rsid w:val="555A7110"/>
    <w:rsid w:val="555E3C11"/>
    <w:rsid w:val="55D93423"/>
    <w:rsid w:val="56914774"/>
    <w:rsid w:val="56B8033A"/>
    <w:rsid w:val="57021FF1"/>
    <w:rsid w:val="570441D3"/>
    <w:rsid w:val="577578C4"/>
    <w:rsid w:val="58F51880"/>
    <w:rsid w:val="59065871"/>
    <w:rsid w:val="5A6C3B35"/>
    <w:rsid w:val="5AEC1D43"/>
    <w:rsid w:val="5B081D8F"/>
    <w:rsid w:val="5B5A24DB"/>
    <w:rsid w:val="5B841066"/>
    <w:rsid w:val="5B8F661B"/>
    <w:rsid w:val="5BAC5C27"/>
    <w:rsid w:val="5BC3207D"/>
    <w:rsid w:val="5C8C126B"/>
    <w:rsid w:val="5CAC3721"/>
    <w:rsid w:val="5CCD5552"/>
    <w:rsid w:val="5D0C4B73"/>
    <w:rsid w:val="5D1F68FE"/>
    <w:rsid w:val="5D9E0276"/>
    <w:rsid w:val="5DE16107"/>
    <w:rsid w:val="5E0377E8"/>
    <w:rsid w:val="5E550C74"/>
    <w:rsid w:val="5E7774AE"/>
    <w:rsid w:val="5F304531"/>
    <w:rsid w:val="5FFD841A"/>
    <w:rsid w:val="6056454E"/>
    <w:rsid w:val="605C5044"/>
    <w:rsid w:val="60F811B6"/>
    <w:rsid w:val="6250537A"/>
    <w:rsid w:val="62842A8A"/>
    <w:rsid w:val="628F7C91"/>
    <w:rsid w:val="62C81DDF"/>
    <w:rsid w:val="63850EF3"/>
    <w:rsid w:val="639C30D9"/>
    <w:rsid w:val="64343753"/>
    <w:rsid w:val="646B5AF4"/>
    <w:rsid w:val="650B4576"/>
    <w:rsid w:val="655B557A"/>
    <w:rsid w:val="65750EF0"/>
    <w:rsid w:val="660A102C"/>
    <w:rsid w:val="662004A1"/>
    <w:rsid w:val="66DC2E14"/>
    <w:rsid w:val="66DE31DE"/>
    <w:rsid w:val="67492634"/>
    <w:rsid w:val="6785318B"/>
    <w:rsid w:val="69A057C9"/>
    <w:rsid w:val="69A27515"/>
    <w:rsid w:val="69A311B6"/>
    <w:rsid w:val="69CF659F"/>
    <w:rsid w:val="6A1B123A"/>
    <w:rsid w:val="6A9A6851"/>
    <w:rsid w:val="6D903084"/>
    <w:rsid w:val="6D9429F2"/>
    <w:rsid w:val="6DA27FF8"/>
    <w:rsid w:val="6E6762FD"/>
    <w:rsid w:val="6EFF1E99"/>
    <w:rsid w:val="6F2E3518"/>
    <w:rsid w:val="6F5A1A2F"/>
    <w:rsid w:val="6FA32ACE"/>
    <w:rsid w:val="6FA80A40"/>
    <w:rsid w:val="701A4460"/>
    <w:rsid w:val="70F63422"/>
    <w:rsid w:val="71524287"/>
    <w:rsid w:val="717F6CC2"/>
    <w:rsid w:val="71B1081E"/>
    <w:rsid w:val="71BF7E52"/>
    <w:rsid w:val="7265409A"/>
    <w:rsid w:val="730F67BB"/>
    <w:rsid w:val="73314959"/>
    <w:rsid w:val="73376ADC"/>
    <w:rsid w:val="73774085"/>
    <w:rsid w:val="74C302F2"/>
    <w:rsid w:val="750039F8"/>
    <w:rsid w:val="753E4CE6"/>
    <w:rsid w:val="756A3E1D"/>
    <w:rsid w:val="75B545B1"/>
    <w:rsid w:val="76147BCB"/>
    <w:rsid w:val="7657546E"/>
    <w:rsid w:val="768F5040"/>
    <w:rsid w:val="76B55335"/>
    <w:rsid w:val="76CF38AD"/>
    <w:rsid w:val="77B24188"/>
    <w:rsid w:val="7889342D"/>
    <w:rsid w:val="789A2E8C"/>
    <w:rsid w:val="7908342F"/>
    <w:rsid w:val="79A11556"/>
    <w:rsid w:val="7A1C2C5E"/>
    <w:rsid w:val="7A8C7A2C"/>
    <w:rsid w:val="7AE35C69"/>
    <w:rsid w:val="7B0E5932"/>
    <w:rsid w:val="7B5527F0"/>
    <w:rsid w:val="7B735A7A"/>
    <w:rsid w:val="7B7FB21E"/>
    <w:rsid w:val="7BA94AC9"/>
    <w:rsid w:val="7BB34D31"/>
    <w:rsid w:val="7BF179A9"/>
    <w:rsid w:val="7C37455E"/>
    <w:rsid w:val="7CA9041D"/>
    <w:rsid w:val="7D057841"/>
    <w:rsid w:val="7D4B110B"/>
    <w:rsid w:val="7DBA5B2F"/>
    <w:rsid w:val="7FB8524F"/>
    <w:rsid w:val="7FDD23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paragraph" w:styleId="2">
    <w:name w:val="heading 1"/>
    <w:basedOn w:val="1"/>
    <w:next w:val="1"/>
    <w:autoRedefine/>
    <w:qFormat/>
    <w:uiPriority w:val="9"/>
    <w:pPr>
      <w:keepNext/>
      <w:keepLines/>
      <w:spacing w:before="340" w:after="330" w:line="578" w:lineRule="auto"/>
      <w:jc w:val="center"/>
      <w:outlineLvl w:val="0"/>
    </w:pPr>
    <w:rPr>
      <w:rFonts w:eastAsia="方正小标宋简体"/>
      <w:bCs/>
      <w:kern w:val="44"/>
      <w:sz w:val="28"/>
      <w:szCs w:val="44"/>
    </w:rPr>
  </w:style>
  <w:style w:type="paragraph" w:styleId="3">
    <w:name w:val="heading 2"/>
    <w:basedOn w:val="1"/>
    <w:next w:val="1"/>
    <w:autoRedefine/>
    <w:unhideWhenUsed/>
    <w:qFormat/>
    <w:uiPriority w:val="9"/>
    <w:pPr>
      <w:keepNext/>
      <w:keepLines/>
      <w:spacing w:before="120" w:after="120"/>
      <w:jc w:val="center"/>
      <w:outlineLvl w:val="1"/>
    </w:pPr>
    <w:rPr>
      <w:rFonts w:asciiTheme="majorHAnsi" w:hAnsiTheme="majorHAnsi" w:cstheme="majorBidi"/>
      <w:bCs/>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style>
  <w:style w:type="paragraph" w:styleId="7">
    <w:name w:val="Body Text"/>
    <w:basedOn w:val="1"/>
    <w:next w:val="8"/>
    <w:autoRedefine/>
    <w:qFormat/>
    <w:uiPriority w:val="1"/>
    <w:rPr>
      <w:rFonts w:ascii="宋体" w:hAnsi="宋体" w:eastAsia="宋体" w:cs="宋体"/>
      <w:sz w:val="20"/>
      <w:szCs w:val="20"/>
      <w:lang w:val="zh-CN" w:eastAsia="zh-CN" w:bidi="zh-CN"/>
    </w:rPr>
  </w:style>
  <w:style w:type="paragraph" w:customStyle="1" w:styleId="8">
    <w:name w:val="Quote1"/>
    <w:next w:val="1"/>
    <w:autoRedefine/>
    <w:qFormat/>
    <w:uiPriority w:val="99"/>
    <w:pPr>
      <w:wordWrap w:val="0"/>
      <w:spacing w:before="200" w:after="160"/>
      <w:ind w:left="864" w:right="864"/>
      <w:jc w:val="center"/>
    </w:pPr>
    <w:rPr>
      <w:rFonts w:ascii="Times New Roman" w:hAnsi="Times New Roman" w:eastAsia="宋体" w:cs="Times New Roman"/>
      <w:i/>
      <w:iCs/>
      <w:sz w:val="21"/>
      <w:szCs w:val="21"/>
      <w:lang w:val="en-US" w:eastAsia="zh-CN" w:bidi="ar-SA"/>
    </w:rPr>
  </w:style>
  <w:style w:type="paragraph" w:styleId="9">
    <w:name w:val="Body Text Indent"/>
    <w:basedOn w:val="1"/>
    <w:autoRedefine/>
    <w:qFormat/>
    <w:uiPriority w:val="0"/>
    <w:pPr>
      <w:spacing w:line="460" w:lineRule="exact"/>
      <w:ind w:firstLine="482" w:firstLineChars="200"/>
    </w:pPr>
    <w:rPr>
      <w:b/>
      <w:bCs/>
      <w:shd w:val="clear" w:color="auto" w:fill="CCCCCC"/>
    </w:rPr>
  </w:style>
  <w:style w:type="paragraph" w:styleId="10">
    <w:name w:val="Plain Text"/>
    <w:basedOn w:val="1"/>
    <w:autoRedefine/>
    <w:qFormat/>
    <w:uiPriority w:val="0"/>
    <w:rPr>
      <w:rFonts w:ascii="宋体" w:hAnsi="Courier New"/>
      <w:sz w:val="20"/>
    </w:rPr>
  </w:style>
  <w:style w:type="paragraph" w:styleId="11">
    <w:name w:val="Date"/>
    <w:next w:val="1"/>
    <w:qFormat/>
    <w:uiPriority w:val="0"/>
    <w:pPr>
      <w:widowControl w:val="0"/>
      <w:jc w:val="both"/>
    </w:pPr>
    <w:rPr>
      <w:rFonts w:ascii="Arial Unicode MS" w:hAnsi="Arial Unicode MS" w:eastAsia="Arial Unicode MS" w:cs="Times New Roman"/>
      <w:kern w:val="0"/>
      <w:sz w:val="24"/>
      <w:szCs w:val="24"/>
      <w:lang w:val="en-US" w:eastAsia="zh-CN" w:bidi="ar-SA"/>
    </w:rPr>
  </w:style>
  <w:style w:type="paragraph" w:styleId="12">
    <w:name w:val="Body Text Indent 2"/>
    <w:basedOn w:val="1"/>
    <w:next w:val="13"/>
    <w:autoRedefine/>
    <w:qFormat/>
    <w:uiPriority w:val="0"/>
    <w:pPr>
      <w:spacing w:after="120" w:line="480" w:lineRule="auto"/>
      <w:ind w:left="420" w:leftChars="200"/>
    </w:pPr>
    <w:rPr>
      <w:rFonts w:eastAsia="仿宋_GB2312"/>
      <w:sz w:val="32"/>
    </w:rPr>
  </w:style>
  <w:style w:type="paragraph" w:customStyle="1" w:styleId="13">
    <w:name w:val="z正文"/>
    <w:basedOn w:val="10"/>
    <w:autoRedefine/>
    <w:qFormat/>
    <w:uiPriority w:val="99"/>
    <w:pPr>
      <w:tabs>
        <w:tab w:val="left" w:pos="525"/>
      </w:tabs>
      <w:snapToGrid w:val="0"/>
      <w:spacing w:line="360" w:lineRule="auto"/>
    </w:pPr>
    <w:rPr>
      <w:rFonts w:hAnsi="宋体"/>
      <w:kern w:val="2"/>
      <w:sz w:val="24"/>
      <w:szCs w:val="20"/>
    </w:rPr>
  </w:style>
  <w:style w:type="paragraph" w:styleId="14">
    <w:name w:val="footer"/>
    <w:basedOn w:val="1"/>
    <w:link w:val="40"/>
    <w:autoRedefine/>
    <w:qFormat/>
    <w:uiPriority w:val="0"/>
    <w:pPr>
      <w:tabs>
        <w:tab w:val="center" w:pos="4153"/>
        <w:tab w:val="right" w:pos="8306"/>
      </w:tabs>
      <w:snapToGrid w:val="0"/>
    </w:pPr>
    <w:rPr>
      <w:sz w:val="18"/>
      <w:szCs w:val="18"/>
    </w:rPr>
  </w:style>
  <w:style w:type="paragraph" w:styleId="15">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basedOn w:val="1"/>
    <w:autoRedefine/>
    <w:qFormat/>
    <w:uiPriority w:val="0"/>
    <w:pPr>
      <w:spacing w:line="360" w:lineRule="auto"/>
      <w:ind w:firstLine="560" w:firstLineChars="200"/>
    </w:pPr>
    <w:rPr>
      <w:rFonts w:ascii="宋体" w:hAnsi="宋体"/>
      <w:sz w:val="28"/>
    </w:rPr>
  </w:style>
  <w:style w:type="paragraph" w:styleId="18">
    <w:name w:val="Normal (Web)"/>
    <w:basedOn w:val="1"/>
    <w:autoRedefine/>
    <w:qFormat/>
    <w:uiPriority w:val="0"/>
    <w:pPr>
      <w:spacing w:beforeAutospacing="1" w:afterAutospacing="1"/>
    </w:pPr>
    <w:rPr>
      <w:lang w:eastAsia="zh-CN"/>
    </w:rPr>
  </w:style>
  <w:style w:type="paragraph" w:styleId="19">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20">
    <w:name w:val="Body Text First Indent 2"/>
    <w:basedOn w:val="9"/>
    <w:next w:val="12"/>
    <w:autoRedefine/>
    <w:qFormat/>
    <w:uiPriority w:val="0"/>
    <w:pPr>
      <w:spacing w:after="120" w:line="240" w:lineRule="auto"/>
      <w:ind w:left="420" w:leftChars="200" w:firstLine="420"/>
    </w:pPr>
    <w:rPr>
      <w:rFonts w:cs="宋体"/>
      <w:sz w:val="21"/>
      <w:szCs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qFormat/>
    <w:uiPriority w:val="0"/>
  </w:style>
  <w:style w:type="character" w:styleId="26">
    <w:name w:val="Hyperlink"/>
    <w:autoRedefine/>
    <w:qFormat/>
    <w:uiPriority w:val="0"/>
    <w:rPr>
      <w:u w:val="single"/>
    </w:rPr>
  </w:style>
  <w:style w:type="paragraph" w:customStyle="1" w:styleId="27">
    <w:name w:val="BodyText1I2"/>
    <w:basedOn w:val="28"/>
    <w:next w:val="1"/>
    <w:autoRedefine/>
    <w:qFormat/>
    <w:uiPriority w:val="0"/>
  </w:style>
  <w:style w:type="paragraph" w:customStyle="1" w:styleId="28">
    <w:name w:val="BodyTextIndent"/>
    <w:basedOn w:val="1"/>
    <w:autoRedefine/>
    <w:qFormat/>
    <w:uiPriority w:val="0"/>
    <w:pPr>
      <w:widowControl/>
      <w:spacing w:line="357" w:lineRule="atLeast"/>
      <w:ind w:firstLine="525"/>
      <w:textAlignment w:val="baseline"/>
    </w:pPr>
    <w:rPr>
      <w:rFonts w:hAnsi="Calibri" w:eastAsia="Times New Roman"/>
      <w:color w:val="000000"/>
      <w:sz w:val="28"/>
      <w:szCs w:val="22"/>
    </w:rPr>
  </w:style>
  <w:style w:type="paragraph" w:customStyle="1" w:styleId="29">
    <w:name w:val="正文正"/>
    <w:basedOn w:val="1"/>
    <w:autoRedefine/>
    <w:qFormat/>
    <w:uiPriority w:val="0"/>
    <w:pPr>
      <w:spacing w:line="560" w:lineRule="exact"/>
      <w:ind w:firstLine="561"/>
    </w:pPr>
    <w:rPr>
      <w:rFonts w:ascii="Calibri" w:hAnsi="Calibri"/>
      <w:sz w:val="28"/>
      <w:szCs w:val="28"/>
    </w:rPr>
  </w:style>
  <w:style w:type="table" w:customStyle="1" w:styleId="30">
    <w:name w:val="Table Normal"/>
    <w:autoRedefine/>
    <w:qFormat/>
    <w:uiPriority w:val="0"/>
    <w:tblPr>
      <w:tblCellMar>
        <w:top w:w="0" w:type="dxa"/>
        <w:left w:w="0" w:type="dxa"/>
        <w:bottom w:w="0" w:type="dxa"/>
        <w:right w:w="0" w:type="dxa"/>
      </w:tblCellMar>
    </w:tblPr>
  </w:style>
  <w:style w:type="paragraph" w:customStyle="1" w:styleId="31">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2">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33">
    <w:name w:val="List Paragraph"/>
    <w:basedOn w:val="1"/>
    <w:autoRedefine/>
    <w:qFormat/>
    <w:uiPriority w:val="0"/>
    <w:pPr>
      <w:ind w:firstLine="420" w:firstLineChars="200"/>
    </w:pPr>
  </w:style>
  <w:style w:type="paragraph" w:customStyle="1" w:styleId="34">
    <w:name w:val="Normal_141"/>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3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Cs w:val="0"/>
      <w:sz w:val="28"/>
      <w:szCs w:val="20"/>
    </w:rPr>
  </w:style>
  <w:style w:type="character" w:customStyle="1" w:styleId="36">
    <w:name w:val="font41"/>
    <w:basedOn w:val="23"/>
    <w:autoRedefine/>
    <w:qFormat/>
    <w:uiPriority w:val="0"/>
    <w:rPr>
      <w:rFonts w:ascii="黑体" w:hAnsi="宋体" w:eastAsia="黑体" w:cs="黑体"/>
      <w:b/>
      <w:color w:val="000000"/>
      <w:sz w:val="21"/>
      <w:szCs w:val="21"/>
      <w:u w:val="none"/>
    </w:rPr>
  </w:style>
  <w:style w:type="paragraph" w:customStyle="1" w:styleId="37">
    <w:name w:val="Table Paragraph"/>
    <w:basedOn w:val="1"/>
    <w:autoRedefine/>
    <w:qFormat/>
    <w:uiPriority w:val="1"/>
    <w:rPr>
      <w:rFonts w:ascii="宋体" w:hAnsi="宋体" w:eastAsia="宋体" w:cs="宋体"/>
      <w:lang w:val="zh-CN" w:eastAsia="zh-CN" w:bidi="zh-CN"/>
    </w:rPr>
  </w:style>
  <w:style w:type="character" w:customStyle="1" w:styleId="38">
    <w:name w:val="font81"/>
    <w:basedOn w:val="23"/>
    <w:autoRedefine/>
    <w:qFormat/>
    <w:uiPriority w:val="0"/>
    <w:rPr>
      <w:rFonts w:hint="default" w:ascii="Calibri" w:hAnsi="Calibri" w:cs="Calibri"/>
      <w:color w:val="000000"/>
      <w:sz w:val="18"/>
      <w:szCs w:val="18"/>
      <w:u w:val="none"/>
    </w:rPr>
  </w:style>
  <w:style w:type="character" w:customStyle="1" w:styleId="39">
    <w:name w:val="页眉 字符"/>
    <w:basedOn w:val="23"/>
    <w:link w:val="15"/>
    <w:autoRedefine/>
    <w:qFormat/>
    <w:uiPriority w:val="0"/>
    <w:rPr>
      <w:rFonts w:eastAsia="Arial Unicode MS"/>
      <w:sz w:val="18"/>
      <w:szCs w:val="18"/>
      <w:lang w:eastAsia="en-US"/>
    </w:rPr>
  </w:style>
  <w:style w:type="character" w:customStyle="1" w:styleId="40">
    <w:name w:val="页脚 字符"/>
    <w:basedOn w:val="23"/>
    <w:link w:val="14"/>
    <w:autoRedefine/>
    <w:qFormat/>
    <w:uiPriority w:val="0"/>
    <w:rPr>
      <w:rFonts w:eastAsia="Arial Unicode MS"/>
      <w:sz w:val="18"/>
      <w:szCs w:val="18"/>
      <w:lang w:eastAsia="en-US"/>
    </w:rPr>
  </w:style>
  <w:style w:type="paragraph" w:customStyle="1" w:styleId="41">
    <w:name w:val="Other|1"/>
    <w:basedOn w:val="1"/>
    <w:autoRedefine/>
    <w:qFormat/>
    <w:uiPriority w:val="0"/>
    <w:pPr>
      <w:widowControl w:val="0"/>
      <w:shd w:val="clear" w:color="auto" w:fill="auto"/>
      <w:spacing w:after="180"/>
      <w:ind w:firstLine="140"/>
    </w:pPr>
    <w:rPr>
      <w:rFonts w:ascii="宋体" w:hAnsi="宋体" w:eastAsia="宋体" w:cs="宋体"/>
      <w:sz w:val="20"/>
      <w:szCs w:val="20"/>
      <w:u w:val="none"/>
      <w:shd w:val="clear" w:color="auto" w:fill="auto"/>
      <w:lang w:val="zh-TW" w:eastAsia="zh-TW" w:bidi="zh-TW"/>
    </w:rPr>
  </w:style>
  <w:style w:type="paragraph" w:customStyle="1" w:styleId="42">
    <w:name w:val="图"/>
    <w:basedOn w:val="1"/>
    <w:autoRedefine/>
    <w:unhideWhenUsed/>
    <w:qFormat/>
    <w:uiPriority w:val="0"/>
    <w:pPr>
      <w:keepNext/>
      <w:autoSpaceDE/>
      <w:autoSpaceDN/>
      <w:spacing w:before="60" w:beforeLines="0" w:after="60" w:afterLines="0" w:line="300" w:lineRule="auto"/>
      <w:jc w:val="center"/>
      <w:textAlignment w:val="center"/>
    </w:pPr>
    <w:rPr>
      <w:rFonts w:hint="default"/>
      <w:snapToGrid w:val="0"/>
      <w:spacing w:val="20"/>
      <w:sz w:val="24"/>
      <w:szCs w:val="21"/>
    </w:rPr>
  </w:style>
  <w:style w:type="paragraph" w:customStyle="1" w:styleId="43">
    <w:name w:val="Table Text"/>
    <w:basedOn w:val="1"/>
    <w:autoRedefine/>
    <w:semiHidden/>
    <w:qFormat/>
    <w:uiPriority w:val="0"/>
    <w:rPr>
      <w:rFonts w:ascii="宋体" w:hAnsi="宋体" w:eastAsia="宋体" w:cs="宋体"/>
      <w:sz w:val="22"/>
      <w:szCs w:val="22"/>
      <w:lang w:val="en-US" w:eastAsia="en-US" w:bidi="ar-SA"/>
    </w:rPr>
  </w:style>
  <w:style w:type="character" w:customStyle="1" w:styleId="44">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1198</Words>
  <Characters>1315</Characters>
  <Lines>1</Lines>
  <Paragraphs>1</Paragraphs>
  <TotalTime>1</TotalTime>
  <ScaleCrop>false</ScaleCrop>
  <LinksUpToDate>false</LinksUpToDate>
  <CharactersWithSpaces>1341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2021-03-10T17:33:00Z</dcterms:created>
  <dc:creator>IBM</dc:creator>
  <cp:lastModifiedBy>H</cp:lastModifiedBy>
  <cp:lastPrinted>2022-11-11T03:25:00Z</cp:lastPrinted>
  <dcterms:modified xsi:type="dcterms:W3CDTF">2024-11-12T08:10:14Z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5D75EC8766D84D2A9CCA257ACCC8417D_13</vt:lpwstr>
  </property>
  <property fmtid="{D5CDD505-2E9C-101B-9397-08002B2CF9AE}" pid="4" name="commondata">
    <vt:lpwstr>eyJoZGlkIjoiYjJkZmE2OTBmZTMyMzA3ODFhOGJmNmE3MTVmOWE3YWEifQ==</vt:lpwstr>
  </property>
</Properties>
</file>