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before="1716" w:beforeLines="550" w:line="360" w:lineRule="auto"/>
        <w:jc w:val="center"/>
        <w:rPr>
          <w:rFonts w:hint="eastAsia" w:eastAsia="宋体" w:cs="Times New Roman"/>
          <w:b/>
          <w:bCs/>
          <w:kern w:val="0"/>
          <w:sz w:val="36"/>
          <w:szCs w:val="48"/>
          <w:lang w:eastAsia="zh-CN"/>
        </w:rPr>
      </w:pPr>
      <w:r>
        <w:rPr>
          <w:rFonts w:hint="eastAsia" w:cs="Times New Roman"/>
          <w:b/>
          <w:bCs/>
          <w:kern w:val="0"/>
          <w:sz w:val="32"/>
          <w:szCs w:val="44"/>
          <w:lang w:val="en-US" w:eastAsia="zh-CN"/>
        </w:rPr>
        <w:t>高新区生物产业园峡州大道与合益路交会处东侧</w:t>
      </w:r>
      <w:r>
        <w:rPr>
          <w:rFonts w:hint="eastAsia" w:cs="Times New Roman"/>
          <w:b/>
          <w:bCs/>
          <w:kern w:val="0"/>
          <w:sz w:val="32"/>
          <w:szCs w:val="44"/>
        </w:rPr>
        <w:t>地块</w:t>
      </w:r>
      <w:r>
        <w:rPr>
          <w:rFonts w:hint="eastAsia" w:cs="Times New Roman"/>
          <w:b/>
          <w:bCs/>
          <w:kern w:val="0"/>
          <w:sz w:val="32"/>
          <w:szCs w:val="44"/>
          <w:lang w:eastAsia="zh-CN"/>
        </w:rPr>
        <w:t>（</w:t>
      </w:r>
      <w:r>
        <w:rPr>
          <w:rFonts w:hint="eastAsia" w:cs="Times New Roman"/>
          <w:b/>
          <w:bCs/>
          <w:kern w:val="0"/>
          <w:sz w:val="32"/>
          <w:szCs w:val="44"/>
          <w:lang w:val="en-US" w:eastAsia="zh-CN"/>
        </w:rPr>
        <w:t>3号地块</w:t>
      </w:r>
      <w:r>
        <w:rPr>
          <w:rFonts w:hint="eastAsia" w:cs="Times New Roman"/>
          <w:b/>
          <w:bCs/>
          <w:kern w:val="0"/>
          <w:sz w:val="32"/>
          <w:szCs w:val="44"/>
          <w:lang w:eastAsia="zh-CN"/>
        </w:rPr>
        <w:t>）</w:t>
      </w:r>
    </w:p>
    <w:p>
      <w:pPr>
        <w:widowControl w:val="0"/>
        <w:adjustRightInd w:val="0"/>
        <w:snapToGrid w:val="0"/>
        <w:spacing w:line="360" w:lineRule="auto"/>
        <w:jc w:val="center"/>
        <w:rPr>
          <w:rFonts w:cs="Times New Roman"/>
          <w:b/>
          <w:bCs/>
          <w:kern w:val="0"/>
          <w:sz w:val="48"/>
          <w:szCs w:val="48"/>
        </w:rPr>
      </w:pPr>
      <w:r>
        <w:rPr>
          <w:rFonts w:cs="Times New Roman"/>
          <w:b/>
          <w:bCs/>
          <w:kern w:val="0"/>
          <w:sz w:val="44"/>
          <w:szCs w:val="44"/>
        </w:rPr>
        <w:t>土壤污染</w:t>
      </w:r>
      <w:r>
        <w:rPr>
          <w:rFonts w:hint="eastAsia" w:cs="Times New Roman"/>
          <w:b/>
          <w:bCs/>
          <w:kern w:val="0"/>
          <w:sz w:val="44"/>
          <w:szCs w:val="44"/>
        </w:rPr>
        <w:t>初步</w:t>
      </w:r>
      <w:r>
        <w:rPr>
          <w:rFonts w:cs="Times New Roman"/>
          <w:b/>
          <w:bCs/>
          <w:kern w:val="0"/>
          <w:sz w:val="44"/>
          <w:szCs w:val="44"/>
        </w:rPr>
        <w:t>调查报告</w:t>
      </w:r>
    </w:p>
    <w:p>
      <w:pPr>
        <w:widowControl w:val="0"/>
        <w:adjustRightInd w:val="0"/>
        <w:snapToGrid w:val="0"/>
        <w:spacing w:line="360" w:lineRule="auto"/>
        <w:jc w:val="center"/>
        <w:rPr>
          <w:rFonts w:ascii="仿宋" w:hAnsi="仿宋" w:eastAsia="仿宋" w:cs="Times New Roman"/>
          <w:kern w:val="0"/>
          <w:sz w:val="30"/>
          <w:szCs w:val="30"/>
        </w:rPr>
      </w:pPr>
    </w:p>
    <w:p>
      <w:pPr>
        <w:widowControl w:val="0"/>
        <w:adjustRightInd w:val="0"/>
        <w:snapToGrid w:val="0"/>
        <w:spacing w:line="360" w:lineRule="auto"/>
        <w:jc w:val="center"/>
        <w:rPr>
          <w:rFonts w:ascii="仿宋" w:hAnsi="仿宋" w:eastAsia="仿宋" w:cs="Times New Roman"/>
          <w:kern w:val="0"/>
          <w:sz w:val="30"/>
          <w:szCs w:val="30"/>
        </w:rPr>
      </w:pPr>
    </w:p>
    <w:p>
      <w:pPr>
        <w:widowControl w:val="0"/>
        <w:adjustRightInd w:val="0"/>
        <w:snapToGrid w:val="0"/>
        <w:spacing w:line="360" w:lineRule="auto"/>
        <w:jc w:val="center"/>
        <w:rPr>
          <w:rFonts w:ascii="仿宋" w:hAnsi="仿宋" w:eastAsia="仿宋" w:cs="Times New Roman"/>
          <w:kern w:val="0"/>
          <w:sz w:val="30"/>
          <w:szCs w:val="30"/>
        </w:rPr>
      </w:pPr>
    </w:p>
    <w:p>
      <w:pPr>
        <w:widowControl w:val="0"/>
        <w:adjustRightInd w:val="0"/>
        <w:snapToGrid w:val="0"/>
        <w:spacing w:before="156" w:beforeLines="50" w:line="360" w:lineRule="auto"/>
        <w:jc w:val="center"/>
        <w:rPr>
          <w:rFonts w:cs="Times New Roman"/>
          <w:b/>
          <w:bCs/>
          <w:kern w:val="0"/>
          <w:sz w:val="32"/>
          <w:szCs w:val="32"/>
        </w:rPr>
      </w:pPr>
    </w:p>
    <w:p>
      <w:pPr>
        <w:widowControl w:val="0"/>
        <w:adjustRightInd w:val="0"/>
        <w:snapToGrid w:val="0"/>
        <w:spacing w:before="156" w:beforeLines="50" w:line="360" w:lineRule="auto"/>
        <w:jc w:val="center"/>
        <w:rPr>
          <w:rFonts w:cs="Times New Roman"/>
          <w:b/>
          <w:bCs/>
          <w:kern w:val="0"/>
          <w:sz w:val="32"/>
          <w:szCs w:val="32"/>
        </w:rPr>
      </w:pPr>
    </w:p>
    <w:p>
      <w:pPr>
        <w:widowControl w:val="0"/>
        <w:adjustRightInd w:val="0"/>
        <w:snapToGrid w:val="0"/>
        <w:spacing w:before="156" w:beforeLines="50" w:line="360" w:lineRule="auto"/>
        <w:jc w:val="center"/>
        <w:rPr>
          <w:rFonts w:cs="Times New Roman"/>
          <w:b/>
          <w:bCs/>
          <w:kern w:val="0"/>
          <w:sz w:val="32"/>
          <w:szCs w:val="32"/>
        </w:rPr>
      </w:pPr>
    </w:p>
    <w:p>
      <w:pPr>
        <w:widowControl w:val="0"/>
        <w:adjustRightInd w:val="0"/>
        <w:snapToGrid w:val="0"/>
        <w:spacing w:before="156" w:beforeLines="50" w:line="360" w:lineRule="auto"/>
        <w:jc w:val="center"/>
        <w:rPr>
          <w:rFonts w:cs="Times New Roman"/>
          <w:b/>
          <w:bCs/>
          <w:kern w:val="0"/>
          <w:sz w:val="32"/>
          <w:szCs w:val="32"/>
        </w:rPr>
      </w:pPr>
    </w:p>
    <w:p>
      <w:pPr>
        <w:widowControl w:val="0"/>
        <w:adjustRightInd w:val="0"/>
        <w:snapToGrid w:val="0"/>
        <w:spacing w:before="156" w:beforeLines="50" w:line="360" w:lineRule="auto"/>
        <w:jc w:val="center"/>
        <w:rPr>
          <w:rFonts w:cs="Times New Roman"/>
          <w:b/>
          <w:bCs/>
          <w:kern w:val="0"/>
          <w:sz w:val="32"/>
          <w:szCs w:val="32"/>
        </w:rPr>
      </w:pPr>
    </w:p>
    <w:p>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0" w:firstLineChars="0"/>
        <w:jc w:val="center"/>
        <w:textAlignment w:val="auto"/>
        <w:rPr>
          <w:rFonts w:hint="default" w:eastAsia="宋体" w:cs="Times New Roman"/>
          <w:b/>
          <w:bCs/>
          <w:kern w:val="0"/>
          <w:sz w:val="32"/>
          <w:szCs w:val="32"/>
          <w:lang w:val="en-US" w:eastAsia="zh-CN"/>
        </w:rPr>
      </w:pPr>
      <w:r>
        <w:rPr>
          <w:rFonts w:cs="Times New Roman"/>
          <w:b/>
          <w:bCs/>
          <w:kern w:val="0"/>
          <w:sz w:val="32"/>
          <w:szCs w:val="32"/>
        </w:rPr>
        <w:t>委托单位：</w:t>
      </w:r>
      <w:r>
        <w:rPr>
          <w:rFonts w:hint="eastAsia" w:cs="Times New Roman"/>
          <w:b/>
          <w:bCs/>
          <w:kern w:val="0"/>
          <w:sz w:val="32"/>
          <w:szCs w:val="32"/>
          <w:lang w:val="en-US" w:eastAsia="zh-CN"/>
        </w:rPr>
        <w:t>宜昌高新技术产业开发区房屋征收与补偿管理处</w:t>
      </w:r>
    </w:p>
    <w:p>
      <w:pPr>
        <w:widowControl/>
        <w:adjustRightInd w:val="0"/>
        <w:snapToGrid w:val="0"/>
        <w:spacing w:before="156" w:beforeLines="50" w:line="240" w:lineRule="auto"/>
        <w:ind w:firstLine="321" w:firstLineChars="100"/>
        <w:jc w:val="left"/>
        <w:rPr>
          <w:rFonts w:cs="Times New Roman"/>
          <w:b/>
          <w:bCs/>
          <w:kern w:val="0"/>
          <w:sz w:val="32"/>
          <w:szCs w:val="32"/>
        </w:rPr>
      </w:pPr>
      <w:r>
        <w:rPr>
          <w:rFonts w:hint="eastAsia" w:cs="Times New Roman"/>
          <w:b/>
          <w:bCs/>
          <w:kern w:val="0"/>
          <w:sz w:val="32"/>
          <w:szCs w:val="32"/>
        </w:rPr>
        <w:t>编制单位：</w:t>
      </w:r>
      <w:r>
        <w:rPr>
          <w:rFonts w:hint="eastAsia" w:cs="Times New Roman"/>
          <w:b/>
          <w:bCs/>
          <w:kern w:val="0"/>
          <w:sz w:val="32"/>
          <w:szCs w:val="32"/>
          <w:lang w:val="en-US" w:eastAsia="zh-CN"/>
        </w:rPr>
        <w:t>宜昌景澄生态科技</w:t>
      </w:r>
      <w:r>
        <w:rPr>
          <w:rFonts w:hint="eastAsia" w:cs="Times New Roman"/>
          <w:b/>
          <w:bCs/>
          <w:kern w:val="0"/>
          <w:sz w:val="32"/>
          <w:szCs w:val="32"/>
        </w:rPr>
        <w:t>有限公司</w:t>
      </w:r>
    </w:p>
    <w:p>
      <w:pPr>
        <w:spacing w:before="156" w:beforeLines="50" w:line="240" w:lineRule="auto"/>
        <w:ind w:firstLine="321" w:firstLineChars="100"/>
        <w:rPr>
          <w:rFonts w:hint="eastAsia" w:cs="Times New Roman"/>
          <w:b/>
          <w:bCs/>
          <w:kern w:val="0"/>
          <w:sz w:val="32"/>
          <w:szCs w:val="32"/>
        </w:rPr>
        <w:sectPr>
          <w:footerReference r:id="rId3" w:type="default"/>
          <w:pgSz w:w="11906" w:h="16838"/>
          <w:pgMar w:top="1440" w:right="1440" w:bottom="1440" w:left="1440" w:header="851" w:footer="992" w:gutter="0"/>
          <w:cols w:space="425" w:num="1"/>
          <w:docGrid w:type="lines" w:linePitch="312" w:charSpace="0"/>
        </w:sectPr>
      </w:pPr>
      <w:r>
        <w:rPr>
          <w:rFonts w:hint="eastAsia" w:cs="Times New Roman"/>
          <w:b/>
          <w:bCs/>
          <w:kern w:val="0"/>
          <w:sz w:val="32"/>
          <w:szCs w:val="32"/>
        </w:rPr>
        <w:t>编制时间：二零二</w:t>
      </w:r>
      <w:r>
        <w:rPr>
          <w:rFonts w:hint="eastAsia" w:cs="Times New Roman"/>
          <w:b/>
          <w:bCs/>
          <w:kern w:val="0"/>
          <w:sz w:val="32"/>
          <w:szCs w:val="32"/>
          <w:lang w:val="en-US" w:eastAsia="zh-CN"/>
        </w:rPr>
        <w:t>三</w:t>
      </w:r>
      <w:r>
        <w:rPr>
          <w:rFonts w:hint="eastAsia" w:cs="Times New Roman"/>
          <w:b/>
          <w:bCs/>
          <w:kern w:val="0"/>
          <w:sz w:val="32"/>
          <w:szCs w:val="32"/>
        </w:rPr>
        <w:t>年</w:t>
      </w:r>
      <w:r>
        <w:rPr>
          <w:rFonts w:hint="eastAsia" w:cs="Times New Roman"/>
          <w:b/>
          <w:bCs/>
          <w:kern w:val="0"/>
          <w:sz w:val="32"/>
          <w:szCs w:val="32"/>
          <w:lang w:val="en-US" w:eastAsia="zh-CN"/>
        </w:rPr>
        <w:t>五</w:t>
      </w:r>
      <w:r>
        <w:rPr>
          <w:rFonts w:hint="eastAsia" w:cs="Times New Roman"/>
          <w:b/>
          <w:bCs/>
          <w:kern w:val="0"/>
          <w:sz w:val="32"/>
          <w:szCs w:val="32"/>
        </w:rPr>
        <w:t>月</w:t>
      </w:r>
    </w:p>
    <w:p>
      <w:pPr>
        <w:widowControl w:val="0"/>
        <w:spacing w:before="1716" w:beforeLines="550"/>
        <w:jc w:val="center"/>
        <w:rPr>
          <w:b/>
          <w:bCs/>
          <w:sz w:val="32"/>
          <w:szCs w:val="32"/>
        </w:rPr>
      </w:pPr>
      <w:bookmarkStart w:id="0" w:name="_Hlk133153319"/>
      <w:r>
        <w:rPr>
          <w:rFonts w:hint="eastAsia" w:cs="Times New Roman"/>
          <w:b/>
          <w:bCs/>
          <w:kern w:val="0"/>
          <w:sz w:val="32"/>
          <w:szCs w:val="44"/>
          <w:lang w:val="en-US" w:eastAsia="zh-CN"/>
        </w:rPr>
        <w:t>高新区生物产业园峡州大道与合益路交会处东侧</w:t>
      </w:r>
      <w:r>
        <w:rPr>
          <w:rFonts w:hint="eastAsia" w:cs="Times New Roman"/>
          <w:b/>
          <w:bCs/>
          <w:kern w:val="0"/>
          <w:sz w:val="32"/>
          <w:szCs w:val="44"/>
        </w:rPr>
        <w:t>地块</w:t>
      </w:r>
      <w:r>
        <w:rPr>
          <w:rFonts w:hint="eastAsia" w:cs="Times New Roman"/>
          <w:b/>
          <w:bCs/>
          <w:kern w:val="0"/>
          <w:sz w:val="32"/>
          <w:szCs w:val="44"/>
          <w:lang w:eastAsia="zh-CN"/>
        </w:rPr>
        <w:t>（</w:t>
      </w:r>
      <w:r>
        <w:rPr>
          <w:rFonts w:hint="eastAsia" w:cs="Times New Roman"/>
          <w:b/>
          <w:bCs/>
          <w:kern w:val="0"/>
          <w:sz w:val="32"/>
          <w:szCs w:val="44"/>
          <w:lang w:val="en-US" w:eastAsia="zh-CN"/>
        </w:rPr>
        <w:t>3号地块</w:t>
      </w:r>
      <w:r>
        <w:rPr>
          <w:rFonts w:hint="eastAsia" w:cs="Times New Roman"/>
          <w:b/>
          <w:bCs/>
          <w:kern w:val="0"/>
          <w:sz w:val="32"/>
          <w:szCs w:val="44"/>
          <w:lang w:eastAsia="zh-CN"/>
        </w:rPr>
        <w:t>）</w:t>
      </w:r>
    </w:p>
    <w:bookmarkEnd w:id="0"/>
    <w:p>
      <w:pPr>
        <w:widowControl w:val="0"/>
        <w:jc w:val="center"/>
        <w:rPr>
          <w:b/>
          <w:bCs/>
          <w:sz w:val="48"/>
          <w:szCs w:val="48"/>
        </w:rPr>
      </w:pPr>
      <w:r>
        <w:rPr>
          <w:b/>
          <w:bCs/>
          <w:sz w:val="44"/>
          <w:szCs w:val="44"/>
        </w:rPr>
        <w:t>土壤污染</w:t>
      </w:r>
      <w:r>
        <w:rPr>
          <w:rFonts w:hint="eastAsia"/>
          <w:b/>
          <w:bCs/>
          <w:sz w:val="44"/>
          <w:szCs w:val="44"/>
        </w:rPr>
        <w:t>初步</w:t>
      </w:r>
      <w:r>
        <w:rPr>
          <w:b/>
          <w:bCs/>
          <w:sz w:val="44"/>
          <w:szCs w:val="44"/>
        </w:rPr>
        <w:t>调查报告</w:t>
      </w:r>
    </w:p>
    <w:p>
      <w:pPr>
        <w:widowControl w:val="0"/>
        <w:jc w:val="center"/>
        <w:rPr>
          <w:b/>
          <w:bCs/>
          <w:sz w:val="48"/>
          <w:szCs w:val="48"/>
        </w:rPr>
      </w:pPr>
    </w:p>
    <w:p>
      <w:pPr>
        <w:spacing w:before="312" w:beforeLines="100" w:after="312" w:afterLines="100"/>
        <w:ind w:firstLine="1280" w:firstLineChars="400"/>
        <w:jc w:val="left"/>
        <w:rPr>
          <w:rFonts w:hint="default" w:eastAsia="宋体"/>
          <w:bCs/>
          <w:sz w:val="32"/>
          <w:szCs w:val="32"/>
          <w:lang w:val="en-US" w:eastAsia="zh-CN"/>
        </w:rPr>
      </w:pPr>
      <w:r>
        <w:rPr>
          <w:rFonts w:hint="eastAsia"/>
          <w:bCs/>
          <w:sz w:val="32"/>
          <w:szCs w:val="32"/>
        </w:rPr>
        <w:t>报告编制人：</w:t>
      </w:r>
      <w:r>
        <w:rPr>
          <w:rFonts w:hint="eastAsia"/>
          <w:bCs/>
          <w:sz w:val="32"/>
          <w:szCs w:val="32"/>
          <w:lang w:val="en-US" w:eastAsia="zh-CN"/>
        </w:rPr>
        <w:t>胡莉</w:t>
      </w:r>
    </w:p>
    <w:p>
      <w:pPr>
        <w:spacing w:before="312" w:beforeLines="100" w:after="312" w:afterLines="100"/>
        <w:ind w:firstLine="1280" w:firstLineChars="400"/>
        <w:jc w:val="left"/>
        <w:rPr>
          <w:rFonts w:hint="eastAsia" w:eastAsia="宋体"/>
          <w:bCs/>
          <w:sz w:val="32"/>
          <w:szCs w:val="32"/>
          <w:lang w:eastAsia="zh-CN"/>
        </w:rPr>
      </w:pPr>
      <w:r>
        <w:rPr>
          <w:rFonts w:hint="eastAsia"/>
          <w:bCs/>
          <w:sz w:val="32"/>
          <w:szCs w:val="32"/>
        </w:rPr>
        <w:t>报告校核人：</w:t>
      </w:r>
      <w:r>
        <w:rPr>
          <w:rFonts w:hint="eastAsia"/>
          <w:bCs/>
          <w:sz w:val="32"/>
          <w:szCs w:val="32"/>
          <w:lang w:val="en-US" w:eastAsia="zh-CN"/>
        </w:rPr>
        <w:t>谭晓琳</w:t>
      </w:r>
    </w:p>
    <w:p>
      <w:pPr>
        <w:spacing w:before="312" w:beforeLines="100" w:after="312" w:afterLines="100"/>
        <w:ind w:firstLine="1280" w:firstLineChars="400"/>
        <w:jc w:val="left"/>
        <w:rPr>
          <w:bCs/>
          <w:sz w:val="32"/>
          <w:szCs w:val="32"/>
        </w:rPr>
      </w:pPr>
      <w:r>
        <w:rPr>
          <w:rFonts w:hint="eastAsia"/>
          <w:bCs/>
          <w:sz w:val="32"/>
          <w:szCs w:val="32"/>
        </w:rPr>
        <w:t>报告审核人：宋瀚林</w:t>
      </w:r>
    </w:p>
    <w:p>
      <w:pPr>
        <w:spacing w:before="312" w:beforeLines="100" w:after="312" w:afterLines="100"/>
        <w:ind w:firstLine="1280" w:firstLineChars="400"/>
        <w:jc w:val="left"/>
        <w:rPr>
          <w:rFonts w:hint="default" w:eastAsia="宋体"/>
          <w:bCs/>
          <w:sz w:val="32"/>
          <w:szCs w:val="32"/>
          <w:lang w:val="en-US" w:eastAsia="zh-CN"/>
        </w:rPr>
      </w:pPr>
      <w:r>
        <w:rPr>
          <w:rFonts w:hint="eastAsia"/>
          <w:bCs/>
          <w:sz w:val="32"/>
          <w:szCs w:val="32"/>
        </w:rPr>
        <w:t>报告审定人：</w:t>
      </w:r>
      <w:r>
        <w:rPr>
          <w:rFonts w:hint="eastAsia"/>
          <w:bCs/>
          <w:sz w:val="32"/>
          <w:szCs w:val="32"/>
          <w:lang w:val="en-US" w:eastAsia="zh-CN"/>
        </w:rPr>
        <w:t>熊锐</w:t>
      </w:r>
    </w:p>
    <w:p>
      <w:pPr>
        <w:spacing w:before="312" w:beforeLines="100" w:after="312" w:afterLines="100"/>
        <w:ind w:firstLine="1600" w:firstLineChars="500"/>
        <w:jc w:val="left"/>
        <w:rPr>
          <w:bCs/>
          <w:sz w:val="32"/>
          <w:szCs w:val="32"/>
        </w:rPr>
      </w:pPr>
    </w:p>
    <w:p>
      <w:pPr>
        <w:spacing w:before="312" w:beforeLines="100" w:after="312" w:afterLines="100"/>
        <w:ind w:firstLine="1600" w:firstLineChars="500"/>
        <w:jc w:val="left"/>
        <w:rPr>
          <w:bCs/>
          <w:sz w:val="32"/>
          <w:szCs w:val="32"/>
        </w:rPr>
      </w:pPr>
    </w:p>
    <w:p>
      <w:pPr>
        <w:spacing w:before="312" w:beforeLines="100" w:after="312" w:afterLines="100"/>
        <w:ind w:firstLine="1600" w:firstLineChars="500"/>
        <w:jc w:val="left"/>
        <w:rPr>
          <w:bCs/>
          <w:sz w:val="32"/>
          <w:szCs w:val="32"/>
        </w:rPr>
      </w:pPr>
    </w:p>
    <w:p>
      <w:pPr>
        <w:spacing w:before="312" w:beforeLines="100" w:after="312" w:afterLines="100"/>
        <w:ind w:firstLine="1600" w:firstLineChars="500"/>
        <w:jc w:val="left"/>
        <w:rPr>
          <w:bCs/>
          <w:sz w:val="32"/>
          <w:szCs w:val="32"/>
        </w:rPr>
      </w:pPr>
    </w:p>
    <w:p>
      <w:pPr>
        <w:keepNext w:val="0"/>
        <w:keepLines w:val="0"/>
        <w:pageBreakBefore w:val="0"/>
        <w:widowControl w:val="0"/>
        <w:kinsoku/>
        <w:wordWrap/>
        <w:overflowPunct/>
        <w:topLinePunct w:val="0"/>
        <w:autoSpaceDE/>
        <w:autoSpaceDN/>
        <w:bidi w:val="0"/>
        <w:adjustRightInd/>
        <w:snapToGrid/>
        <w:spacing w:before="156" w:beforeLines="50" w:line="240" w:lineRule="auto"/>
        <w:ind w:firstLine="0" w:firstLineChars="0"/>
        <w:jc w:val="center"/>
        <w:textAlignment w:val="auto"/>
        <w:rPr>
          <w:b/>
          <w:bCs/>
          <w:sz w:val="32"/>
          <w:szCs w:val="32"/>
        </w:rPr>
      </w:pPr>
      <w:r>
        <w:rPr>
          <w:b/>
          <w:bCs/>
          <w:sz w:val="32"/>
          <w:szCs w:val="32"/>
        </w:rPr>
        <w:t>委托单位：</w:t>
      </w:r>
      <w:r>
        <w:rPr>
          <w:rFonts w:hint="eastAsia"/>
          <w:b/>
          <w:bCs/>
          <w:sz w:val="32"/>
          <w:szCs w:val="32"/>
        </w:rPr>
        <w:t>宜昌高新技术产业开发区房屋征收与补偿管理处</w:t>
      </w:r>
    </w:p>
    <w:p>
      <w:pPr>
        <w:spacing w:before="156" w:beforeLines="50" w:line="240" w:lineRule="auto"/>
        <w:ind w:firstLine="321" w:firstLineChars="100"/>
        <w:rPr>
          <w:b/>
          <w:bCs/>
          <w:sz w:val="32"/>
          <w:szCs w:val="32"/>
        </w:rPr>
      </w:pPr>
      <w:r>
        <w:rPr>
          <w:rFonts w:hint="eastAsia"/>
          <w:b/>
          <w:bCs/>
          <w:sz w:val="32"/>
          <w:szCs w:val="32"/>
        </w:rPr>
        <w:t>编制单位：宜昌景澄生态科技有限公司</w:t>
      </w:r>
    </w:p>
    <w:p>
      <w:pPr>
        <w:widowControl w:val="0"/>
        <w:ind w:firstLine="321" w:firstLineChars="100"/>
        <w:jc w:val="left"/>
        <w:rPr>
          <w:b/>
          <w:bCs/>
          <w:sz w:val="32"/>
          <w:szCs w:val="32"/>
        </w:rPr>
      </w:pPr>
      <w:r>
        <w:rPr>
          <w:rFonts w:hint="eastAsia"/>
          <w:b/>
          <w:bCs/>
          <w:sz w:val="32"/>
          <w:szCs w:val="32"/>
        </w:rPr>
        <w:t>编制时间：二零二三年</w:t>
      </w:r>
      <w:r>
        <w:rPr>
          <w:rFonts w:hint="eastAsia"/>
          <w:b/>
          <w:bCs/>
          <w:sz w:val="32"/>
          <w:szCs w:val="32"/>
          <w:lang w:val="en-US" w:eastAsia="zh-CN"/>
        </w:rPr>
        <w:t>五</w:t>
      </w:r>
      <w:r>
        <w:rPr>
          <w:rFonts w:hint="eastAsia"/>
          <w:b/>
          <w:bCs/>
          <w:sz w:val="32"/>
          <w:szCs w:val="32"/>
        </w:rPr>
        <w:t>月</w:t>
      </w:r>
    </w:p>
    <w:p>
      <w:pPr>
        <w:pageBreakBefore/>
        <w:spacing w:before="312" w:beforeLines="100" w:after="156" w:afterLines="50"/>
        <w:jc w:val="center"/>
        <w:rPr>
          <w:b/>
          <w:bCs/>
          <w:sz w:val="32"/>
          <w:szCs w:val="32"/>
        </w:rPr>
        <w:sectPr>
          <w:footerReference r:id="rId4" w:type="default"/>
          <w:pgSz w:w="11906" w:h="16838"/>
          <w:pgMar w:top="1440" w:right="1417" w:bottom="1440" w:left="1417" w:header="851" w:footer="992" w:gutter="284"/>
          <w:pgNumType w:fmt="upperRoman" w:start="1"/>
          <w:cols w:space="425" w:num="1"/>
          <w:docGrid w:type="lines" w:linePitch="312" w:charSpace="0"/>
        </w:sectPr>
      </w:pPr>
    </w:p>
    <w:p>
      <w:pPr>
        <w:spacing w:before="312" w:beforeLines="100"/>
        <w:jc w:val="center"/>
        <w:rPr>
          <w:b/>
          <w:bCs/>
          <w:sz w:val="28"/>
          <w:szCs w:val="28"/>
        </w:rPr>
      </w:pPr>
      <w:r>
        <w:rPr>
          <w:rFonts w:hint="eastAsia"/>
          <w:b/>
          <w:bCs/>
          <w:sz w:val="28"/>
          <w:szCs w:val="28"/>
        </w:rPr>
        <w:t>《高新区生物产业园峡州大道与合益路交会处东侧地块（3号地块）土壤污染初步调查报告》修改清单</w:t>
      </w:r>
    </w:p>
    <w:p>
      <w:pPr>
        <w:spacing w:line="240" w:lineRule="auto"/>
        <w:jc w:val="center"/>
        <w:rPr>
          <w:b/>
          <w:bCs/>
          <w:sz w:val="28"/>
          <w:szCs w:val="28"/>
        </w:rPr>
      </w:pPr>
    </w:p>
    <w:p>
      <w:pPr>
        <w:pStyle w:val="15"/>
        <w:spacing w:after="156" w:afterLines="50"/>
        <w:ind w:firstLine="480"/>
        <w:rPr>
          <w:b/>
          <w:color w:val="000000" w:themeColor="text1"/>
          <w:sz w:val="28"/>
          <w:szCs w:val="28"/>
          <w14:textFill>
            <w14:solidFill>
              <w14:schemeClr w14:val="tx1"/>
            </w14:solidFill>
          </w14:textFill>
        </w:rPr>
      </w:pPr>
      <w:r>
        <w:rPr>
          <w:snapToGrid w:val="0"/>
          <w:color w:val="000000" w:themeColor="text1"/>
          <w14:textFill>
            <w14:solidFill>
              <w14:schemeClr w14:val="tx1"/>
            </w14:solidFill>
          </w14:textFill>
        </w:rPr>
        <w:t>2023年</w:t>
      </w:r>
      <w:r>
        <w:rPr>
          <w:rFonts w:hint="eastAsia"/>
          <w:snapToGrid w:val="0"/>
          <w:color w:val="000000" w:themeColor="text1"/>
          <w:lang w:val="en-US" w:eastAsia="zh-CN"/>
          <w14:textFill>
            <w14:solidFill>
              <w14:schemeClr w14:val="tx1"/>
            </w14:solidFill>
          </w14:textFill>
        </w:rPr>
        <w:t>5</w:t>
      </w:r>
      <w:r>
        <w:rPr>
          <w:snapToGrid w:val="0"/>
          <w:color w:val="000000" w:themeColor="text1"/>
          <w14:textFill>
            <w14:solidFill>
              <w14:schemeClr w14:val="tx1"/>
            </w14:solidFill>
          </w14:textFill>
        </w:rPr>
        <w:t>月</w:t>
      </w:r>
      <w:r>
        <w:rPr>
          <w:rFonts w:hint="eastAsia"/>
          <w:snapToGrid w:val="0"/>
          <w:color w:val="000000" w:themeColor="text1"/>
          <w:lang w:val="en-US" w:eastAsia="zh-CN"/>
          <w14:textFill>
            <w14:solidFill>
              <w14:schemeClr w14:val="tx1"/>
            </w14:solidFill>
          </w14:textFill>
        </w:rPr>
        <w:t>5</w:t>
      </w:r>
      <w:r>
        <w:rPr>
          <w:snapToGrid w:val="0"/>
          <w:color w:val="000000" w:themeColor="text1"/>
          <w14:textFill>
            <w14:solidFill>
              <w14:schemeClr w14:val="tx1"/>
            </w14:solidFill>
          </w14:textFill>
        </w:rPr>
        <w:t>日，</w:t>
      </w:r>
      <w:r>
        <w:rPr>
          <w:rFonts w:hint="eastAsia"/>
          <w:color w:val="000000" w:themeColor="text1"/>
          <w14:textFill>
            <w14:solidFill>
              <w14:schemeClr w14:val="tx1"/>
            </w14:solidFill>
          </w14:textFill>
        </w:rPr>
        <w:t>宜昌市生态环境局合同宜昌市自然资源和规划局</w:t>
      </w:r>
      <w:r>
        <w:rPr>
          <w:snapToGrid w:val="0"/>
          <w:color w:val="000000" w:themeColor="text1"/>
          <w14:textFill>
            <w14:solidFill>
              <w14:schemeClr w14:val="tx1"/>
            </w14:solidFill>
          </w14:textFill>
        </w:rPr>
        <w:t>主持召开了《</w:t>
      </w:r>
      <w:r>
        <w:rPr>
          <w:rFonts w:hint="eastAsia"/>
          <w:snapToGrid w:val="0"/>
          <w:color w:val="000000" w:themeColor="text1"/>
          <w14:textFill>
            <w14:solidFill>
              <w14:schemeClr w14:val="tx1"/>
            </w14:solidFill>
          </w14:textFill>
        </w:rPr>
        <w:t>高新区生物产业园峡州大道与合益路交会处东侧地块（3号地块）土壤污染初步调查报告</w:t>
      </w:r>
      <w:r>
        <w:rPr>
          <w:snapToGrid w:val="0"/>
          <w:color w:val="000000" w:themeColor="text1"/>
          <w14:textFill>
            <w14:solidFill>
              <w14:schemeClr w14:val="tx1"/>
            </w14:solidFill>
          </w14:textFill>
        </w:rPr>
        <w:t>》技术评估会</w:t>
      </w:r>
      <w:r>
        <w:rPr>
          <w:rFonts w:hint="eastAsia"/>
          <w:snapToGrid w:val="0"/>
          <w:color w:val="000000" w:themeColor="text1"/>
          <w14:textFill>
            <w14:solidFill>
              <w14:schemeClr w14:val="tx1"/>
            </w14:solidFill>
          </w14:textFill>
        </w:rPr>
        <w:t>，会后我单位根据专家意见对调查报告进行了修改完善，现就修改内容说明如下：</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3691"/>
        <w:gridCol w:w="4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7" w:type="pct"/>
            <w:vAlign w:val="center"/>
          </w:tcPr>
          <w:p>
            <w:pPr>
              <w:pStyle w:val="16"/>
              <w:ind w:left="-120" w:leftChars="-50" w:right="-120" w:rightChars="-5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序号</w:t>
            </w:r>
          </w:p>
        </w:tc>
        <w:tc>
          <w:tcPr>
            <w:tcW w:w="1997" w:type="pct"/>
            <w:vAlign w:val="center"/>
          </w:tcPr>
          <w:p>
            <w:pPr>
              <w:pStyle w:val="16"/>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评估意见</w:t>
            </w:r>
          </w:p>
        </w:tc>
        <w:tc>
          <w:tcPr>
            <w:tcW w:w="2606" w:type="pct"/>
            <w:vAlign w:val="center"/>
          </w:tcPr>
          <w:p>
            <w:pPr>
              <w:pStyle w:val="16"/>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修改情况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7" w:type="pct"/>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997" w:type="pct"/>
            <w:vAlign w:val="center"/>
          </w:tcPr>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细化调查技术路线，补充宜昌高新技术产业开发区及项目区域规划和开发现状相关内容</w:t>
            </w:r>
          </w:p>
        </w:tc>
        <w:tc>
          <w:tcPr>
            <w:tcW w:w="2606" w:type="pct"/>
            <w:vAlign w:val="center"/>
          </w:tcPr>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已细化调查技术路线，本次仅进行第一阶段调查，详见P</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P8</w:t>
            </w:r>
            <w:r>
              <w:rPr>
                <w:rFonts w:hint="eastAsia"/>
                <w:color w:val="000000" w:themeColor="text1"/>
                <w14:textFill>
                  <w14:solidFill>
                    <w14:schemeClr w14:val="tx1"/>
                  </w14:solidFill>
                </w14:textFill>
              </w:rPr>
              <w:t>；</w:t>
            </w:r>
          </w:p>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已补充宜昌高新技术产业开发区及项目区域规划和开发现状相关内容，详见P</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、P</w:t>
            </w:r>
            <w:r>
              <w:rPr>
                <w:rFonts w:hint="eastAsia"/>
                <w:color w:val="000000" w:themeColor="text1"/>
                <w:lang w:val="en-US" w:eastAsia="zh-CN"/>
                <w14:textFill>
                  <w14:solidFill>
                    <w14:schemeClr w14:val="tx1"/>
                  </w14:solidFill>
                </w14:textFill>
              </w:rPr>
              <w:t>27</w:t>
            </w: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7" w:type="pct"/>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997" w:type="pct"/>
            <w:vAlign w:val="center"/>
          </w:tcPr>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充实周边地块工</w:t>
            </w:r>
            <w:r>
              <w:rPr>
                <w:rFonts w:hint="eastAsia"/>
                <w:color w:val="000000" w:themeColor="text1"/>
                <w:lang w:val="en-US" w:eastAsia="zh-CN"/>
                <w14:textFill>
                  <w14:solidFill>
                    <w14:schemeClr w14:val="tx1"/>
                  </w14:solidFill>
                </w14:textFill>
              </w:rPr>
              <w:t>农</w:t>
            </w:r>
            <w:r>
              <w:rPr>
                <w:rFonts w:hint="eastAsia"/>
                <w:color w:val="000000" w:themeColor="text1"/>
                <w14:textFill>
                  <w14:solidFill>
                    <w14:schemeClr w14:val="tx1"/>
                  </w14:solidFill>
                </w14:textFill>
              </w:rPr>
              <w:t>业生产调查及污染影响分析，优化项目相关建议</w:t>
            </w:r>
          </w:p>
        </w:tc>
        <w:tc>
          <w:tcPr>
            <w:tcW w:w="2606" w:type="pct"/>
            <w:vAlign w:val="center"/>
          </w:tcPr>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已充实周边地块工业生产调查及污染影响分析，详见P</w:t>
            </w:r>
            <w:r>
              <w:rPr>
                <w:color w:val="000000" w:themeColor="text1"/>
                <w14:textFill>
                  <w14:solidFill>
                    <w14:schemeClr w14:val="tx1"/>
                  </w14:solidFill>
                </w14:textFill>
              </w:rPr>
              <w:t>2</w:t>
            </w:r>
            <w:r>
              <w:rPr>
                <w:rFonts w:hint="eastAsia"/>
                <w:color w:val="000000" w:themeColor="text1"/>
                <w:lang w:val="en-US" w:eastAsia="zh-CN"/>
                <w14:textFill>
                  <w14:solidFill>
                    <w14:schemeClr w14:val="tx1"/>
                  </w14:solidFill>
                </w14:textFill>
              </w:rPr>
              <w:t>0</w:t>
            </w:r>
            <w:r>
              <w:rPr>
                <w:color w:val="000000" w:themeColor="text1"/>
                <w14:textFill>
                  <w14:solidFill>
                    <w14:schemeClr w14:val="tx1"/>
                  </w14:solidFill>
                </w14:textFill>
              </w:rPr>
              <w:t>~P</w:t>
            </w:r>
            <w:r>
              <w:rPr>
                <w:rFonts w:hint="eastAsia"/>
                <w:color w:val="000000" w:themeColor="text1"/>
                <w:lang w:val="en-US" w:eastAsia="zh-CN"/>
                <w14:textFill>
                  <w14:solidFill>
                    <w14:schemeClr w14:val="tx1"/>
                  </w14:solidFill>
                </w14:textFill>
              </w:rPr>
              <w:t>27</w:t>
            </w:r>
            <w:r>
              <w:rPr>
                <w:rFonts w:hint="eastAsia"/>
                <w:color w:val="000000" w:themeColor="text1"/>
                <w14:textFill>
                  <w14:solidFill>
                    <w14:schemeClr w14:val="tx1"/>
                  </w14:solidFill>
                </w14:textFill>
              </w:rPr>
              <w:t>；</w:t>
            </w:r>
          </w:p>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已优化项目相关建议，详见P</w:t>
            </w:r>
            <w:r>
              <w:rPr>
                <w:rFonts w:hint="eastAsia"/>
                <w:color w:val="000000" w:themeColor="text1"/>
                <w:lang w:val="en-US" w:eastAsia="zh-CN"/>
                <w14:textFill>
                  <w14:solidFill>
                    <w14:schemeClr w14:val="tx1"/>
                  </w14:solidFill>
                </w14:textFill>
              </w:rPr>
              <w:t>39</w:t>
            </w: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7" w:type="pct"/>
            <w:vAlign w:val="center"/>
          </w:tcPr>
          <w:p>
            <w:pPr>
              <w:pStyle w:val="16"/>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997" w:type="pct"/>
            <w:vAlign w:val="center"/>
          </w:tcPr>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完善相关图件</w:t>
            </w:r>
          </w:p>
        </w:tc>
        <w:tc>
          <w:tcPr>
            <w:tcW w:w="2606" w:type="pct"/>
            <w:vAlign w:val="center"/>
          </w:tcPr>
          <w:p>
            <w:pPr>
              <w:pStyle w:val="1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已完善相关图件，详见附图附件。</w:t>
            </w:r>
          </w:p>
        </w:tc>
      </w:tr>
    </w:tbl>
    <w:p>
      <w:pPr>
        <w:spacing w:before="156" w:beforeLines="50" w:line="240" w:lineRule="auto"/>
        <w:ind w:firstLine="321" w:firstLineChars="100"/>
        <w:rPr>
          <w:rFonts w:hint="eastAsia" w:cs="Times New Roman"/>
          <w:b/>
          <w:bCs/>
          <w:kern w:val="0"/>
          <w:sz w:val="32"/>
          <w:szCs w:val="32"/>
        </w:rPr>
        <w:sectPr>
          <w:pgSz w:w="11906" w:h="16838"/>
          <w:pgMar w:top="1440" w:right="1440" w:bottom="1440" w:left="1440" w:header="851" w:footer="992" w:gutter="0"/>
          <w:cols w:space="425" w:num="1"/>
          <w:docGrid w:type="lines" w:linePitch="312" w:charSpace="0"/>
        </w:sectPr>
      </w:pPr>
    </w:p>
    <w:p>
      <w:pPr>
        <w:spacing w:before="156" w:beforeLines="50" w:line="240" w:lineRule="auto"/>
        <w:ind w:firstLine="321" w:firstLineChars="100"/>
        <w:rPr>
          <w:rFonts w:hint="eastAsia" w:cs="Times New Roman"/>
          <w:b/>
          <w:bCs/>
          <w:kern w:val="0"/>
          <w:sz w:val="32"/>
          <w:szCs w:val="32"/>
        </w:rPr>
        <w:sectPr>
          <w:pgSz w:w="11906" w:h="16838"/>
          <w:pgMar w:top="1440" w:right="1440" w:bottom="1440" w:left="1440" w:header="851" w:footer="992" w:gutter="0"/>
          <w:cols w:space="425" w:num="1"/>
          <w:docGrid w:type="lines" w:linePitch="312" w:charSpace="0"/>
        </w:sectPr>
      </w:pPr>
    </w:p>
    <w:p>
      <w:pPr>
        <w:pageBreakBefore/>
        <w:widowControl/>
        <w:adjustRightInd w:val="0"/>
        <w:snapToGrid w:val="0"/>
        <w:spacing w:before="312" w:beforeLines="100" w:after="156" w:afterLines="50" w:line="360" w:lineRule="auto"/>
        <w:jc w:val="center"/>
        <w:rPr>
          <w:rFonts w:cs="Times New Roman"/>
          <w:b/>
          <w:bCs/>
          <w:kern w:val="0"/>
          <w:sz w:val="32"/>
          <w:szCs w:val="32"/>
        </w:rPr>
      </w:pPr>
      <w:r>
        <w:rPr>
          <w:rFonts w:hint="eastAsia" w:cs="Times New Roman"/>
          <w:b/>
          <w:bCs/>
          <w:kern w:val="0"/>
          <w:sz w:val="32"/>
          <w:szCs w:val="32"/>
        </w:rPr>
        <w:t xml:space="preserve">目 </w:t>
      </w:r>
      <w:r>
        <w:rPr>
          <w:rFonts w:cs="Times New Roman"/>
          <w:b/>
          <w:bCs/>
          <w:kern w:val="0"/>
          <w:sz w:val="32"/>
          <w:szCs w:val="32"/>
        </w:rPr>
        <w:t xml:space="preserve"> </w:t>
      </w:r>
      <w:r>
        <w:rPr>
          <w:rFonts w:hint="eastAsia" w:cs="Times New Roman"/>
          <w:b/>
          <w:bCs/>
          <w:kern w:val="0"/>
          <w:sz w:val="32"/>
          <w:szCs w:val="32"/>
        </w:rPr>
        <w:t>录</w:t>
      </w:r>
    </w:p>
    <w:p>
      <w:pPr>
        <w:pStyle w:val="9"/>
        <w:tabs>
          <w:tab w:val="right" w:leader="dot" w:pos="8028"/>
        </w:tabs>
      </w:pPr>
      <w:r>
        <w:rPr>
          <w:rFonts w:ascii="Times New Roman" w:hAnsi="Times New Roman" w:eastAsia="宋体" w:cs="Times New Roman"/>
          <w:b/>
          <w:bCs/>
          <w:sz w:val="32"/>
          <w:szCs w:val="32"/>
          <w:lang w:val="en-US" w:eastAsia="zh-CN" w:bidi="ar-SA"/>
        </w:rPr>
        <w:fldChar w:fldCharType="begin"/>
      </w:r>
      <w:r>
        <w:rPr>
          <w:rFonts w:ascii="Times New Roman" w:hAnsi="Times New Roman" w:eastAsia="宋体" w:cs="Times New Roman"/>
          <w:b/>
          <w:bCs/>
          <w:sz w:val="32"/>
          <w:szCs w:val="32"/>
          <w:lang w:val="en-US" w:eastAsia="zh-CN" w:bidi="ar-SA"/>
        </w:rPr>
        <w:instrText xml:space="preserve"> TOC \o "1-2" \h \z \u </w:instrText>
      </w:r>
      <w:r>
        <w:rPr>
          <w:rFonts w:ascii="Times New Roman" w:hAnsi="Times New Roman" w:eastAsia="宋体" w:cs="Times New Roman"/>
          <w:b/>
          <w:bCs/>
          <w:sz w:val="32"/>
          <w:szCs w:val="32"/>
          <w:lang w:val="en-US" w:eastAsia="zh-CN" w:bidi="ar-SA"/>
        </w:rPr>
        <w:fldChar w:fldCharType="separate"/>
      </w:r>
      <w:r>
        <w:rPr>
          <w:rFonts w:ascii="Times New Roman" w:hAnsi="Times New Roman" w:eastAsia="宋体" w:cs="Times New Roman"/>
          <w:bCs/>
          <w:szCs w:val="32"/>
          <w:lang w:val="en-US" w:eastAsia="zh-CN" w:bidi="ar-SA"/>
        </w:rPr>
        <w:fldChar w:fldCharType="begin"/>
      </w:r>
      <w:r>
        <w:rPr>
          <w:rFonts w:ascii="Times New Roman" w:hAnsi="Times New Roman" w:eastAsia="宋体" w:cs="Times New Roman"/>
          <w:bCs/>
          <w:szCs w:val="32"/>
          <w:lang w:val="en-US" w:eastAsia="zh-CN" w:bidi="ar-SA"/>
        </w:rPr>
        <w:instrText xml:space="preserve"> HYPERLINK \l _Toc30225 </w:instrText>
      </w:r>
      <w:r>
        <w:rPr>
          <w:rFonts w:ascii="Times New Roman" w:hAnsi="Times New Roman" w:eastAsia="宋体" w:cs="Times New Roman"/>
          <w:bCs/>
          <w:szCs w:val="32"/>
          <w:lang w:val="en-US" w:eastAsia="zh-CN" w:bidi="ar-SA"/>
        </w:rPr>
        <w:fldChar w:fldCharType="separate"/>
      </w:r>
      <w:r>
        <w:rPr>
          <w:rFonts w:hint="eastAsia" w:ascii="Times New Roman" w:hAnsi="Times New Roman" w:eastAsia="宋体" w:cs="Times New Roman"/>
          <w:bCs/>
          <w:kern w:val="44"/>
          <w:szCs w:val="44"/>
          <w:lang w:val="en-US" w:eastAsia="zh-CN" w:bidi="ar-SA"/>
        </w:rPr>
        <w:t xml:space="preserve">1 前 </w:t>
      </w:r>
      <w:r>
        <w:rPr>
          <w:rFonts w:ascii="Times New Roman" w:hAnsi="Times New Roman" w:eastAsia="宋体" w:cs="Times New Roman"/>
          <w:bCs/>
          <w:kern w:val="44"/>
          <w:szCs w:val="44"/>
          <w:lang w:val="en-US" w:eastAsia="zh-CN" w:bidi="ar-SA"/>
        </w:rPr>
        <w:t xml:space="preserve"> </w:t>
      </w:r>
      <w:r>
        <w:rPr>
          <w:rFonts w:hint="eastAsia" w:ascii="Times New Roman" w:hAnsi="Times New Roman" w:eastAsia="宋体" w:cs="Times New Roman"/>
          <w:bCs/>
          <w:kern w:val="44"/>
          <w:szCs w:val="44"/>
          <w:lang w:val="en-US" w:eastAsia="zh-CN" w:bidi="ar-SA"/>
        </w:rPr>
        <w:t>言</w:t>
      </w:r>
      <w:r>
        <w:tab/>
      </w:r>
      <w:r>
        <w:fldChar w:fldCharType="begin"/>
      </w:r>
      <w:r>
        <w:instrText xml:space="preserve"> PAGEREF _Toc30225 \h </w:instrText>
      </w:r>
      <w:r>
        <w:fldChar w:fldCharType="separate"/>
      </w:r>
      <w:r>
        <w:t>3</w:t>
      </w:r>
      <w:r>
        <w:fldChar w:fldCharType="end"/>
      </w:r>
      <w:r>
        <w:rPr>
          <w:rFonts w:ascii="Times New Roman" w:hAnsi="Times New Roman" w:eastAsia="宋体" w:cs="Times New Roman"/>
          <w:bCs/>
          <w:szCs w:val="32"/>
          <w:lang w:val="en-US" w:eastAsia="zh-CN" w:bidi="ar-SA"/>
        </w:rPr>
        <w:fldChar w:fldCharType="end"/>
      </w:r>
    </w:p>
    <w:p>
      <w:pPr>
        <w:pStyle w:val="9"/>
        <w:tabs>
          <w:tab w:val="right" w:leader="dot" w:pos="8028"/>
        </w:tabs>
      </w:pPr>
      <w:r>
        <w:rPr>
          <w:rFonts w:cs="Times New Roman"/>
          <w:bCs/>
          <w:kern w:val="0"/>
          <w:szCs w:val="32"/>
        </w:rPr>
        <w:fldChar w:fldCharType="begin"/>
      </w:r>
      <w:r>
        <w:rPr>
          <w:rFonts w:cs="Times New Roman"/>
          <w:bCs/>
          <w:kern w:val="0"/>
          <w:szCs w:val="32"/>
        </w:rPr>
        <w:instrText xml:space="preserve"> HYPERLINK \l _Toc25003 </w:instrText>
      </w:r>
      <w:r>
        <w:rPr>
          <w:rFonts w:cs="Times New Roman"/>
          <w:bCs/>
          <w:kern w:val="0"/>
          <w:szCs w:val="32"/>
        </w:rPr>
        <w:fldChar w:fldCharType="separate"/>
      </w:r>
      <w:r>
        <w:rPr>
          <w:rFonts w:hint="eastAsia" w:ascii="Times New Roman" w:hAnsi="Times New Roman" w:eastAsia="宋体" w:cs="Times New Roman"/>
          <w:bCs/>
          <w:kern w:val="44"/>
          <w:szCs w:val="44"/>
          <w:lang w:val="en-US" w:eastAsia="zh-CN" w:bidi="ar-SA"/>
        </w:rPr>
        <w:t xml:space="preserve">2 概 </w:t>
      </w:r>
      <w:r>
        <w:rPr>
          <w:rFonts w:ascii="Times New Roman" w:hAnsi="Times New Roman" w:eastAsia="宋体" w:cs="Times New Roman"/>
          <w:bCs/>
          <w:kern w:val="44"/>
          <w:szCs w:val="44"/>
          <w:lang w:val="en-US" w:eastAsia="zh-CN" w:bidi="ar-SA"/>
        </w:rPr>
        <w:t xml:space="preserve"> </w:t>
      </w:r>
      <w:r>
        <w:rPr>
          <w:rFonts w:hint="eastAsia" w:ascii="Times New Roman" w:hAnsi="Times New Roman" w:eastAsia="宋体" w:cs="Times New Roman"/>
          <w:bCs/>
          <w:kern w:val="44"/>
          <w:szCs w:val="44"/>
          <w:lang w:val="en-US" w:eastAsia="zh-CN" w:bidi="ar-SA"/>
        </w:rPr>
        <w:t>述</w:t>
      </w:r>
      <w:r>
        <w:tab/>
      </w:r>
      <w:r>
        <w:fldChar w:fldCharType="begin"/>
      </w:r>
      <w:r>
        <w:instrText xml:space="preserve"> PAGEREF _Toc25003 \h </w:instrText>
      </w:r>
      <w:r>
        <w:fldChar w:fldCharType="separate"/>
      </w:r>
      <w:r>
        <w:t>5</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_Toc31831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2.1 调查的目的和原则</w:t>
      </w:r>
      <w:r>
        <w:tab/>
      </w:r>
      <w:r>
        <w:fldChar w:fldCharType="begin"/>
      </w:r>
      <w:r>
        <w:instrText xml:space="preserve"> PAGEREF _Toc31831 \h </w:instrText>
      </w:r>
      <w:r>
        <w:fldChar w:fldCharType="separate"/>
      </w:r>
      <w:r>
        <w:t>5</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_Toc1622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2.2 调查范围</w:t>
      </w:r>
      <w:r>
        <w:tab/>
      </w:r>
      <w:r>
        <w:fldChar w:fldCharType="begin"/>
      </w:r>
      <w:r>
        <w:instrText xml:space="preserve"> PAGEREF _Toc1622 \h </w:instrText>
      </w:r>
      <w:r>
        <w:fldChar w:fldCharType="separate"/>
      </w:r>
      <w:r>
        <w:t>5</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_Toc17154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2.3 调查依据</w:t>
      </w:r>
      <w:r>
        <w:tab/>
      </w:r>
      <w:r>
        <w:fldChar w:fldCharType="begin"/>
      </w:r>
      <w:r>
        <w:instrText xml:space="preserve"> PAGEREF _Toc17154 \h </w:instrText>
      </w:r>
      <w:r>
        <w:fldChar w:fldCharType="separate"/>
      </w:r>
      <w:r>
        <w:t>6</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_Toc755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2.4 调查方法</w:t>
      </w:r>
      <w:r>
        <w:tab/>
      </w:r>
      <w:r>
        <w:fldChar w:fldCharType="begin"/>
      </w:r>
      <w:r>
        <w:instrText xml:space="preserve"> PAGEREF _Toc755 \h </w:instrText>
      </w:r>
      <w:r>
        <w:fldChar w:fldCharType="separate"/>
      </w:r>
      <w:r>
        <w:t>7</w:t>
      </w:r>
      <w:r>
        <w:fldChar w:fldCharType="end"/>
      </w:r>
      <w:r>
        <w:rPr>
          <w:rFonts w:cs="Times New Roman"/>
          <w:bCs/>
          <w:kern w:val="0"/>
          <w:szCs w:val="32"/>
        </w:rPr>
        <w:fldChar w:fldCharType="end"/>
      </w:r>
    </w:p>
    <w:p>
      <w:pPr>
        <w:pStyle w:val="9"/>
        <w:tabs>
          <w:tab w:val="right" w:leader="dot" w:pos="8028"/>
        </w:tabs>
      </w:pPr>
      <w:r>
        <w:rPr>
          <w:rFonts w:cs="Times New Roman"/>
          <w:bCs/>
          <w:kern w:val="0"/>
          <w:szCs w:val="32"/>
        </w:rPr>
        <w:fldChar w:fldCharType="begin"/>
      </w:r>
      <w:r>
        <w:rPr>
          <w:rFonts w:cs="Times New Roman"/>
          <w:bCs/>
          <w:kern w:val="0"/>
          <w:szCs w:val="32"/>
        </w:rPr>
        <w:instrText xml:space="preserve"> HYPERLINK \l _Toc3953 </w:instrText>
      </w:r>
      <w:r>
        <w:rPr>
          <w:rFonts w:cs="Times New Roman"/>
          <w:bCs/>
          <w:kern w:val="0"/>
          <w:szCs w:val="32"/>
        </w:rPr>
        <w:fldChar w:fldCharType="separate"/>
      </w:r>
      <w:r>
        <w:rPr>
          <w:rFonts w:hint="eastAsia" w:ascii="Times New Roman" w:hAnsi="Times New Roman" w:eastAsia="宋体" w:cs="Times New Roman"/>
          <w:bCs/>
          <w:kern w:val="44"/>
          <w:szCs w:val="44"/>
          <w:lang w:val="en-US" w:eastAsia="zh-CN" w:bidi="ar-SA"/>
        </w:rPr>
        <w:t>3 地块概况</w:t>
      </w:r>
      <w:r>
        <w:tab/>
      </w:r>
      <w:r>
        <w:fldChar w:fldCharType="begin"/>
      </w:r>
      <w:r>
        <w:instrText xml:space="preserve"> PAGEREF _Toc3953 \h </w:instrText>
      </w:r>
      <w:r>
        <w:fldChar w:fldCharType="separate"/>
      </w:r>
      <w:r>
        <w:t>10</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_Toc14971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3.1 区域环境概况</w:t>
      </w:r>
      <w:r>
        <w:tab/>
      </w:r>
      <w:r>
        <w:fldChar w:fldCharType="begin"/>
      </w:r>
      <w:r>
        <w:instrText xml:space="preserve"> PAGEREF _Toc14971 \h </w:instrText>
      </w:r>
      <w:r>
        <w:fldChar w:fldCharType="separate"/>
      </w:r>
      <w:r>
        <w:t>10</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_Toc14068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3.</w:t>
      </w:r>
      <w:r>
        <w:rPr>
          <w:rFonts w:hint="eastAsia" w:cs="Times New Roman"/>
          <w:bCs/>
          <w:szCs w:val="32"/>
          <w:lang w:val="en-US" w:eastAsia="zh-CN" w:bidi="ar-SA"/>
        </w:rPr>
        <w:t>2</w:t>
      </w:r>
      <w:r>
        <w:rPr>
          <w:rFonts w:hint="eastAsia" w:ascii="Times New Roman" w:hAnsi="Times New Roman" w:eastAsia="宋体" w:cs="Times New Roman"/>
          <w:bCs/>
          <w:szCs w:val="32"/>
          <w:lang w:val="en-US" w:eastAsia="zh-CN" w:bidi="ar-SA"/>
        </w:rPr>
        <w:t xml:space="preserve"> 敏感目标</w:t>
      </w:r>
      <w:r>
        <w:tab/>
      </w:r>
      <w:r>
        <w:fldChar w:fldCharType="begin"/>
      </w:r>
      <w:r>
        <w:instrText xml:space="preserve"> PAGEREF _Toc14068 \h </w:instrText>
      </w:r>
      <w:r>
        <w:fldChar w:fldCharType="separate"/>
      </w:r>
      <w:r>
        <w:t>14</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_Toc25144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3.</w:t>
      </w:r>
      <w:r>
        <w:rPr>
          <w:rFonts w:hint="eastAsia" w:cs="Times New Roman"/>
          <w:bCs/>
          <w:szCs w:val="32"/>
          <w:lang w:val="en-US" w:eastAsia="zh-CN" w:bidi="ar-SA"/>
        </w:rPr>
        <w:t>3</w:t>
      </w:r>
      <w:r>
        <w:rPr>
          <w:rFonts w:hint="eastAsia" w:ascii="Times New Roman" w:hAnsi="Times New Roman" w:eastAsia="宋体" w:cs="Times New Roman"/>
          <w:bCs/>
          <w:szCs w:val="32"/>
          <w:lang w:val="en-US" w:eastAsia="zh-CN" w:bidi="ar-SA"/>
        </w:rPr>
        <w:t xml:space="preserve"> 地块的现状和历史</w:t>
      </w:r>
      <w:r>
        <w:tab/>
      </w:r>
      <w:r>
        <w:fldChar w:fldCharType="begin"/>
      </w:r>
      <w:r>
        <w:instrText xml:space="preserve"> PAGEREF _Toc25144 \h </w:instrText>
      </w:r>
      <w:r>
        <w:fldChar w:fldCharType="separate"/>
      </w:r>
      <w:r>
        <w:t>15</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_Toc31742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3.</w:t>
      </w:r>
      <w:r>
        <w:rPr>
          <w:rFonts w:hint="eastAsia" w:cs="Times New Roman"/>
          <w:bCs/>
          <w:szCs w:val="32"/>
          <w:lang w:val="en-US" w:eastAsia="zh-CN" w:bidi="ar-SA"/>
        </w:rPr>
        <w:t>4</w:t>
      </w:r>
      <w:r>
        <w:rPr>
          <w:rFonts w:hint="eastAsia" w:ascii="Times New Roman" w:hAnsi="Times New Roman" w:eastAsia="宋体" w:cs="Times New Roman"/>
          <w:bCs/>
          <w:szCs w:val="32"/>
          <w:lang w:val="en-US" w:eastAsia="zh-CN" w:bidi="ar-SA"/>
        </w:rPr>
        <w:t xml:space="preserve"> 相邻地块的现状和历史</w:t>
      </w:r>
      <w:r>
        <w:tab/>
      </w:r>
      <w:r>
        <w:fldChar w:fldCharType="begin"/>
      </w:r>
      <w:r>
        <w:instrText xml:space="preserve"> PAGEREF _Toc31742 \h </w:instrText>
      </w:r>
      <w:r>
        <w:fldChar w:fldCharType="separate"/>
      </w:r>
      <w:r>
        <w:t>20</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_Toc16046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3</w:t>
      </w:r>
      <w:r>
        <w:rPr>
          <w:rFonts w:hint="eastAsia" w:cs="Times New Roman"/>
          <w:bCs/>
          <w:szCs w:val="32"/>
          <w:lang w:val="en-US" w:eastAsia="zh-CN" w:bidi="ar-SA"/>
        </w:rPr>
        <w:t>5</w:t>
      </w:r>
      <w:r>
        <w:rPr>
          <w:rFonts w:hint="eastAsia" w:ascii="Times New Roman" w:hAnsi="Times New Roman" w:eastAsia="宋体" w:cs="Times New Roman"/>
          <w:bCs/>
          <w:szCs w:val="32"/>
          <w:lang w:val="en-US" w:eastAsia="zh-CN" w:bidi="ar-SA"/>
        </w:rPr>
        <w:t xml:space="preserve"> 地块利用的规划</w:t>
      </w:r>
      <w:r>
        <w:tab/>
      </w:r>
      <w:r>
        <w:fldChar w:fldCharType="begin"/>
      </w:r>
      <w:r>
        <w:instrText xml:space="preserve"> PAGEREF _Toc16046 \h </w:instrText>
      </w:r>
      <w:r>
        <w:fldChar w:fldCharType="separate"/>
      </w:r>
      <w:r>
        <w:t>27</w:t>
      </w:r>
      <w:r>
        <w:fldChar w:fldCharType="end"/>
      </w:r>
      <w:r>
        <w:rPr>
          <w:rFonts w:cs="Times New Roman"/>
          <w:bCs/>
          <w:kern w:val="0"/>
          <w:szCs w:val="32"/>
        </w:rPr>
        <w:fldChar w:fldCharType="end"/>
      </w:r>
    </w:p>
    <w:p>
      <w:pPr>
        <w:pStyle w:val="9"/>
        <w:tabs>
          <w:tab w:val="right" w:leader="dot" w:pos="8028"/>
        </w:tabs>
      </w:pPr>
      <w:r>
        <w:rPr>
          <w:rFonts w:cs="Times New Roman"/>
          <w:bCs/>
          <w:kern w:val="0"/>
          <w:szCs w:val="32"/>
        </w:rPr>
        <w:fldChar w:fldCharType="begin"/>
      </w:r>
      <w:r>
        <w:rPr>
          <w:rFonts w:cs="Times New Roman"/>
          <w:bCs/>
          <w:kern w:val="0"/>
          <w:szCs w:val="32"/>
        </w:rPr>
        <w:instrText xml:space="preserve"> HYPERLINK \l _Toc14020 </w:instrText>
      </w:r>
      <w:r>
        <w:rPr>
          <w:rFonts w:cs="Times New Roman"/>
          <w:bCs/>
          <w:kern w:val="0"/>
          <w:szCs w:val="32"/>
        </w:rPr>
        <w:fldChar w:fldCharType="separate"/>
      </w:r>
      <w:r>
        <w:rPr>
          <w:rFonts w:hint="eastAsia" w:ascii="Times New Roman" w:hAnsi="Times New Roman" w:eastAsia="宋体" w:cs="Times New Roman"/>
          <w:bCs/>
          <w:kern w:val="44"/>
          <w:szCs w:val="44"/>
          <w:lang w:val="en-US" w:eastAsia="zh-CN" w:bidi="ar-SA"/>
        </w:rPr>
        <w:t>4 资料分析</w:t>
      </w:r>
      <w:r>
        <w:tab/>
      </w:r>
      <w:r>
        <w:fldChar w:fldCharType="begin"/>
      </w:r>
      <w:r>
        <w:instrText xml:space="preserve"> PAGEREF _Toc14020 \h </w:instrText>
      </w:r>
      <w:r>
        <w:fldChar w:fldCharType="separate"/>
      </w:r>
      <w:r>
        <w:t>29</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_Toc13679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4.1 政府和权威机构资料收集和分析</w:t>
      </w:r>
      <w:r>
        <w:tab/>
      </w:r>
      <w:r>
        <w:fldChar w:fldCharType="begin"/>
      </w:r>
      <w:r>
        <w:instrText xml:space="preserve"> PAGEREF _Toc13679 \h </w:instrText>
      </w:r>
      <w:r>
        <w:fldChar w:fldCharType="separate"/>
      </w:r>
      <w:r>
        <w:t>30</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_Toc8795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4.2 地块资料收集和分析</w:t>
      </w:r>
      <w:r>
        <w:tab/>
      </w:r>
      <w:r>
        <w:fldChar w:fldCharType="begin"/>
      </w:r>
      <w:r>
        <w:instrText xml:space="preserve"> PAGEREF _Toc8795 \h </w:instrText>
      </w:r>
      <w:r>
        <w:fldChar w:fldCharType="separate"/>
      </w:r>
      <w:r>
        <w:t>30</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_Toc1984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4.3 其他资料收集和分析</w:t>
      </w:r>
      <w:r>
        <w:tab/>
      </w:r>
      <w:r>
        <w:fldChar w:fldCharType="begin"/>
      </w:r>
      <w:r>
        <w:instrText xml:space="preserve"> PAGEREF _Toc1984 \h </w:instrText>
      </w:r>
      <w:r>
        <w:fldChar w:fldCharType="separate"/>
      </w:r>
      <w:r>
        <w:t>31</w:t>
      </w:r>
      <w:r>
        <w:fldChar w:fldCharType="end"/>
      </w:r>
      <w:r>
        <w:rPr>
          <w:rFonts w:cs="Times New Roman"/>
          <w:bCs/>
          <w:kern w:val="0"/>
          <w:szCs w:val="32"/>
        </w:rPr>
        <w:fldChar w:fldCharType="end"/>
      </w:r>
    </w:p>
    <w:p>
      <w:pPr>
        <w:pStyle w:val="9"/>
        <w:tabs>
          <w:tab w:val="right" w:leader="dot" w:pos="8028"/>
        </w:tabs>
      </w:pPr>
      <w:r>
        <w:rPr>
          <w:rFonts w:cs="Times New Roman"/>
          <w:bCs/>
          <w:kern w:val="0"/>
          <w:szCs w:val="32"/>
        </w:rPr>
        <w:fldChar w:fldCharType="begin"/>
      </w:r>
      <w:r>
        <w:rPr>
          <w:rFonts w:cs="Times New Roman"/>
          <w:bCs/>
          <w:kern w:val="0"/>
          <w:szCs w:val="32"/>
        </w:rPr>
        <w:instrText xml:space="preserve"> HYPERLINK \l _Toc24134 </w:instrText>
      </w:r>
      <w:r>
        <w:rPr>
          <w:rFonts w:cs="Times New Roman"/>
          <w:bCs/>
          <w:kern w:val="0"/>
          <w:szCs w:val="32"/>
        </w:rPr>
        <w:fldChar w:fldCharType="separate"/>
      </w:r>
      <w:r>
        <w:rPr>
          <w:rFonts w:hint="eastAsia" w:ascii="Times New Roman" w:hAnsi="Times New Roman" w:eastAsia="宋体" w:cs="Times New Roman"/>
          <w:bCs/>
          <w:kern w:val="44"/>
          <w:szCs w:val="44"/>
          <w:lang w:val="en-US" w:eastAsia="zh-CN" w:bidi="ar-SA"/>
        </w:rPr>
        <w:t>5 现场踏勘和人员访谈</w:t>
      </w:r>
      <w:r>
        <w:tab/>
      </w:r>
      <w:r>
        <w:fldChar w:fldCharType="begin"/>
      </w:r>
      <w:r>
        <w:instrText xml:space="preserve"> PAGEREF _Toc24134 \h </w:instrText>
      </w:r>
      <w:r>
        <w:fldChar w:fldCharType="separate"/>
      </w:r>
      <w:r>
        <w:t>32</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_Toc25862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5.1 现场踏勘</w:t>
      </w:r>
      <w:r>
        <w:tab/>
      </w:r>
      <w:r>
        <w:fldChar w:fldCharType="begin"/>
      </w:r>
      <w:r>
        <w:instrText xml:space="preserve"> PAGEREF _Toc25862 \h </w:instrText>
      </w:r>
      <w:r>
        <w:fldChar w:fldCharType="separate"/>
      </w:r>
      <w:r>
        <w:t>32</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_Toc5761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5.2 人员访谈</w:t>
      </w:r>
      <w:r>
        <w:tab/>
      </w:r>
      <w:r>
        <w:fldChar w:fldCharType="begin"/>
      </w:r>
      <w:r>
        <w:instrText xml:space="preserve"> PAGEREF _Toc5761 \h </w:instrText>
      </w:r>
      <w:r>
        <w:fldChar w:fldCharType="separate"/>
      </w:r>
      <w:r>
        <w:t>32</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_Toc17102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5.3 有毒有害物质的存储、使用和处置情况分析</w:t>
      </w:r>
      <w:r>
        <w:tab/>
      </w:r>
      <w:r>
        <w:fldChar w:fldCharType="begin"/>
      </w:r>
      <w:r>
        <w:instrText xml:space="preserve"> PAGEREF _Toc17102 \h </w:instrText>
      </w:r>
      <w:r>
        <w:fldChar w:fldCharType="separate"/>
      </w:r>
      <w:r>
        <w:t>34</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_Toc1504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5.4 各类槽罐内的物质和泄漏评价</w:t>
      </w:r>
      <w:r>
        <w:tab/>
      </w:r>
      <w:r>
        <w:fldChar w:fldCharType="begin"/>
      </w:r>
      <w:r>
        <w:instrText xml:space="preserve"> PAGEREF _Toc1504 \h </w:instrText>
      </w:r>
      <w:r>
        <w:fldChar w:fldCharType="separate"/>
      </w:r>
      <w:r>
        <w:t>34</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_Toc1580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5.5 固体废物和危险废物的处理评价</w:t>
      </w:r>
      <w:r>
        <w:tab/>
      </w:r>
      <w:r>
        <w:fldChar w:fldCharType="begin"/>
      </w:r>
      <w:r>
        <w:instrText xml:space="preserve"> PAGEREF _Toc1580 \h </w:instrText>
      </w:r>
      <w:r>
        <w:fldChar w:fldCharType="separate"/>
      </w:r>
      <w:r>
        <w:t>34</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_Toc1134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5.6 管线、沟渠泄漏评价</w:t>
      </w:r>
      <w:r>
        <w:tab/>
      </w:r>
      <w:r>
        <w:fldChar w:fldCharType="begin"/>
      </w:r>
      <w:r>
        <w:instrText xml:space="preserve"> PAGEREF _Toc1134 \h </w:instrText>
      </w:r>
      <w:r>
        <w:fldChar w:fldCharType="separate"/>
      </w:r>
      <w:r>
        <w:t>34</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_Toc14629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5.7 与污染物迁移相关的环境因素分析</w:t>
      </w:r>
      <w:r>
        <w:tab/>
      </w:r>
      <w:r>
        <w:fldChar w:fldCharType="begin"/>
      </w:r>
      <w:r>
        <w:instrText xml:space="preserve"> PAGEREF _Toc14629 \h </w:instrText>
      </w:r>
      <w:r>
        <w:fldChar w:fldCharType="separate"/>
      </w:r>
      <w:r>
        <w:t>35</w:t>
      </w:r>
      <w:r>
        <w:fldChar w:fldCharType="end"/>
      </w:r>
      <w:r>
        <w:rPr>
          <w:rFonts w:cs="Times New Roman"/>
          <w:bCs/>
          <w:kern w:val="0"/>
          <w:szCs w:val="32"/>
        </w:rPr>
        <w:fldChar w:fldCharType="end"/>
      </w:r>
    </w:p>
    <w:p>
      <w:pPr>
        <w:pStyle w:val="9"/>
        <w:tabs>
          <w:tab w:val="right" w:leader="dot" w:pos="8028"/>
        </w:tabs>
      </w:pPr>
      <w:r>
        <w:rPr>
          <w:rFonts w:cs="Times New Roman"/>
          <w:bCs/>
          <w:kern w:val="0"/>
          <w:szCs w:val="32"/>
        </w:rPr>
        <w:fldChar w:fldCharType="begin"/>
      </w:r>
      <w:r>
        <w:rPr>
          <w:rFonts w:cs="Times New Roman"/>
          <w:bCs/>
          <w:kern w:val="0"/>
          <w:szCs w:val="32"/>
        </w:rPr>
        <w:instrText xml:space="preserve"> HYPERLINK \l _Toc17850 </w:instrText>
      </w:r>
      <w:r>
        <w:rPr>
          <w:rFonts w:cs="Times New Roman"/>
          <w:bCs/>
          <w:kern w:val="0"/>
          <w:szCs w:val="32"/>
        </w:rPr>
        <w:fldChar w:fldCharType="separate"/>
      </w:r>
      <w:r>
        <w:rPr>
          <w:rFonts w:hint="eastAsia" w:ascii="Times New Roman" w:hAnsi="Times New Roman" w:eastAsia="宋体" w:cs="Times New Roman"/>
          <w:bCs/>
          <w:kern w:val="44"/>
          <w:szCs w:val="44"/>
          <w:lang w:val="en-US" w:eastAsia="zh-CN" w:bidi="ar-SA"/>
        </w:rPr>
        <w:t>6 结果和分析</w:t>
      </w:r>
      <w:r>
        <w:tab/>
      </w:r>
      <w:r>
        <w:fldChar w:fldCharType="begin"/>
      </w:r>
      <w:r>
        <w:instrText xml:space="preserve"> PAGEREF _Toc17850 \h </w:instrText>
      </w:r>
      <w:r>
        <w:fldChar w:fldCharType="separate"/>
      </w:r>
      <w:r>
        <w:t>36</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_Toc13373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6.1 调查结果</w:t>
      </w:r>
      <w:r>
        <w:tab/>
      </w:r>
      <w:r>
        <w:fldChar w:fldCharType="begin"/>
      </w:r>
      <w:r>
        <w:instrText xml:space="preserve"> PAGEREF _Toc13373 \h </w:instrText>
      </w:r>
      <w:r>
        <w:fldChar w:fldCharType="separate"/>
      </w:r>
      <w:r>
        <w:t>36</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_Toc11935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6.2 结果分析</w:t>
      </w:r>
      <w:r>
        <w:tab/>
      </w:r>
      <w:r>
        <w:fldChar w:fldCharType="begin"/>
      </w:r>
      <w:r>
        <w:instrText xml:space="preserve"> PAGEREF _Toc11935 \h </w:instrText>
      </w:r>
      <w:r>
        <w:fldChar w:fldCharType="separate"/>
      </w:r>
      <w:r>
        <w:t>36</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_Toc9634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6.3 不确定性分析</w:t>
      </w:r>
      <w:r>
        <w:tab/>
      </w:r>
      <w:r>
        <w:fldChar w:fldCharType="begin"/>
      </w:r>
      <w:r>
        <w:instrText xml:space="preserve"> PAGEREF _Toc9634 \h </w:instrText>
      </w:r>
      <w:r>
        <w:fldChar w:fldCharType="separate"/>
      </w:r>
      <w:r>
        <w:t>37</w:t>
      </w:r>
      <w:r>
        <w:fldChar w:fldCharType="end"/>
      </w:r>
      <w:r>
        <w:rPr>
          <w:rFonts w:cs="Times New Roman"/>
          <w:bCs/>
          <w:kern w:val="0"/>
          <w:szCs w:val="32"/>
        </w:rPr>
        <w:fldChar w:fldCharType="end"/>
      </w:r>
    </w:p>
    <w:p>
      <w:pPr>
        <w:pStyle w:val="9"/>
        <w:tabs>
          <w:tab w:val="right" w:leader="dot" w:pos="8028"/>
        </w:tabs>
      </w:pPr>
      <w:r>
        <w:rPr>
          <w:rFonts w:cs="Times New Roman"/>
          <w:bCs/>
          <w:kern w:val="0"/>
          <w:szCs w:val="32"/>
        </w:rPr>
        <w:fldChar w:fldCharType="begin"/>
      </w:r>
      <w:r>
        <w:rPr>
          <w:rFonts w:cs="Times New Roman"/>
          <w:bCs/>
          <w:kern w:val="0"/>
          <w:szCs w:val="32"/>
        </w:rPr>
        <w:instrText xml:space="preserve"> HYPERLINK \l _Toc9810 </w:instrText>
      </w:r>
      <w:r>
        <w:rPr>
          <w:rFonts w:cs="Times New Roman"/>
          <w:bCs/>
          <w:kern w:val="0"/>
          <w:szCs w:val="32"/>
        </w:rPr>
        <w:fldChar w:fldCharType="separate"/>
      </w:r>
      <w:r>
        <w:rPr>
          <w:rFonts w:hint="eastAsia" w:ascii="Times New Roman" w:hAnsi="Times New Roman" w:eastAsia="宋体" w:cs="Times New Roman"/>
          <w:bCs/>
          <w:kern w:val="44"/>
          <w:szCs w:val="44"/>
          <w:lang w:val="en-US" w:eastAsia="zh-CN" w:bidi="ar-SA"/>
        </w:rPr>
        <w:t>7 结论和建议</w:t>
      </w:r>
      <w:r>
        <w:tab/>
      </w:r>
      <w:r>
        <w:fldChar w:fldCharType="begin"/>
      </w:r>
      <w:r>
        <w:instrText xml:space="preserve"> PAGEREF _Toc9810 \h </w:instrText>
      </w:r>
      <w:r>
        <w:fldChar w:fldCharType="separate"/>
      </w:r>
      <w:r>
        <w:t>38</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_Toc27277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7.1 结论</w:t>
      </w:r>
      <w:r>
        <w:tab/>
      </w:r>
      <w:r>
        <w:fldChar w:fldCharType="begin"/>
      </w:r>
      <w:r>
        <w:instrText xml:space="preserve"> PAGEREF _Toc27277 \h </w:instrText>
      </w:r>
      <w:r>
        <w:fldChar w:fldCharType="separate"/>
      </w:r>
      <w:r>
        <w:t>38</w:t>
      </w:r>
      <w:r>
        <w:fldChar w:fldCharType="end"/>
      </w:r>
      <w:r>
        <w:rPr>
          <w:rFonts w:cs="Times New Roman"/>
          <w:bCs/>
          <w:kern w:val="0"/>
          <w:szCs w:val="32"/>
        </w:rPr>
        <w:fldChar w:fldCharType="end"/>
      </w:r>
    </w:p>
    <w:p>
      <w:pPr>
        <w:pStyle w:val="10"/>
        <w:tabs>
          <w:tab w:val="right" w:leader="dot" w:pos="8028"/>
        </w:tabs>
      </w:pPr>
      <w:r>
        <w:rPr>
          <w:rFonts w:cs="Times New Roman"/>
          <w:bCs/>
          <w:kern w:val="0"/>
          <w:szCs w:val="32"/>
        </w:rPr>
        <w:fldChar w:fldCharType="begin"/>
      </w:r>
      <w:r>
        <w:rPr>
          <w:rFonts w:cs="Times New Roman"/>
          <w:bCs/>
          <w:kern w:val="0"/>
          <w:szCs w:val="32"/>
        </w:rPr>
        <w:instrText xml:space="preserve"> HYPERLINK \l _Toc9387 </w:instrText>
      </w:r>
      <w:r>
        <w:rPr>
          <w:rFonts w:cs="Times New Roman"/>
          <w:bCs/>
          <w:kern w:val="0"/>
          <w:szCs w:val="32"/>
        </w:rPr>
        <w:fldChar w:fldCharType="separate"/>
      </w:r>
      <w:r>
        <w:rPr>
          <w:rFonts w:hint="eastAsia" w:ascii="Times New Roman" w:hAnsi="Times New Roman" w:eastAsia="宋体" w:cs="Times New Roman"/>
          <w:bCs/>
          <w:szCs w:val="32"/>
          <w:lang w:val="en-US" w:eastAsia="zh-CN" w:bidi="ar-SA"/>
        </w:rPr>
        <w:t>7.2 建议</w:t>
      </w:r>
      <w:r>
        <w:tab/>
      </w:r>
      <w:r>
        <w:fldChar w:fldCharType="begin"/>
      </w:r>
      <w:r>
        <w:instrText xml:space="preserve"> PAGEREF _Toc9387 \h </w:instrText>
      </w:r>
      <w:r>
        <w:fldChar w:fldCharType="separate"/>
      </w:r>
      <w:r>
        <w:t>39</w:t>
      </w:r>
      <w:r>
        <w:fldChar w:fldCharType="end"/>
      </w:r>
      <w:r>
        <w:rPr>
          <w:rFonts w:cs="Times New Roman"/>
          <w:bCs/>
          <w:kern w:val="0"/>
          <w:szCs w:val="32"/>
        </w:rPr>
        <w:fldChar w:fldCharType="end"/>
      </w:r>
    </w:p>
    <w:p>
      <w:pPr>
        <w:widowControl/>
        <w:adjustRightInd w:val="0"/>
        <w:snapToGrid w:val="0"/>
        <w:spacing w:line="360" w:lineRule="auto"/>
        <w:rPr>
          <w:rFonts w:cs="Times New Roman"/>
          <w:bCs/>
          <w:kern w:val="0"/>
          <w:sz w:val="32"/>
          <w:szCs w:val="32"/>
        </w:rPr>
      </w:pPr>
      <w:r>
        <w:rPr>
          <w:rFonts w:cs="Times New Roman"/>
          <w:bCs/>
          <w:kern w:val="0"/>
          <w:szCs w:val="32"/>
        </w:rPr>
        <w:fldChar w:fldCharType="end"/>
      </w:r>
    </w:p>
    <w:p>
      <w:pPr>
        <w:widowControl/>
        <w:adjustRightInd w:val="0"/>
        <w:snapToGrid w:val="0"/>
        <w:spacing w:line="360" w:lineRule="auto"/>
        <w:rPr>
          <w:rFonts w:cs="Times New Roman"/>
          <w:b/>
          <w:kern w:val="0"/>
          <w:sz w:val="28"/>
          <w:szCs w:val="28"/>
        </w:rPr>
      </w:pPr>
      <w:r>
        <w:rPr>
          <w:rFonts w:hint="eastAsia" w:cs="Times New Roman"/>
          <w:b/>
          <w:kern w:val="0"/>
          <w:sz w:val="28"/>
          <w:szCs w:val="28"/>
        </w:rPr>
        <w:t>附图</w:t>
      </w:r>
    </w:p>
    <w:p>
      <w:pPr>
        <w:widowControl/>
        <w:adjustRightInd w:val="0"/>
        <w:snapToGrid w:val="0"/>
        <w:spacing w:line="360" w:lineRule="auto"/>
        <w:ind w:firstLine="560" w:firstLineChars="200"/>
        <w:rPr>
          <w:rFonts w:hint="eastAsia" w:cs="Times New Roman"/>
          <w:kern w:val="0"/>
          <w:sz w:val="28"/>
          <w:szCs w:val="28"/>
        </w:rPr>
      </w:pPr>
      <w:r>
        <w:rPr>
          <w:rFonts w:hint="eastAsia" w:cs="Times New Roman"/>
          <w:kern w:val="0"/>
          <w:sz w:val="28"/>
          <w:szCs w:val="28"/>
        </w:rPr>
        <w:t>附图1：高新区生物产业园峡州大道与合益路交会处东侧地块（3号地块）红线图</w:t>
      </w:r>
    </w:p>
    <w:p>
      <w:pPr>
        <w:widowControl/>
        <w:adjustRightInd w:val="0"/>
        <w:snapToGrid w:val="0"/>
        <w:spacing w:line="360" w:lineRule="auto"/>
        <w:ind w:firstLine="560" w:firstLineChars="200"/>
        <w:rPr>
          <w:rFonts w:hint="eastAsia" w:cs="Times New Roman"/>
          <w:kern w:val="0"/>
          <w:sz w:val="28"/>
          <w:szCs w:val="28"/>
        </w:rPr>
      </w:pPr>
      <w:r>
        <w:rPr>
          <w:rFonts w:hint="eastAsia" w:cs="Times New Roman"/>
          <w:kern w:val="0"/>
          <w:sz w:val="28"/>
          <w:szCs w:val="28"/>
          <w:lang w:val="en-US" w:eastAsia="zh-CN"/>
        </w:rPr>
        <w:t>附图2：</w:t>
      </w:r>
      <w:r>
        <w:rPr>
          <w:rFonts w:hint="eastAsia" w:cs="Times New Roman"/>
          <w:kern w:val="0"/>
          <w:sz w:val="28"/>
          <w:szCs w:val="28"/>
        </w:rPr>
        <w:t>项目地理位置图</w:t>
      </w:r>
    </w:p>
    <w:p>
      <w:pPr>
        <w:widowControl/>
        <w:adjustRightInd w:val="0"/>
        <w:snapToGrid w:val="0"/>
        <w:spacing w:line="360" w:lineRule="auto"/>
        <w:ind w:firstLine="560" w:firstLineChars="200"/>
        <w:rPr>
          <w:rFonts w:hint="eastAsia" w:cs="Times New Roman"/>
          <w:kern w:val="0"/>
          <w:sz w:val="28"/>
          <w:szCs w:val="28"/>
        </w:rPr>
      </w:pPr>
      <w:r>
        <w:rPr>
          <w:rFonts w:hint="eastAsia" w:cs="Times New Roman"/>
          <w:kern w:val="0"/>
          <w:sz w:val="28"/>
          <w:szCs w:val="28"/>
        </w:rPr>
        <w:t>附图3：项目周边敏感目标分布示意图</w:t>
      </w:r>
    </w:p>
    <w:p>
      <w:pPr>
        <w:widowControl/>
        <w:adjustRightInd w:val="0"/>
        <w:snapToGrid w:val="0"/>
        <w:spacing w:line="360" w:lineRule="auto"/>
        <w:ind w:firstLine="560" w:firstLineChars="200"/>
        <w:rPr>
          <w:rFonts w:hint="eastAsia" w:cs="Times New Roman"/>
          <w:kern w:val="0"/>
          <w:sz w:val="28"/>
          <w:szCs w:val="28"/>
        </w:rPr>
      </w:pPr>
      <w:r>
        <w:rPr>
          <w:rFonts w:hint="eastAsia" w:cs="Times New Roman"/>
          <w:kern w:val="0"/>
          <w:sz w:val="28"/>
          <w:szCs w:val="28"/>
        </w:rPr>
        <w:t>附图4：宜昌市B-WJ1302管理单元土地利用规划图</w:t>
      </w:r>
    </w:p>
    <w:p>
      <w:pPr>
        <w:widowControl/>
        <w:adjustRightInd w:val="0"/>
        <w:snapToGrid w:val="0"/>
        <w:spacing w:line="360" w:lineRule="auto"/>
        <w:rPr>
          <w:rFonts w:cs="Times New Roman"/>
          <w:b/>
          <w:kern w:val="0"/>
          <w:sz w:val="28"/>
          <w:szCs w:val="28"/>
        </w:rPr>
      </w:pPr>
      <w:r>
        <w:rPr>
          <w:rFonts w:hint="eastAsia" w:cs="Times New Roman"/>
          <w:b/>
          <w:kern w:val="0"/>
          <w:sz w:val="28"/>
          <w:szCs w:val="28"/>
        </w:rPr>
        <w:t>附件</w:t>
      </w:r>
    </w:p>
    <w:p>
      <w:pPr>
        <w:widowControl/>
        <w:adjustRightInd w:val="0"/>
        <w:snapToGrid w:val="0"/>
        <w:spacing w:line="360" w:lineRule="auto"/>
        <w:ind w:firstLine="560" w:firstLineChars="200"/>
        <w:jc w:val="left"/>
        <w:rPr>
          <w:rFonts w:cs="Times New Roman"/>
          <w:kern w:val="0"/>
          <w:sz w:val="28"/>
          <w:szCs w:val="28"/>
          <w:highlight w:val="yellow"/>
        </w:rPr>
      </w:pPr>
      <w:r>
        <w:rPr>
          <w:rFonts w:hint="eastAsia" w:cs="Times New Roman"/>
          <w:kern w:val="0"/>
          <w:sz w:val="28"/>
          <w:szCs w:val="28"/>
        </w:rPr>
        <w:t>附件1：</w:t>
      </w:r>
      <w:r>
        <w:rPr>
          <w:rFonts w:hint="eastAsia" w:cs="Times New Roman"/>
          <w:kern w:val="0"/>
          <w:sz w:val="28"/>
          <w:szCs w:val="28"/>
          <w:lang w:val="en-US" w:eastAsia="zh-CN"/>
        </w:rPr>
        <w:t>省人民政府关于宜昌市夷陵区2017年度第52批次城市建设用地</w:t>
      </w:r>
      <w:r>
        <w:rPr>
          <w:rFonts w:hint="eastAsia" w:cs="Times New Roman"/>
          <w:kern w:val="0"/>
          <w:sz w:val="28"/>
          <w:szCs w:val="28"/>
        </w:rPr>
        <w:t>的批复</w:t>
      </w:r>
    </w:p>
    <w:p>
      <w:pPr>
        <w:widowControl/>
        <w:adjustRightInd w:val="0"/>
        <w:snapToGrid w:val="0"/>
        <w:spacing w:line="360" w:lineRule="auto"/>
        <w:ind w:firstLine="560" w:firstLineChars="200"/>
        <w:jc w:val="left"/>
        <w:rPr>
          <w:rFonts w:cs="Times New Roman"/>
          <w:kern w:val="0"/>
          <w:sz w:val="28"/>
          <w:szCs w:val="28"/>
          <w:highlight w:val="yellow"/>
        </w:rPr>
      </w:pPr>
      <w:r>
        <w:rPr>
          <w:rFonts w:hint="eastAsia" w:cs="Times New Roman"/>
          <w:kern w:val="0"/>
          <w:sz w:val="28"/>
          <w:szCs w:val="28"/>
        </w:rPr>
        <w:t>附件2：</w:t>
      </w:r>
      <w:r>
        <w:rPr>
          <w:rFonts w:hint="eastAsia" w:cs="Times New Roman"/>
          <w:kern w:val="0"/>
          <w:sz w:val="28"/>
          <w:szCs w:val="28"/>
          <w:lang w:val="en-US" w:eastAsia="zh-CN"/>
        </w:rPr>
        <w:t>省人民政府关于宜昌市夷陵区2017年度第53批次城市建设用地</w:t>
      </w:r>
      <w:r>
        <w:rPr>
          <w:rFonts w:hint="eastAsia" w:cs="Times New Roman"/>
          <w:kern w:val="0"/>
          <w:sz w:val="28"/>
          <w:szCs w:val="28"/>
        </w:rPr>
        <w:t>的批复</w:t>
      </w:r>
    </w:p>
    <w:p>
      <w:pPr>
        <w:widowControl/>
        <w:adjustRightInd w:val="0"/>
        <w:snapToGrid w:val="0"/>
        <w:spacing w:line="360" w:lineRule="auto"/>
        <w:ind w:firstLine="560" w:firstLineChars="200"/>
        <w:jc w:val="left"/>
        <w:rPr>
          <w:rFonts w:hint="eastAsia" w:eastAsia="宋体" w:cs="Times New Roman"/>
          <w:kern w:val="0"/>
          <w:sz w:val="28"/>
          <w:szCs w:val="28"/>
          <w:lang w:val="en-US" w:eastAsia="zh-CN"/>
        </w:rPr>
      </w:pPr>
      <w:r>
        <w:rPr>
          <w:rFonts w:hint="eastAsia" w:cs="Times New Roman"/>
          <w:kern w:val="0"/>
          <w:sz w:val="28"/>
          <w:szCs w:val="28"/>
        </w:rPr>
        <w:t>附件</w:t>
      </w:r>
      <w:r>
        <w:rPr>
          <w:rFonts w:hint="eastAsia" w:cs="Times New Roman"/>
          <w:kern w:val="0"/>
          <w:sz w:val="28"/>
          <w:szCs w:val="28"/>
          <w:lang w:val="en-US" w:eastAsia="zh-CN"/>
        </w:rPr>
        <w:t>3</w:t>
      </w:r>
      <w:r>
        <w:rPr>
          <w:rFonts w:hint="eastAsia" w:cs="Times New Roman"/>
          <w:kern w:val="0"/>
          <w:sz w:val="28"/>
          <w:szCs w:val="28"/>
        </w:rPr>
        <w:t>：人员访谈记录</w:t>
      </w:r>
      <w:r>
        <w:rPr>
          <w:rFonts w:hint="eastAsia" w:cs="Times New Roman"/>
          <w:kern w:val="0"/>
          <w:sz w:val="28"/>
          <w:szCs w:val="28"/>
          <w:lang w:val="en-US" w:eastAsia="zh-CN"/>
        </w:rPr>
        <w:t>表</w:t>
      </w:r>
    </w:p>
    <w:p>
      <w:pPr>
        <w:widowControl/>
        <w:adjustRightInd w:val="0"/>
        <w:snapToGrid w:val="0"/>
        <w:spacing w:line="360" w:lineRule="auto"/>
        <w:ind w:firstLine="560" w:firstLineChars="200"/>
        <w:jc w:val="left"/>
        <w:rPr>
          <w:rFonts w:cs="Times New Roman"/>
          <w:kern w:val="0"/>
          <w:sz w:val="28"/>
          <w:szCs w:val="28"/>
        </w:rPr>
      </w:pPr>
      <w:r>
        <w:rPr>
          <w:rFonts w:hint="eastAsia" w:cs="Times New Roman"/>
          <w:kern w:val="0"/>
          <w:sz w:val="28"/>
          <w:szCs w:val="28"/>
        </w:rPr>
        <w:t>附件4：成交通知书</w:t>
      </w:r>
    </w:p>
    <w:p>
      <w:pPr>
        <w:widowControl/>
        <w:adjustRightInd w:val="0"/>
        <w:snapToGrid w:val="0"/>
        <w:spacing w:line="360" w:lineRule="auto"/>
        <w:ind w:firstLine="560" w:firstLineChars="200"/>
        <w:jc w:val="left"/>
        <w:rPr>
          <w:rFonts w:cs="Times New Roman"/>
          <w:kern w:val="0"/>
          <w:sz w:val="28"/>
          <w:szCs w:val="28"/>
        </w:rPr>
      </w:pPr>
      <w:r>
        <w:rPr>
          <w:rFonts w:hint="eastAsia" w:cs="Times New Roman"/>
          <w:kern w:val="0"/>
          <w:sz w:val="28"/>
          <w:szCs w:val="28"/>
        </w:rPr>
        <w:t>附件5：专家签到表</w:t>
      </w:r>
    </w:p>
    <w:p>
      <w:pPr>
        <w:widowControl/>
        <w:adjustRightInd w:val="0"/>
        <w:snapToGrid w:val="0"/>
        <w:spacing w:line="360" w:lineRule="auto"/>
        <w:ind w:firstLine="560" w:firstLineChars="200"/>
        <w:jc w:val="left"/>
        <w:rPr>
          <w:rFonts w:cs="Times New Roman"/>
          <w:kern w:val="0"/>
          <w:sz w:val="28"/>
          <w:szCs w:val="28"/>
        </w:rPr>
      </w:pPr>
      <w:r>
        <w:rPr>
          <w:rFonts w:hint="eastAsia" w:cs="Times New Roman"/>
          <w:kern w:val="0"/>
          <w:sz w:val="28"/>
          <w:szCs w:val="28"/>
        </w:rPr>
        <w:t>附件6：专家意见</w:t>
      </w:r>
    </w:p>
    <w:p>
      <w:pPr>
        <w:widowControl/>
        <w:adjustRightInd w:val="0"/>
        <w:snapToGrid w:val="0"/>
        <w:spacing w:line="360" w:lineRule="auto"/>
        <w:ind w:firstLine="420" w:firstLineChars="200"/>
        <w:rPr>
          <w:rFonts w:cs="Times New Roman"/>
          <w:kern w:val="0"/>
          <w:sz w:val="21"/>
          <w:szCs w:val="21"/>
          <w:highlight w:val="yellow"/>
        </w:rPr>
      </w:pPr>
    </w:p>
    <w:p>
      <w:pPr>
        <w:widowControl/>
        <w:adjustRightInd w:val="0"/>
        <w:snapToGrid w:val="0"/>
        <w:spacing w:line="360" w:lineRule="auto"/>
        <w:rPr>
          <w:rFonts w:cs="Times New Roman"/>
          <w:kern w:val="0"/>
          <w:sz w:val="20"/>
          <w:szCs w:val="20"/>
        </w:rPr>
      </w:pPr>
    </w:p>
    <w:p>
      <w:pPr>
        <w:ind w:firstLine="480" w:firstLineChars="200"/>
        <w:rPr>
          <w:szCs w:val="24"/>
        </w:rPr>
        <w:sectPr>
          <w:footerReference r:id="rId5" w:type="default"/>
          <w:type w:val="oddPage"/>
          <w:pgSz w:w="11906" w:h="16838"/>
          <w:pgMar w:top="1440" w:right="1797" w:bottom="1440" w:left="1797" w:header="851" w:footer="992" w:gutter="284"/>
          <w:pgNumType w:fmt="upperRoman" w:start="1"/>
          <w:cols w:space="425" w:num="1"/>
          <w:docGrid w:type="lines" w:linePitch="312" w:charSpace="0"/>
        </w:sectPr>
      </w:pPr>
    </w:p>
    <w:p>
      <w:pPr>
        <w:keepNext/>
        <w:keepLines/>
        <w:pageBreakBefore/>
        <w:numPr>
          <w:ilvl w:val="0"/>
          <w:numId w:val="1"/>
        </w:numPr>
        <w:adjustRightInd w:val="0"/>
        <w:snapToGrid w:val="0"/>
        <w:spacing w:before="326" w:beforeLines="100" w:after="326" w:afterLines="10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1" w:name="_Toc30225"/>
      <w:bookmarkStart w:id="2" w:name="_Toc38101399"/>
      <w:r>
        <w:rPr>
          <w:rFonts w:hint="eastAsia" w:ascii="Times New Roman" w:hAnsi="Times New Roman" w:eastAsia="宋体" w:cs="Times New Roman"/>
          <w:b/>
          <w:bCs/>
          <w:kern w:val="44"/>
          <w:sz w:val="30"/>
          <w:szCs w:val="44"/>
          <w:lang w:val="en-US" w:eastAsia="zh-CN" w:bidi="ar-SA"/>
        </w:rPr>
        <w:t xml:space="preserve">前 </w:t>
      </w:r>
      <w:r>
        <w:rPr>
          <w:rFonts w:ascii="Times New Roman" w:hAnsi="Times New Roman" w:eastAsia="宋体" w:cs="Times New Roman"/>
          <w:b/>
          <w:bCs/>
          <w:kern w:val="44"/>
          <w:sz w:val="30"/>
          <w:szCs w:val="44"/>
          <w:lang w:val="en-US" w:eastAsia="zh-CN" w:bidi="ar-SA"/>
        </w:rPr>
        <w:t xml:space="preserve"> </w:t>
      </w:r>
      <w:r>
        <w:rPr>
          <w:rFonts w:hint="eastAsia" w:ascii="Times New Roman" w:hAnsi="Times New Roman" w:eastAsia="宋体" w:cs="Times New Roman"/>
          <w:b/>
          <w:bCs/>
          <w:kern w:val="44"/>
          <w:sz w:val="30"/>
          <w:szCs w:val="44"/>
          <w:lang w:val="en-US" w:eastAsia="zh-CN" w:bidi="ar-SA"/>
        </w:rPr>
        <w:t>言</w:t>
      </w:r>
      <w:bookmarkEnd w:id="1"/>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sz w:val="24"/>
          <w:szCs w:val="24"/>
        </w:rPr>
        <w:t>根据《中华人民共和国土壤污染防治法》、</w:t>
      </w:r>
      <w:r>
        <w:rPr>
          <w:rFonts w:cs="Times New Roman"/>
          <w:sz w:val="24"/>
          <w:szCs w:val="24"/>
        </w:rPr>
        <w:t>《</w:t>
      </w:r>
      <w:bookmarkStart w:id="3" w:name="_Hlk133153568"/>
      <w:r>
        <w:rPr>
          <w:rFonts w:cs="Times New Roman"/>
          <w:sz w:val="24"/>
          <w:szCs w:val="24"/>
        </w:rPr>
        <w:t>土地储备管理办法》（国土资规〔2017〕17号）</w:t>
      </w:r>
      <w:bookmarkEnd w:id="3"/>
      <w:r>
        <w:rPr>
          <w:rFonts w:cs="Times New Roman"/>
          <w:sz w:val="24"/>
          <w:szCs w:val="24"/>
        </w:rPr>
        <w:t>、</w:t>
      </w:r>
      <w:r>
        <w:rPr>
          <w:rFonts w:hint="eastAsia" w:cs="Times New Roman"/>
          <w:sz w:val="24"/>
          <w:szCs w:val="24"/>
        </w:rPr>
        <w:t>《关于贯彻落实土壤污染防治法推动解决突出土壤污染问题的实施意见》（环办土壤〔2019〕47号）等国家、地方有关规定，以下情况应进行土壤污染状况调查：一是对土壤污染状况普查、详查和监测、现场检查表明有土壤污染风险的建设用地地块，土地使用权人按照规定进行土壤污染状况调查；二是土壤污染重点监管单位生产经营用地的用途变更或者在其土地使用权收回、转让前，应当由土地使用权人按照规定进行土壤污染状况调查；三是土地用途变更为住宅、公共管理与公共服务用地的，变更前应当按照规定进行土壤污染状况调查。</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生物产业园峡州大道与合益路交会处东侧地块（3号地块）</w:t>
      </w:r>
      <w:r>
        <w:rPr>
          <w:rFonts w:hint="eastAsia" w:cs="Times New Roman"/>
          <w:kern w:val="2"/>
          <w:sz w:val="24"/>
          <w:szCs w:val="24"/>
          <w:lang w:val="en-US" w:eastAsia="zh-CN" w:bidi="ar-SA"/>
        </w:rPr>
        <w:t>总</w:t>
      </w:r>
      <w:r>
        <w:rPr>
          <w:rFonts w:hint="eastAsia" w:ascii="Times New Roman" w:hAnsi="Times New Roman" w:eastAsia="宋体" w:cs="Times New Roman"/>
          <w:kern w:val="2"/>
          <w:sz w:val="24"/>
          <w:szCs w:val="24"/>
          <w:lang w:val="en-US" w:eastAsia="zh-CN" w:bidi="ar-SA"/>
        </w:rPr>
        <w:t>面积为</w:t>
      </w:r>
      <w:r>
        <w:rPr>
          <w:rFonts w:hint="eastAsia" w:cs="Times New Roman"/>
          <w:kern w:val="2"/>
          <w:sz w:val="24"/>
          <w:szCs w:val="24"/>
          <w:lang w:val="en-US" w:eastAsia="zh-CN" w:bidi="ar-SA"/>
        </w:rPr>
        <w:t>77494.71m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（A区30617.74m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、B区46876.97m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，中心经纬坐标为东经</w:t>
      </w:r>
      <w:r>
        <w:rPr>
          <w:rFonts w:hint="default" w:ascii="Times New Roman" w:hAnsi="Times New Roman" w:eastAsia="宋体" w:cs="Times New Roman"/>
          <w:kern w:val="2"/>
          <w:sz w:val="24"/>
          <w:szCs w:val="24"/>
          <w:lang w:val="en-US" w:eastAsia="zh-CN" w:bidi="ar-SA"/>
        </w:rPr>
        <w:t>111.3751</w:t>
      </w:r>
      <w:r>
        <w:rPr>
          <w:rFonts w:hint="eastAsia"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北纬30.68551</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本地块现状为混凝土拌和站，拌和站建于2020年12月，为宜兴铁路ZQ-1标段的配套临时工程。</w:t>
      </w:r>
      <w:r>
        <w:rPr>
          <w:rFonts w:hint="eastAsia" w:cs="Times New Roman"/>
          <w:sz w:val="24"/>
          <w:szCs w:val="24"/>
        </w:rPr>
        <w:t>现高新区管委会申请将该地块调整为二类城镇住宅用地后重新出让开发建设</w:t>
      </w:r>
      <w:r>
        <w:rPr>
          <w:rFonts w:cs="Times New Roman"/>
          <w:sz w:val="24"/>
          <w:szCs w:val="24"/>
        </w:rPr>
        <w:t>，</w:t>
      </w:r>
      <w:r>
        <w:rPr>
          <w:rFonts w:hint="eastAsia" w:cs="Times New Roman"/>
          <w:sz w:val="24"/>
          <w:szCs w:val="24"/>
        </w:rPr>
        <w:t>因此</w:t>
      </w:r>
      <w:r>
        <w:rPr>
          <w:rFonts w:cs="Times New Roman"/>
          <w:sz w:val="24"/>
          <w:szCs w:val="24"/>
        </w:rPr>
        <w:t>需对该地块进行环境调查工作</w:t>
      </w:r>
      <w:r>
        <w:rPr>
          <w:rFonts w:hint="eastAsia" w:cs="Times New Roman"/>
          <w:sz w:val="24"/>
          <w:szCs w:val="24"/>
        </w:rPr>
        <w:t>，明确主要污染物、污染程度和污染范围，为地块项目开展其他建设工作提供必要的基本数据依据。</w:t>
      </w:r>
      <w:r>
        <w:rPr>
          <w:rFonts w:cs="Times New Roman"/>
          <w:sz w:val="24"/>
          <w:szCs w:val="24"/>
        </w:rPr>
        <w:t>为此，</w:t>
      </w:r>
      <w:r>
        <w:rPr>
          <w:rFonts w:hint="eastAsia" w:cs="Times New Roman"/>
          <w:sz w:val="24"/>
          <w:szCs w:val="24"/>
        </w:rPr>
        <w:t>宜昌高新技术产业开发区房屋征收与补偿管理处通过公开招标的方式，选择符合条件的技术服务机构开展高新区</w:t>
      </w:r>
      <w:r>
        <w:rPr>
          <w:rFonts w:hint="eastAsia" w:cs="Times New Roman"/>
          <w:sz w:val="24"/>
          <w:szCs w:val="24"/>
          <w:lang w:val="en-US" w:eastAsia="zh-CN"/>
        </w:rPr>
        <w:t>3</w:t>
      </w:r>
      <w:r>
        <w:rPr>
          <w:rFonts w:hint="eastAsia" w:cs="Times New Roman"/>
          <w:sz w:val="24"/>
          <w:szCs w:val="24"/>
        </w:rPr>
        <w:t>号地块土壤污染调查工作，我公司通过多轮竞争谈判，最终中标高新区</w:t>
      </w:r>
      <w:r>
        <w:rPr>
          <w:rFonts w:hint="eastAsia" w:cs="Times New Roman"/>
          <w:sz w:val="24"/>
          <w:szCs w:val="24"/>
          <w:lang w:val="en-US" w:eastAsia="zh-CN"/>
        </w:rPr>
        <w:t>3</w:t>
      </w:r>
      <w:r>
        <w:rPr>
          <w:rFonts w:hint="eastAsia" w:cs="Times New Roman"/>
          <w:sz w:val="24"/>
          <w:szCs w:val="24"/>
        </w:rPr>
        <w:t>号地块土壤污染调查评估项。我公司中标后，根据《建设用地土壤污染状况调查技术导则》（HJ25.1-2019）中的工作程序，于2</w:t>
      </w:r>
      <w:r>
        <w:rPr>
          <w:rFonts w:cs="Times New Roman"/>
          <w:sz w:val="24"/>
          <w:szCs w:val="24"/>
        </w:rPr>
        <w:t>023</w:t>
      </w:r>
      <w:r>
        <w:rPr>
          <w:rFonts w:hint="eastAsia" w:cs="Times New Roman"/>
          <w:sz w:val="24"/>
          <w:szCs w:val="24"/>
        </w:rPr>
        <w:t>年4月开展本地块土壤污染状况调查，调查过程及结论如下：</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本次调查属于土壤污染状况调查第一阶段，根据资料收集、现场踏勘和人员访谈分析，结合现在和历史卫星影像图可知，项目本地块当前及历史上未进行过工业生产性活动。具体分析过程如下：</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（1）资料分析：通过对收集资料的分析，调查地块内当前和历史上均无工业生产活动，不存在可能的污染源，未发生过重大、特大污染事故。</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现场踏勘：现场踏勘时，本地块目前为临时停车场。地块内未发现《国家危险废物名录》（2021年版）中的危险废物，未发现有毒有害物质的储存、使用和处置设施。本地块现场无其他固废、危废以及其他造成土壤污染的污染源，也无可能造成土壤和地下水污染的异常迹象。</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人员访谈：通过人员访谈，地块区域原始地貌为丘陵，历史上不存在其他工业企业，历史上未发生过环境污染事故，本地块内土壤、地下水未曾受到过污染，本地块内未发生过化学品泄漏事故，未发生过其他环境污染事故，也无废气、工业废水排放且不存在任何正规或非正规的工业固体废物堆放场。</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（4）地块周边污染源：周边主要为商住综合区和居民区，周边生产工业企业对本地块无污染影响。因此，周边地块对本地块影响较小。</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综上，该地块内当前和历史上不存在潜在的污染源，相邻区域地块当前及历史对本地块影响较小，地块土壤环境状况可接受，符合用地规划要求，第一阶段调查可结束，不需要进行第二阶段调查。</w:t>
      </w:r>
    </w:p>
    <w:p>
      <w:pPr>
        <w:keepNext/>
        <w:keepLines/>
        <w:pageBreakBefore/>
        <w:numPr>
          <w:ilvl w:val="0"/>
          <w:numId w:val="1"/>
        </w:numPr>
        <w:adjustRightInd w:val="0"/>
        <w:snapToGrid w:val="0"/>
        <w:spacing w:before="163" w:beforeLines="50" w:after="163" w:afterLines="5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4" w:name="_Toc25003"/>
      <w:r>
        <w:rPr>
          <w:rFonts w:hint="eastAsia" w:ascii="Times New Roman" w:hAnsi="Times New Roman" w:eastAsia="宋体" w:cs="Times New Roman"/>
          <w:b/>
          <w:bCs/>
          <w:kern w:val="44"/>
          <w:sz w:val="30"/>
          <w:szCs w:val="44"/>
          <w:lang w:val="en-US" w:eastAsia="zh-CN" w:bidi="ar-SA"/>
        </w:rPr>
        <w:t xml:space="preserve">概 </w:t>
      </w:r>
      <w:r>
        <w:rPr>
          <w:rFonts w:ascii="Times New Roman" w:hAnsi="Times New Roman" w:eastAsia="宋体" w:cs="Times New Roman"/>
          <w:b/>
          <w:bCs/>
          <w:kern w:val="44"/>
          <w:sz w:val="30"/>
          <w:szCs w:val="44"/>
          <w:lang w:val="en-US" w:eastAsia="zh-CN" w:bidi="ar-SA"/>
        </w:rPr>
        <w:t xml:space="preserve"> </w:t>
      </w:r>
      <w:r>
        <w:rPr>
          <w:rFonts w:hint="eastAsia" w:ascii="Times New Roman" w:hAnsi="Times New Roman" w:eastAsia="宋体" w:cs="Times New Roman"/>
          <w:b/>
          <w:bCs/>
          <w:kern w:val="44"/>
          <w:sz w:val="30"/>
          <w:szCs w:val="44"/>
          <w:lang w:val="en-US" w:eastAsia="zh-CN" w:bidi="ar-SA"/>
        </w:rPr>
        <w:t>述</w:t>
      </w:r>
      <w:bookmarkEnd w:id="4"/>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5" w:name="_Toc31831"/>
      <w:r>
        <w:rPr>
          <w:rFonts w:hint="eastAsia" w:ascii="Times New Roman" w:hAnsi="Times New Roman" w:eastAsia="宋体" w:cs="Times New Roman"/>
          <w:b/>
          <w:bCs/>
          <w:sz w:val="28"/>
          <w:szCs w:val="32"/>
          <w:lang w:val="en-US" w:eastAsia="zh-CN" w:bidi="ar-SA"/>
        </w:rPr>
        <w:t>调查的目的和原则</w:t>
      </w:r>
      <w:bookmarkEnd w:id="5"/>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调查目的</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cs="Times New Roman"/>
          <w:sz w:val="24"/>
          <w:szCs w:val="24"/>
        </w:rPr>
        <w:t>通过对项目地块进行现场踏勘、资料分析及人员访谈，识别该地块</w:t>
      </w:r>
      <w:r>
        <w:rPr>
          <w:rFonts w:hint="eastAsia" w:cs="Times New Roman"/>
          <w:sz w:val="24"/>
          <w:szCs w:val="24"/>
        </w:rPr>
        <w:t>是否</w:t>
      </w:r>
      <w:r>
        <w:rPr>
          <w:rFonts w:cs="Times New Roman"/>
          <w:sz w:val="24"/>
          <w:szCs w:val="24"/>
        </w:rPr>
        <w:t>存在</w:t>
      </w:r>
      <w:r>
        <w:rPr>
          <w:rFonts w:hint="eastAsia" w:cs="Times New Roman"/>
          <w:sz w:val="24"/>
          <w:szCs w:val="24"/>
        </w:rPr>
        <w:t>潜在</w:t>
      </w:r>
      <w:r>
        <w:rPr>
          <w:rFonts w:cs="Times New Roman"/>
          <w:sz w:val="24"/>
          <w:szCs w:val="24"/>
        </w:rPr>
        <w:t>的污染</w:t>
      </w:r>
      <w:r>
        <w:rPr>
          <w:rFonts w:hint="eastAsia" w:cs="Times New Roman"/>
          <w:sz w:val="24"/>
          <w:szCs w:val="24"/>
        </w:rPr>
        <w:t>源</w:t>
      </w:r>
      <w:r>
        <w:rPr>
          <w:rFonts w:cs="Times New Roman"/>
          <w:sz w:val="24"/>
          <w:szCs w:val="24"/>
        </w:rPr>
        <w:t>，为地块后续开发利用提供科学依据。</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调查原则</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（1）针对性原则</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针对地块的特征和潜在污染物特性，进行污染物浓度和空间分布调查，为地块的环境管理提供依据。</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（2）规范性原则</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采用程序化和系统化的方式规范土壤污染状况调查过程，保证调查过程的科学性和客观性。</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（3）可操作性原则</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综合考虑调查方法、时间和经费等因素，结合当前科技发展和专业技术水平，使调查过程切实可行。</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6" w:name="_Toc1622"/>
      <w:r>
        <w:rPr>
          <w:rFonts w:hint="eastAsia" w:ascii="Times New Roman" w:hAnsi="Times New Roman" w:eastAsia="宋体" w:cs="Times New Roman"/>
          <w:b/>
          <w:bCs/>
          <w:sz w:val="28"/>
          <w:szCs w:val="32"/>
          <w:lang w:val="en-US" w:eastAsia="zh-CN" w:bidi="ar-SA"/>
        </w:rPr>
        <w:t>调查范围</w:t>
      </w:r>
      <w:bookmarkEnd w:id="6"/>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本次</w:t>
      </w:r>
      <w:r>
        <w:rPr>
          <w:rFonts w:cs="Times New Roman"/>
          <w:sz w:val="24"/>
          <w:szCs w:val="24"/>
        </w:rPr>
        <w:t>土壤初步调查</w:t>
      </w:r>
      <w:r>
        <w:rPr>
          <w:rFonts w:hint="eastAsia" w:ascii="Times New Roman" w:hAnsi="Times New Roman" w:eastAsia="宋体" w:cs="Times New Roman"/>
          <w:kern w:val="2"/>
          <w:sz w:val="24"/>
          <w:szCs w:val="24"/>
          <w:lang w:val="en-US" w:eastAsia="zh-CN" w:bidi="ar-SA"/>
        </w:rPr>
        <w:t>范围为生物产业园峡州大道与合益路交会处东侧地块（3号地块），</w:t>
      </w:r>
      <w:r>
        <w:rPr>
          <w:rFonts w:cs="Times New Roman"/>
          <w:sz w:val="24"/>
          <w:szCs w:val="24"/>
        </w:rPr>
        <w:t>地块范围根据</w:t>
      </w:r>
      <w:r>
        <w:rPr>
          <w:rFonts w:hint="eastAsia" w:cs="Times New Roman"/>
          <w:sz w:val="24"/>
          <w:szCs w:val="24"/>
        </w:rPr>
        <w:t>收储</w:t>
      </w:r>
      <w:r>
        <w:rPr>
          <w:rFonts w:cs="Times New Roman"/>
          <w:sz w:val="24"/>
          <w:szCs w:val="24"/>
        </w:rPr>
        <w:t>实际用地红线确定，</w:t>
      </w:r>
      <w:r>
        <w:rPr>
          <w:rFonts w:hint="eastAsia" w:cs="Times New Roman"/>
          <w:sz w:val="24"/>
          <w:szCs w:val="24"/>
          <w:lang w:val="en-US" w:eastAsia="zh-CN"/>
        </w:rPr>
        <w:t>调查</w:t>
      </w:r>
      <w:r>
        <w:rPr>
          <w:rFonts w:hint="eastAsia" w:ascii="Times New Roman" w:hAnsi="Times New Roman" w:eastAsia="宋体" w:cs="Times New Roman"/>
          <w:kern w:val="2"/>
          <w:sz w:val="24"/>
          <w:szCs w:val="24"/>
          <w:lang w:val="en-US" w:eastAsia="zh-CN" w:bidi="ar-SA"/>
        </w:rPr>
        <w:t>面积为</w:t>
      </w:r>
      <w:r>
        <w:rPr>
          <w:rFonts w:hint="eastAsia" w:cs="Times New Roman"/>
          <w:kern w:val="2"/>
          <w:sz w:val="24"/>
          <w:szCs w:val="24"/>
          <w:lang w:val="en-US" w:eastAsia="zh-CN" w:bidi="ar-SA"/>
        </w:rPr>
        <w:t>77494.71m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（A区30617.74m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、B区46876.97m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w:t>
      </w:r>
      <w:r>
        <w:rPr>
          <w:rFonts w:ascii="Times New Roman" w:hAnsi="Times New Roman" w:eastAsia="宋体" w:cs="Times New Roman"/>
          <w:kern w:val="2"/>
          <w:sz w:val="24"/>
          <w:szCs w:val="24"/>
          <w:lang w:val="en-US" w:eastAsia="zh-CN" w:bidi="ar-SA"/>
        </w:rPr>
        <w:t>，调查范围拐点坐标详见表</w:t>
      </w:r>
      <w:r>
        <w:rPr>
          <w:rFonts w:hint="eastAsia" w:ascii="Times New Roman" w:hAnsi="Times New Roman" w:eastAsia="宋体" w:cs="Times New Roman"/>
          <w:kern w:val="2"/>
          <w:sz w:val="24"/>
          <w:szCs w:val="24"/>
          <w:lang w:val="en-US" w:eastAsia="zh-CN" w:bidi="ar-SA"/>
        </w:rPr>
        <w:t>2.2-1，红线范围图</w:t>
      </w:r>
      <w:r>
        <w:rPr>
          <w:rFonts w:ascii="Times New Roman" w:hAnsi="Times New Roman" w:eastAsia="宋体" w:cs="Times New Roman"/>
          <w:kern w:val="2"/>
          <w:sz w:val="24"/>
          <w:szCs w:val="24"/>
          <w:lang w:val="en-US" w:eastAsia="zh-CN" w:bidi="ar-SA"/>
        </w:rPr>
        <w:t>详见</w:t>
      </w:r>
      <w:r>
        <w:rPr>
          <w:rFonts w:hint="eastAsia" w:cs="Times New Roman"/>
          <w:kern w:val="2"/>
          <w:sz w:val="24"/>
          <w:szCs w:val="24"/>
          <w:lang w:val="en-US" w:eastAsia="zh-CN" w:bidi="ar-SA"/>
        </w:rPr>
        <w:t>附图</w:t>
      </w:r>
      <w:r>
        <w:rPr>
          <w:rFonts w:hint="eastAsia" w:ascii="Times New Roman" w:hAnsi="Times New Roman" w:eastAsia="宋体" w:cs="Times New Roman"/>
          <w:kern w:val="2"/>
          <w:sz w:val="24"/>
          <w:szCs w:val="24"/>
          <w:lang w:val="en-US" w:eastAsia="zh-CN" w:bidi="ar-SA"/>
        </w:rPr>
        <w:t>1</w:t>
      </w:r>
      <w:r>
        <w:rPr>
          <w:rFonts w:ascii="Times New Roman" w:hAnsi="Times New Roman" w:eastAsia="宋体" w:cs="Times New Roman"/>
          <w:kern w:val="2"/>
          <w:sz w:val="24"/>
          <w:szCs w:val="24"/>
          <w:lang w:val="en-US" w:eastAsia="zh-CN" w:bidi="ar-SA"/>
        </w:rPr>
        <w:t>。</w:t>
      </w:r>
    </w:p>
    <w:p>
      <w:pPr>
        <w:keepNext/>
        <w:adjustRightInd w:val="0"/>
        <w:snapToGrid w:val="0"/>
        <w:spacing w:before="0" w:beforeLines="0" w:after="163" w:afterLines="50" w:line="240" w:lineRule="auto"/>
        <w:jc w:val="center"/>
        <w:rPr>
          <w:rFonts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表 2.2-1</w:t>
      </w:r>
      <w:r>
        <w:rPr>
          <w:rFonts w:ascii="Times New Roman" w:hAnsi="Times New Roman" w:eastAsia="宋体" w:cs="Times New Roman"/>
          <w:b/>
          <w:sz w:val="21"/>
          <w:szCs w:val="21"/>
          <w:lang w:val="en-US" w:eastAsia="zh-CN" w:bidi="ar-SA"/>
        </w:rPr>
        <w:t xml:space="preserve">  </w:t>
      </w:r>
      <w:r>
        <w:rPr>
          <w:rFonts w:hint="eastAsia" w:ascii="Times New Roman" w:hAnsi="Times New Roman" w:eastAsia="宋体" w:cs="Times New Roman"/>
          <w:b/>
          <w:sz w:val="21"/>
          <w:szCs w:val="21"/>
          <w:lang w:val="en-US" w:eastAsia="zh-CN" w:bidi="ar-SA"/>
        </w:rPr>
        <w:t>项目范围拐点坐标一览表</w:t>
      </w:r>
      <w:r>
        <w:rPr>
          <w:rFonts w:hint="eastAsia" w:cs="Times New Roman"/>
          <w:b/>
          <w:sz w:val="21"/>
          <w:szCs w:val="21"/>
          <w:lang w:val="en-US" w:eastAsia="zh-CN" w:bidi="ar-SA"/>
        </w:rPr>
        <w:t>（CGC2000）</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700"/>
        <w:gridCol w:w="1702"/>
        <w:gridCol w:w="852"/>
        <w:gridCol w:w="1741"/>
        <w:gridCol w:w="1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66" w:type="pct"/>
            <w:gridSpan w:val="3"/>
            <w:vAlign w:val="center"/>
          </w:tcPr>
          <w:p>
            <w:pPr>
              <w:widowControl/>
              <w:adjustRightInd w:val="0"/>
              <w:snapToGrid w:val="0"/>
              <w:spacing w:line="240" w:lineRule="auto"/>
              <w:jc w:val="center"/>
              <w:rPr>
                <w:rFonts w:hint="default" w:eastAsia="宋体" w:cs="Times New Roman"/>
                <w:b/>
                <w:kern w:val="0"/>
                <w:sz w:val="21"/>
                <w:szCs w:val="21"/>
                <w:lang w:val="en-US" w:eastAsia="zh-CN"/>
              </w:rPr>
            </w:pPr>
            <w:r>
              <w:rPr>
                <w:rFonts w:hint="eastAsia" w:cs="Times New Roman"/>
                <w:b/>
                <w:kern w:val="0"/>
                <w:sz w:val="21"/>
                <w:szCs w:val="21"/>
                <w:lang w:val="en-US" w:eastAsia="zh-CN"/>
              </w:rPr>
              <w:t>A区</w:t>
            </w:r>
          </w:p>
        </w:tc>
        <w:tc>
          <w:tcPr>
            <w:tcW w:w="2533" w:type="pct"/>
            <w:gridSpan w:val="3"/>
            <w:vAlign w:val="center"/>
          </w:tcPr>
          <w:p>
            <w:pPr>
              <w:widowControl/>
              <w:adjustRightInd w:val="0"/>
              <w:snapToGrid w:val="0"/>
              <w:spacing w:line="240" w:lineRule="auto"/>
              <w:jc w:val="center"/>
              <w:rPr>
                <w:rFonts w:hint="default" w:eastAsia="宋体" w:cs="Times New Roman"/>
                <w:b/>
                <w:kern w:val="0"/>
                <w:sz w:val="21"/>
                <w:szCs w:val="21"/>
                <w:lang w:val="en-US" w:eastAsia="zh-CN"/>
              </w:rPr>
            </w:pPr>
            <w:r>
              <w:rPr>
                <w:rFonts w:hint="eastAsia" w:cs="Times New Roman"/>
                <w:b/>
                <w:kern w:val="0"/>
                <w:sz w:val="21"/>
                <w:szCs w:val="21"/>
                <w:lang w:val="en-US" w:eastAsia="zh-CN"/>
              </w:rPr>
              <w:t>B区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eastAsia="宋体" w:cs="Times New Roman"/>
                <w:b/>
                <w:kern w:val="0"/>
                <w:sz w:val="21"/>
                <w:szCs w:val="21"/>
              </w:rPr>
              <w:t>序号</w:t>
            </w:r>
          </w:p>
        </w:tc>
        <w:tc>
          <w:tcPr>
            <w:tcW w:w="994" w:type="pct"/>
            <w:vAlign w:val="center"/>
          </w:tcPr>
          <w:p>
            <w:pPr>
              <w:widowControl/>
              <w:adjustRightInd w:val="0"/>
              <w:snapToGrid w:val="0"/>
              <w:spacing w:line="240" w:lineRule="auto"/>
              <w:jc w:val="center"/>
              <w:rPr>
                <w:rFonts w:eastAsia="宋体" w:cs="Times New Roman"/>
                <w:kern w:val="0"/>
                <w:sz w:val="21"/>
                <w:szCs w:val="21"/>
              </w:rPr>
            </w:pPr>
            <w:r>
              <w:rPr>
                <w:rFonts w:eastAsia="宋体" w:cs="Times New Roman"/>
                <w:kern w:val="0"/>
                <w:sz w:val="21"/>
                <w:szCs w:val="21"/>
              </w:rPr>
              <w:t>X</w:t>
            </w:r>
          </w:p>
        </w:tc>
        <w:tc>
          <w:tcPr>
            <w:tcW w:w="995" w:type="pct"/>
            <w:vAlign w:val="center"/>
          </w:tcPr>
          <w:p>
            <w:pPr>
              <w:widowControl/>
              <w:adjustRightInd w:val="0"/>
              <w:snapToGrid w:val="0"/>
              <w:spacing w:line="240" w:lineRule="auto"/>
              <w:jc w:val="center"/>
              <w:rPr>
                <w:rFonts w:eastAsia="宋体" w:cs="Times New Roman"/>
                <w:kern w:val="0"/>
                <w:sz w:val="21"/>
                <w:szCs w:val="21"/>
              </w:rPr>
            </w:pPr>
            <w:r>
              <w:rPr>
                <w:rFonts w:eastAsia="宋体" w:cs="Times New Roman"/>
                <w:kern w:val="0"/>
                <w:sz w:val="21"/>
                <w:szCs w:val="21"/>
              </w:rPr>
              <w:t>Y</w:t>
            </w:r>
          </w:p>
        </w:tc>
        <w:tc>
          <w:tcPr>
            <w:tcW w:w="498" w:type="pct"/>
            <w:vAlign w:val="center"/>
          </w:tcPr>
          <w:p>
            <w:pPr>
              <w:widowControl/>
              <w:adjustRightInd w:val="0"/>
              <w:snapToGrid w:val="0"/>
              <w:spacing w:line="240" w:lineRule="auto"/>
              <w:jc w:val="center"/>
              <w:rPr>
                <w:rFonts w:eastAsia="宋体" w:cs="Times New Roman"/>
                <w:kern w:val="0"/>
                <w:sz w:val="21"/>
                <w:szCs w:val="21"/>
              </w:rPr>
            </w:pPr>
            <w:r>
              <w:rPr>
                <w:rFonts w:eastAsia="宋体" w:cs="Times New Roman"/>
                <w:b/>
                <w:kern w:val="0"/>
                <w:sz w:val="21"/>
                <w:szCs w:val="21"/>
              </w:rPr>
              <w:t>序号</w:t>
            </w:r>
          </w:p>
        </w:tc>
        <w:tc>
          <w:tcPr>
            <w:tcW w:w="1018" w:type="pct"/>
            <w:vAlign w:val="center"/>
          </w:tcPr>
          <w:p>
            <w:pPr>
              <w:widowControl/>
              <w:adjustRightInd w:val="0"/>
              <w:snapToGrid w:val="0"/>
              <w:spacing w:line="240" w:lineRule="auto"/>
              <w:jc w:val="center"/>
              <w:rPr>
                <w:rFonts w:eastAsia="宋体" w:cs="Times New Roman"/>
                <w:kern w:val="0"/>
                <w:sz w:val="21"/>
                <w:szCs w:val="21"/>
              </w:rPr>
            </w:pPr>
            <w:r>
              <w:rPr>
                <w:rFonts w:eastAsia="宋体" w:cs="Times New Roman"/>
                <w:kern w:val="0"/>
                <w:sz w:val="21"/>
                <w:szCs w:val="21"/>
              </w:rPr>
              <w:t>X</w:t>
            </w:r>
          </w:p>
        </w:tc>
        <w:tc>
          <w:tcPr>
            <w:tcW w:w="1016" w:type="pct"/>
            <w:vAlign w:val="center"/>
          </w:tcPr>
          <w:p>
            <w:pPr>
              <w:widowControl/>
              <w:adjustRightInd w:val="0"/>
              <w:snapToGrid w:val="0"/>
              <w:spacing w:line="240" w:lineRule="auto"/>
              <w:jc w:val="center"/>
              <w:rPr>
                <w:rFonts w:eastAsia="宋体" w:cs="Times New Roman"/>
                <w:kern w:val="0"/>
                <w:sz w:val="21"/>
                <w:szCs w:val="21"/>
              </w:rPr>
            </w:pPr>
            <w:r>
              <w:rPr>
                <w:rFonts w:eastAsia="宋体" w:cs="Times New Roman"/>
                <w:kern w:val="0"/>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535839.6908</w:t>
            </w:r>
          </w:p>
        </w:tc>
        <w:tc>
          <w:tcPr>
            <w:tcW w:w="995" w:type="pct"/>
            <w:vAlign w:val="center"/>
          </w:tcPr>
          <w:p>
            <w:pPr>
              <w:widowControl/>
              <w:adjustRightInd w:val="0"/>
              <w:snapToGrid w:val="0"/>
              <w:spacing w:line="240" w:lineRule="auto"/>
              <w:jc w:val="center"/>
              <w:rPr>
                <w:rFonts w:eastAsia="宋体" w:cs="Times New Roman"/>
                <w:kern w:val="0"/>
                <w:sz w:val="21"/>
                <w:szCs w:val="21"/>
              </w:rPr>
            </w:pPr>
            <w:r>
              <w:rPr>
                <w:rFonts w:hint="eastAsia" w:cs="Times New Roman"/>
                <w:kern w:val="0"/>
                <w:sz w:val="21"/>
                <w:szCs w:val="21"/>
                <w:lang w:val="en-US" w:eastAsia="zh-CN"/>
              </w:rPr>
              <w:t>3396316.0779</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536048.3139</w:t>
            </w:r>
          </w:p>
        </w:tc>
        <w:tc>
          <w:tcPr>
            <w:tcW w:w="1016" w:type="pct"/>
            <w:vAlign w:val="center"/>
          </w:tcPr>
          <w:p>
            <w:pPr>
              <w:widowControl/>
              <w:adjustRightInd w:val="0"/>
              <w:snapToGrid w:val="0"/>
              <w:spacing w:line="240" w:lineRule="auto"/>
              <w:jc w:val="center"/>
              <w:rPr>
                <w:rFonts w:eastAsia="宋体" w:cs="Times New Roman"/>
                <w:kern w:val="0"/>
                <w:sz w:val="21"/>
                <w:szCs w:val="21"/>
              </w:rPr>
            </w:pPr>
            <w:r>
              <w:rPr>
                <w:rFonts w:hint="eastAsia" w:cs="Times New Roman"/>
                <w:kern w:val="0"/>
                <w:sz w:val="21"/>
                <w:szCs w:val="21"/>
                <w:lang w:val="en-US" w:eastAsia="zh-CN"/>
              </w:rPr>
              <w:t>3396237.4999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2</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535810.7427</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3396299.0218</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2</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535992.8662</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3396197.3232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3</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535781.7333</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3396281.3693</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3</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535954.0178</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3396169.1741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4</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535753.3292</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3396262.9586</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4</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535860.7765</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3396101.6127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5</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535753.1990</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3396262.8708</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5</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535858.5172</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3396082.5765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6</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535749.3513</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3396260.2185</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6</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535918.5480</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3395997.5353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7</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535746.7002</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3396240.9795</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7</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535924.3198</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3395996.8055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8</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535833.4291</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3396118.1170</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8</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535952.5660</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3395991.2855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9</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535852.3382</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3396114.0903</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9</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535970.4217</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3395987.2462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0</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535856.3844</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3396117.0217</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0</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535983.4541</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3395981.4825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1</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535951.9498</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3396186.2661</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1</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536184.8966</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3396146.4521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2</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535992.5029</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3396215.6502</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2</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536218.0207</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3396173.5792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13</w:t>
            </w:r>
          </w:p>
        </w:tc>
        <w:tc>
          <w:tcPr>
            <w:tcW w:w="994"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536031.4321</w:t>
            </w:r>
          </w:p>
        </w:tc>
        <w:tc>
          <w:tcPr>
            <w:tcW w:w="99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3396243.8573</w:t>
            </w:r>
          </w:p>
        </w:tc>
        <w:tc>
          <w:tcPr>
            <w:tcW w:w="852" w:type="dxa"/>
            <w:vAlign w:val="center"/>
          </w:tcPr>
          <w:p>
            <w:pPr>
              <w:widowControl/>
              <w:adjustRightInd w:val="0"/>
              <w:snapToGrid w:val="0"/>
              <w:spacing w:line="240" w:lineRule="auto"/>
              <w:jc w:val="center"/>
              <w:rPr>
                <w:rFonts w:eastAsia="宋体" w:cs="Times New Roman"/>
                <w:kern w:val="0"/>
                <w:sz w:val="21"/>
                <w:szCs w:val="21"/>
              </w:rPr>
            </w:pPr>
            <w:r>
              <w:rPr>
                <w:rFonts w:hint="eastAsia" w:eastAsia="宋体" w:cs="Times New Roman"/>
                <w:kern w:val="0"/>
                <w:sz w:val="21"/>
                <w:szCs w:val="21"/>
              </w:rPr>
              <w:t>1</w:t>
            </w:r>
            <w:r>
              <w:rPr>
                <w:rFonts w:eastAsia="宋体" w:cs="Times New Roman"/>
                <w:kern w:val="0"/>
                <w:sz w:val="21"/>
                <w:szCs w:val="21"/>
              </w:rPr>
              <w:t>3</w:t>
            </w:r>
          </w:p>
        </w:tc>
        <w:tc>
          <w:tcPr>
            <w:tcW w:w="1018"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536170.7765</w:t>
            </w:r>
          </w:p>
        </w:tc>
        <w:tc>
          <w:tcPr>
            <w:tcW w:w="1016"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3396191.3743</w:t>
            </w:r>
          </w:p>
        </w:tc>
      </w:tr>
    </w:tbl>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7" w:name="_Toc17154"/>
      <w:r>
        <w:rPr>
          <w:rFonts w:hint="eastAsia" w:ascii="Times New Roman" w:hAnsi="Times New Roman" w:eastAsia="宋体" w:cs="Times New Roman"/>
          <w:b/>
          <w:bCs/>
          <w:sz w:val="28"/>
          <w:szCs w:val="32"/>
          <w:lang w:val="en-US" w:eastAsia="zh-CN" w:bidi="ar-SA"/>
        </w:rPr>
        <w:t>调查依据</w:t>
      </w:r>
      <w:bookmarkEnd w:id="7"/>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法律、法规、规章</w:t>
      </w:r>
    </w:p>
    <w:p>
      <w:pPr>
        <w:widowControl w:val="0"/>
        <w:numPr>
          <w:ilvl w:val="0"/>
          <w:numId w:val="2"/>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《中华人民共和国环境保护法》（2015年1月1日实施）；</w:t>
      </w:r>
    </w:p>
    <w:p>
      <w:pPr>
        <w:widowControl w:val="0"/>
        <w:numPr>
          <w:ilvl w:val="0"/>
          <w:numId w:val="2"/>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cs="Times New Roman"/>
          <w:sz w:val="24"/>
          <w:szCs w:val="24"/>
        </w:rPr>
        <w:t>《湖北省土壤污染防治条例》（2016年10月1日起施行）</w:t>
      </w:r>
      <w:r>
        <w:rPr>
          <w:rFonts w:hint="eastAsia" w:cs="Times New Roman"/>
          <w:sz w:val="24"/>
          <w:szCs w:val="24"/>
        </w:rPr>
        <w:t>；</w:t>
      </w:r>
    </w:p>
    <w:p>
      <w:pPr>
        <w:widowControl w:val="0"/>
        <w:numPr>
          <w:ilvl w:val="0"/>
          <w:numId w:val="2"/>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hint="eastAsia" w:cs="Times New Roman"/>
          <w:sz w:val="24"/>
          <w:szCs w:val="24"/>
        </w:rPr>
        <w:t>《土地储备管理办法》（国土资规〔2017〕17号）；</w:t>
      </w:r>
    </w:p>
    <w:p>
      <w:pPr>
        <w:widowControl w:val="0"/>
        <w:numPr>
          <w:ilvl w:val="0"/>
          <w:numId w:val="2"/>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cs="Times New Roman"/>
          <w:sz w:val="24"/>
          <w:szCs w:val="24"/>
        </w:rPr>
        <w:t>《污染地块土壤环境管理办法（试行）》（2017年7月1日实施）；</w:t>
      </w:r>
    </w:p>
    <w:p>
      <w:pPr>
        <w:widowControl w:val="0"/>
        <w:numPr>
          <w:ilvl w:val="0"/>
          <w:numId w:val="2"/>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cs="Times New Roman"/>
          <w:sz w:val="24"/>
          <w:szCs w:val="24"/>
        </w:rPr>
        <w:t>《中华人民共和国土壤污染防治法》（2019年1月1日实施）；</w:t>
      </w:r>
    </w:p>
    <w:p>
      <w:pPr>
        <w:widowControl w:val="0"/>
        <w:numPr>
          <w:ilvl w:val="0"/>
          <w:numId w:val="2"/>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cs="Times New Roman"/>
          <w:sz w:val="24"/>
          <w:szCs w:val="24"/>
        </w:rPr>
        <w:t>《中华人民共和国固体废物污染环境防治法》（2020年9月1日起施行）</w:t>
      </w:r>
      <w:r>
        <w:rPr>
          <w:rFonts w:hint="eastAsia" w:cs="Times New Roman"/>
          <w:sz w:val="24"/>
          <w:szCs w:val="24"/>
        </w:rPr>
        <w:t>。</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规范性文件</w:t>
      </w:r>
    </w:p>
    <w:p>
      <w:pPr>
        <w:widowControl w:val="0"/>
        <w:numPr>
          <w:ilvl w:val="0"/>
          <w:numId w:val="3"/>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cs="Times New Roman"/>
          <w:sz w:val="24"/>
          <w:szCs w:val="24"/>
        </w:rPr>
        <w:t>《国务院关于印发土壤污染防治行动计划的通知》（国发〔2016〕31号）；</w:t>
      </w:r>
    </w:p>
    <w:p>
      <w:pPr>
        <w:widowControl w:val="0"/>
        <w:numPr>
          <w:ilvl w:val="0"/>
          <w:numId w:val="3"/>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《市人民政府关于印发宜昌市实施土壤污染防治行动计划工作方案的通知》（宜府发〔2017〕25号）；</w:t>
      </w:r>
    </w:p>
    <w:p>
      <w:pPr>
        <w:widowControl w:val="0"/>
        <w:numPr>
          <w:ilvl w:val="0"/>
          <w:numId w:val="3"/>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《市生态环境局 市自然资源和规划局关于印发宜昌市建设用地开发利用土壤环境联动监管工作方案的通知》（宜市环发〔2022〕19号）。</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技术文件</w:t>
      </w:r>
    </w:p>
    <w:p>
      <w:pPr>
        <w:widowControl w:val="0"/>
        <w:numPr>
          <w:ilvl w:val="0"/>
          <w:numId w:val="4"/>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《全国土壤污染状况评价技术规定》（环发〔2008〕39号）；</w:t>
      </w:r>
    </w:p>
    <w:p>
      <w:pPr>
        <w:widowControl w:val="0"/>
        <w:numPr>
          <w:ilvl w:val="0"/>
          <w:numId w:val="4"/>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《建设用地土壤污染状况调查技术导则》（HJ 25.1-2019）；</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其他相关文件</w:t>
      </w:r>
    </w:p>
    <w:p>
      <w:pPr>
        <w:widowControl w:val="0"/>
        <w:numPr>
          <w:ilvl w:val="0"/>
          <w:numId w:val="5"/>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《湖北省宜昌市建造构造图H49C002003》（1</w:t>
      </w:r>
      <w:r>
        <w:rPr>
          <w:rFonts w:hint="eastAsia" w:cs="Times New Roman"/>
          <w:kern w:val="2"/>
          <w:sz w:val="24"/>
          <w:szCs w:val="24"/>
          <w:lang w:val="en-US" w:eastAsia="zh-CN" w:bidi="ar-SA"/>
        </w:rPr>
        <w:t>：</w:t>
      </w:r>
      <w:r>
        <w:rPr>
          <w:rFonts w:ascii="Times New Roman" w:hAnsi="Times New Roman" w:eastAsia="宋体" w:cs="Times New Roman"/>
          <w:kern w:val="2"/>
          <w:sz w:val="24"/>
          <w:szCs w:val="24"/>
          <w:lang w:val="en-US" w:eastAsia="zh-CN" w:bidi="ar-SA"/>
        </w:rPr>
        <w:t>25万）；</w:t>
      </w:r>
    </w:p>
    <w:p>
      <w:pPr>
        <w:widowControl w:val="0"/>
        <w:numPr>
          <w:ilvl w:val="0"/>
          <w:numId w:val="5"/>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hint="eastAsia" w:cs="Times New Roman"/>
          <w:color w:val="auto"/>
          <w:sz w:val="24"/>
          <w:szCs w:val="24"/>
        </w:rPr>
        <w:t>《宜昌市B-WJ1302</w:t>
      </w:r>
      <w:r>
        <w:rPr>
          <w:rFonts w:hint="eastAsia" w:cs="Times New Roman"/>
          <w:color w:val="auto"/>
          <w:sz w:val="24"/>
          <w:szCs w:val="24"/>
          <w:lang w:val="en-US" w:eastAsia="zh-CN"/>
        </w:rPr>
        <w:t>管理单元局部用地</w:t>
      </w:r>
      <w:r>
        <w:rPr>
          <w:rFonts w:hint="eastAsia" w:cs="Times New Roman"/>
          <w:color w:val="auto"/>
          <w:sz w:val="24"/>
          <w:szCs w:val="24"/>
          <w:lang w:eastAsia="zh-CN"/>
        </w:rPr>
        <w:t>（</w:t>
      </w:r>
      <w:r>
        <w:rPr>
          <w:rFonts w:hint="eastAsia" w:cs="Times New Roman"/>
          <w:color w:val="auto"/>
          <w:sz w:val="24"/>
          <w:szCs w:val="24"/>
          <w:lang w:val="en-US" w:eastAsia="zh-CN"/>
        </w:rPr>
        <w:t>峡州大道合益路交汇处地块</w:t>
      </w:r>
      <w:r>
        <w:rPr>
          <w:rFonts w:hint="eastAsia" w:cs="Times New Roman"/>
          <w:color w:val="auto"/>
          <w:sz w:val="24"/>
          <w:szCs w:val="24"/>
          <w:lang w:eastAsia="zh-CN"/>
        </w:rPr>
        <w:t>）</w:t>
      </w:r>
      <w:r>
        <w:rPr>
          <w:rFonts w:hint="eastAsia" w:cs="Times New Roman"/>
          <w:color w:val="auto"/>
          <w:sz w:val="24"/>
          <w:szCs w:val="24"/>
        </w:rPr>
        <w:t>控制性详细规划调整论证报告》（2</w:t>
      </w:r>
      <w:r>
        <w:rPr>
          <w:rFonts w:cs="Times New Roman"/>
          <w:color w:val="auto"/>
          <w:sz w:val="24"/>
          <w:szCs w:val="24"/>
        </w:rPr>
        <w:t>0</w:t>
      </w:r>
      <w:r>
        <w:rPr>
          <w:rFonts w:hint="eastAsia" w:cs="Times New Roman"/>
          <w:color w:val="auto"/>
          <w:sz w:val="24"/>
          <w:szCs w:val="24"/>
          <w:lang w:val="en-US" w:eastAsia="zh-CN"/>
        </w:rPr>
        <w:t>23</w:t>
      </w:r>
      <w:r>
        <w:rPr>
          <w:rFonts w:hint="eastAsia" w:cs="Times New Roman"/>
          <w:color w:val="auto"/>
          <w:sz w:val="24"/>
          <w:szCs w:val="24"/>
        </w:rPr>
        <w:t>年）；</w:t>
      </w:r>
    </w:p>
    <w:p>
      <w:pPr>
        <w:widowControl w:val="0"/>
        <w:numPr>
          <w:ilvl w:val="0"/>
          <w:numId w:val="5"/>
        </w:numPr>
        <w:adjustRightInd w:val="0"/>
        <w:snapToGrid w:val="0"/>
        <w:spacing w:line="360" w:lineRule="auto"/>
        <w:ind w:left="0" w:firstLine="480" w:firstLineChars="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《省人民政府关于宜昌市夷陵区2017年度第52批次城市建设用地的批复》（鄂政土批（宜）〔20</w:t>
      </w:r>
      <w:r>
        <w:rPr>
          <w:rFonts w:hint="eastAsia" w:cs="Times New Roman"/>
          <w:kern w:val="2"/>
          <w:sz w:val="24"/>
          <w:szCs w:val="24"/>
          <w:lang w:val="en-US" w:eastAsia="zh-CN" w:bidi="ar-SA"/>
        </w:rPr>
        <w:t>18</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92</w:t>
      </w:r>
      <w:r>
        <w:rPr>
          <w:rFonts w:hint="eastAsia" w:ascii="Times New Roman" w:hAnsi="Times New Roman" w:eastAsia="宋体" w:cs="Times New Roman"/>
          <w:kern w:val="2"/>
          <w:sz w:val="24"/>
          <w:szCs w:val="24"/>
          <w:lang w:val="en-US" w:eastAsia="zh-CN" w:bidi="ar-SA"/>
        </w:rPr>
        <w:t>号）；</w:t>
      </w:r>
    </w:p>
    <w:p>
      <w:pPr>
        <w:widowControl w:val="0"/>
        <w:numPr>
          <w:ilvl w:val="0"/>
          <w:numId w:val="5"/>
        </w:numPr>
        <w:adjustRightInd w:val="0"/>
        <w:snapToGrid w:val="0"/>
        <w:spacing w:line="360" w:lineRule="auto"/>
        <w:ind w:left="0" w:leftChars="0" w:firstLine="480" w:firstLineChars="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《省人民政府关于宜昌市夷陵区2017年度第5</w:t>
      </w:r>
      <w:r>
        <w:rPr>
          <w:rFonts w:hint="eastAsia" w:cs="Times New Roman"/>
          <w:kern w:val="2"/>
          <w:sz w:val="24"/>
          <w:szCs w:val="24"/>
          <w:lang w:val="en-US" w:eastAsia="zh-CN" w:bidi="ar-SA"/>
        </w:rPr>
        <w:t>3</w:t>
      </w:r>
      <w:r>
        <w:rPr>
          <w:rFonts w:hint="eastAsia" w:ascii="Times New Roman" w:hAnsi="Times New Roman" w:eastAsia="宋体" w:cs="Times New Roman"/>
          <w:kern w:val="2"/>
          <w:sz w:val="24"/>
          <w:szCs w:val="24"/>
          <w:lang w:val="en-US" w:eastAsia="zh-CN" w:bidi="ar-SA"/>
        </w:rPr>
        <w:t>批次城市建设用地的批复》（鄂政土批（宜）〔20</w:t>
      </w:r>
      <w:r>
        <w:rPr>
          <w:rFonts w:hint="eastAsia" w:cs="Times New Roman"/>
          <w:kern w:val="2"/>
          <w:sz w:val="24"/>
          <w:szCs w:val="24"/>
          <w:lang w:val="en-US" w:eastAsia="zh-CN" w:bidi="ar-SA"/>
        </w:rPr>
        <w:t>17</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1753</w:t>
      </w:r>
      <w:r>
        <w:rPr>
          <w:rFonts w:hint="eastAsia" w:ascii="Times New Roman" w:hAnsi="Times New Roman" w:eastAsia="宋体" w:cs="Times New Roman"/>
          <w:kern w:val="2"/>
          <w:sz w:val="24"/>
          <w:szCs w:val="24"/>
          <w:lang w:val="en-US" w:eastAsia="zh-CN" w:bidi="ar-SA"/>
        </w:rPr>
        <w:t>号）；</w:t>
      </w:r>
    </w:p>
    <w:p>
      <w:pPr>
        <w:widowControl w:val="0"/>
        <w:numPr>
          <w:ilvl w:val="0"/>
          <w:numId w:val="5"/>
        </w:numPr>
        <w:adjustRightInd w:val="0"/>
        <w:snapToGrid w:val="0"/>
        <w:spacing w:line="360" w:lineRule="auto"/>
        <w:ind w:left="0" w:leftChars="0" w:firstLine="480" w:firstLineChars="0"/>
        <w:jc w:val="both"/>
        <w:rPr>
          <w:rFonts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人员访谈记录表；</w:t>
      </w:r>
    </w:p>
    <w:p>
      <w:pPr>
        <w:widowControl w:val="0"/>
        <w:numPr>
          <w:ilvl w:val="0"/>
          <w:numId w:val="5"/>
        </w:numPr>
        <w:adjustRightInd w:val="0"/>
        <w:snapToGrid w:val="0"/>
        <w:spacing w:line="360" w:lineRule="auto"/>
        <w:ind w:left="0" w:leftChars="0" w:firstLine="480" w:firstLineChars="0"/>
        <w:jc w:val="both"/>
        <w:rPr>
          <w:rFonts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其他现场调查相关资料</w:t>
      </w:r>
      <w:r>
        <w:rPr>
          <w:rFonts w:ascii="Times New Roman" w:hAnsi="Times New Roman" w:eastAsia="宋体" w:cs="Times New Roman"/>
          <w:kern w:val="2"/>
          <w:sz w:val="24"/>
          <w:szCs w:val="24"/>
          <w:lang w:val="en-US" w:eastAsia="zh-CN" w:bidi="ar-SA"/>
        </w:rPr>
        <w:t>。</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8" w:name="_Toc755"/>
      <w:r>
        <w:rPr>
          <w:rFonts w:hint="eastAsia" w:ascii="Times New Roman" w:hAnsi="Times New Roman" w:eastAsia="宋体" w:cs="Times New Roman"/>
          <w:b/>
          <w:bCs/>
          <w:sz w:val="28"/>
          <w:szCs w:val="32"/>
          <w:lang w:val="en-US" w:eastAsia="zh-CN" w:bidi="ar-SA"/>
        </w:rPr>
        <w:t>调查方法</w:t>
      </w:r>
      <w:bookmarkEnd w:id="8"/>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cs="Times New Roman"/>
          <w:b/>
          <w:bCs/>
          <w:sz w:val="24"/>
          <w:szCs w:val="24"/>
          <w:lang w:val="en-US" w:eastAsia="zh-CN" w:bidi="ar-SA"/>
        </w:rPr>
        <w:t>调查技术路线</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sz w:val="24"/>
          <w:szCs w:val="24"/>
        </w:rPr>
        <w:t>本次调查主要按照《建设用地土壤污染状况调查技术导则》（HJ25.1-2019）和《建设用地土壤污染风险管控和修复监测技术导则》（HJ25.2-2019）的要求进行，主要调查方法和工作内容如下。</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通过资料收集分析、现场踏勘和人员访谈，了解场地背景、历史使用情况、未来规划、周边环境信息（包括地形地貌、水文地质等），排查疑似污染源，当调查地块与相邻地块存在相互污染的可能时，须调查相邻地块的相关记录和资料。初步调查表明，土壤中污染物含量未超过国家或地方有关建设用地土壤污染风险管控标准（筛选值）的，则对人体健康的风险可以忽略（即低于可接受水平），无需开展后续详细调查和风险评估；超过国家或地方有关建设用地土壤污染风险管控标准（筛选值）的，则对人体健康可能存在风险（即可能超过可接受水平），应当开展进一步的详细调查和风险评估。初步调查无法确定是否超过国家或地方有关建设用地土壤污染风险管控标准（筛选值）的，则应当补充调查，收集信息，进一步进行判别。</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根据《建设用地土壤污染状况调查技术导则》（HJ 25.1-2019）和《工业企业场地环境调查评估与修复工作指南（试行）》规定，土壤污染状况调查主要可分为第一阶段土壤污染状况调查（污染识别）、第二阶段土壤污染状况调查（现场采样）、第三阶段土壤污染状况调查（补充调查）三个阶段。本次土壤污染状况初步调查主要完成导则中第一阶段（污染识别）。按照规范格式编制初步调查报告，汇总本阶段所有工作内容，针对调查过程与结果进行分析、总结和评价，最后提出结论与建议。</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sz w:val="24"/>
          <w:szCs w:val="24"/>
        </w:rPr>
        <w:t>本次调查的技术路线如</w:t>
      </w:r>
      <w:r>
        <w:rPr>
          <w:rFonts w:hint="eastAsia" w:cs="Times New Roman"/>
          <w:sz w:val="24"/>
          <w:szCs w:val="24"/>
          <w:lang w:val="en-US" w:eastAsia="zh-CN"/>
        </w:rPr>
        <w:t>下</w:t>
      </w:r>
      <w:r>
        <w:rPr>
          <w:rFonts w:hint="eastAsia" w:cs="Times New Roman"/>
          <w:sz w:val="24"/>
          <w:szCs w:val="24"/>
        </w:rPr>
        <w:t>图所示。</w:t>
      </w:r>
    </w:p>
    <w:p>
      <w:pPr>
        <w:widowControl w:val="0"/>
        <w:adjustRightInd w:val="0"/>
        <w:snapToGrid w:val="0"/>
        <w:spacing w:line="360" w:lineRule="auto"/>
        <w:jc w:val="center"/>
      </w:pPr>
      <w:r>
        <mc:AlternateContent>
          <mc:Choice Requires="wps">
            <w:drawing>
              <wp:anchor distT="0" distB="0" distL="114300" distR="114300" simplePos="0" relativeHeight="251711488" behindDoc="0" locked="0" layoutInCell="1" allowOverlap="1">
                <wp:simplePos x="0" y="0"/>
                <wp:positionH relativeFrom="column">
                  <wp:posOffset>1009650</wp:posOffset>
                </wp:positionH>
                <wp:positionV relativeFrom="paragraph">
                  <wp:posOffset>328930</wp:posOffset>
                </wp:positionV>
                <wp:extent cx="3886200" cy="5838825"/>
                <wp:effectExtent l="9525" t="9525" r="9525" b="19050"/>
                <wp:wrapNone/>
                <wp:docPr id="71" name="任意多边形 71"/>
                <wp:cNvGraphicFramePr/>
                <a:graphic xmlns:a="http://schemas.openxmlformats.org/drawingml/2006/main">
                  <a:graphicData uri="http://schemas.microsoft.com/office/word/2010/wordprocessingShape">
                    <wps:wsp>
                      <wps:cNvSpPr/>
                      <wps:spPr>
                        <a:xfrm>
                          <a:off x="0" y="0"/>
                          <a:ext cx="3886200" cy="5838825"/>
                        </a:xfrm>
                        <a:custGeom>
                          <a:avLst/>
                          <a:gdLst>
                            <a:gd name="connsiteX0" fmla="*/ 0 w 3886200"/>
                            <a:gd name="connsiteY0" fmla="*/ 0 h 5838825"/>
                            <a:gd name="connsiteX1" fmla="*/ 9525 w 3886200"/>
                            <a:gd name="connsiteY1" fmla="*/ 1362075 h 5838825"/>
                            <a:gd name="connsiteX2" fmla="*/ 3505200 w 3886200"/>
                            <a:gd name="connsiteY2" fmla="*/ 1438275 h 5838825"/>
                            <a:gd name="connsiteX3" fmla="*/ 3505200 w 3886200"/>
                            <a:gd name="connsiteY3" fmla="*/ 5133975 h 5838825"/>
                            <a:gd name="connsiteX4" fmla="*/ 57150 w 3886200"/>
                            <a:gd name="connsiteY4" fmla="*/ 5124450 h 5838825"/>
                            <a:gd name="connsiteX5" fmla="*/ 47625 w 3886200"/>
                            <a:gd name="connsiteY5" fmla="*/ 5810250 h 5838825"/>
                            <a:gd name="connsiteX6" fmla="*/ 3857625 w 3886200"/>
                            <a:gd name="connsiteY6" fmla="*/ 5838825 h 5838825"/>
                            <a:gd name="connsiteX7" fmla="*/ 3886200 w 3886200"/>
                            <a:gd name="connsiteY7" fmla="*/ 9525 h 5838825"/>
                            <a:gd name="connsiteX8" fmla="*/ 0 w 3886200"/>
                            <a:gd name="connsiteY8" fmla="*/ 0 h 5838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86200" h="5838825">
                              <a:moveTo>
                                <a:pt x="0" y="0"/>
                              </a:moveTo>
                              <a:lnTo>
                                <a:pt x="9525" y="1362075"/>
                              </a:lnTo>
                              <a:lnTo>
                                <a:pt x="3505200" y="1438275"/>
                              </a:lnTo>
                              <a:lnTo>
                                <a:pt x="3505200" y="5133975"/>
                              </a:lnTo>
                              <a:lnTo>
                                <a:pt x="57150" y="5124450"/>
                              </a:lnTo>
                              <a:lnTo>
                                <a:pt x="47625" y="5810250"/>
                              </a:lnTo>
                              <a:lnTo>
                                <a:pt x="3857625" y="5838825"/>
                              </a:lnTo>
                              <a:lnTo>
                                <a:pt x="3886200" y="9525"/>
                              </a:lnTo>
                              <a:lnTo>
                                <a:pt x="0" y="0"/>
                              </a:lnTo>
                              <a:close/>
                            </a:path>
                          </a:pathLst>
                        </a:custGeom>
                        <a:noFill/>
                        <a:ln w="19050">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79.5pt;margin-top:25.9pt;height:459.75pt;width:306pt;z-index:251711488;v-text-anchor:middle;mso-width-relative:page;mso-height-relative:page;" filled="f" stroked="t" coordsize="3886200,5838825" o:gfxdata="UEsDBAoAAAAAAIdO4kAAAAAAAAAAAAAAAAAEAAAAZHJzL1BLAwQUAAAACACHTuJAHraBpdgAAAAK&#10;AQAADwAAAGRycy9kb3ducmV2LnhtbE2PwU7DMBBE70j8g7VIXBB1DISQEKcHBEJwgrbq2Y2XJCJe&#10;R7bTFr6e5QTHmR3NzquXRzeKPYY4eNKgFhkIpNbbgToNm/XT5R2ImAxZM3pCDV8YYdmcntSmsv5A&#10;77hfpU5wCcXKaOhTmiopY9ujM3HhJyS+ffjgTGIZOmmDOXC5G+VVlt1KZwbiD72Z8KHH9nM1Ow3P&#10;pnQvN3ZLcx5fQ7z4fpOPm07r8zOV3YNIeEx/Yfidz9Oh4U07P5ONYmSdl8ySNOSKEThQFIqNnYay&#10;UNcgm1r+R2h+AFBLAwQUAAAACACHTuJA97dUzSwEAADFDAAADgAAAGRycy9lMm9Eb2MueG1srVfN&#10;jus0FN4j8Q5WlkhMm7ZpO9V0rkYzKkIacUeai4Cl6zpNJMcOtvszrNmzZ4l4CXQFT8NFPAaf7aTj&#10;zkXTFNFFYsfnO8fn//Tqzb4SZMu1KZWcJ+lFPyFcMrUq5XqefP1u8fk0IcZSuaJCST5PnrhJ3lx/&#10;+snVrp7xgSqUWHFNwESa2a6eJ4W19azXM6zgFTUXquYSh7nSFbXY6nVvpekO3CvRG/T7495O6VWt&#10;FePG4OtdOEwajroLQ5XnJeN3im0qLm3gqrmgFiqZoqxNcu1vm+ec2bd5brglYp5AU+ufEIL10j17&#10;11d0tta0LkrWXIF2ucILnSpaSgg9sLqjlpKNLj9iVZVMK6Nye8FU1QuKeItAi7T/wjaPBa251wWm&#10;NvXB6Ob/Y8u+2j5oUq7mySRNiKQVPP7n+/d//fjTh19//vuP3z78/gvBCcy0q80M1I/1g252Bkun&#10;8z7XlXtDG7L3pn06mJbvLWH4OJxOx/B+QhjOsim2g8xx7T3D2cbYL7jyrOj23tjgmxVW3rKr5npM&#10;SWlKy78Ft7wScNdnPdInO9LKaHAvyL87Ji9IdAv47SPuMMeB+2U2yE4LiBHpEOpOMnJSzCASM8z6&#10;GYx0WlIMSkfD6aCLpOF/kRSDsnQ4vOwiaRRJyiZp1kGjI0g6GI0AOmm7LJIzmoy7+CiGZNO0P+gi&#10;ZxzJGU6zbpJiUBNqpzWaHEnyKXM6GmKQj9SThkOJP8R2B+cckx9xR/6u2wylRZu0bC+brMWKUNdZ&#10;+r481sq4EhGnMOpBu0WKhpIAlEv5E2DkWwz2VQr36QZGCsXgwVmSkRUxeHgWGKEeg0dngRG/Mbit&#10;od10RkjG4PFZkhFlMXhyFhgRFIOnMTi4rIkXjY7terXwvdomBL1a+169dBg6q6l1YdYuyS7qLcVz&#10;a3Hnldryd8pT2heNCTKfT4WMqVwG+ds2Jby5akvUvmvPsqnYgT4U4s70TTl9ld5XT889C0XxVWpf&#10;AwN1KG2vUjeVrKGPO3KrY/tudG1bODzpjRRytSVq34EYzRZkbT63Z0wowwPM+dG3/4NDXRxEI4BU&#10;i1II73MhnZvTy37mBgiKoTPHsIdlVWNwMXKdECrWmGaZ1b7MGCXKlYM75xu9Xt4KTbYUcbVY9PFr&#10;7HJEVmtj76gpAp0/cmQIFMwamoiymidTB27Rwtco7ofMUPh6bkYKU5FbLdXqCcOVVmHqNDVblBBy&#10;T419oBpzC7TBIG7f4pELBRURsH6VkELpH/7tu6PH9IfThOwwtkL97zdU84SILyXmwst0NAJb6zej&#10;bDLARscny/hEbqpbBaugkuJ2funorWiXuVbVN5jXb5xUHFHJIDsYutnc2jBOY+Jn/ObGk2G2hVvv&#10;5WPNHHNnRaluNlblpZvqvJ2CdZoNplsfDM0k7sbneO+pnv99XP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QYAAFtDb250ZW50X1R5cGVzXS54&#10;bWxQSwECFAAKAAAAAACHTuJAAAAAAAAAAAAAAAAABgAAAAAAAAAAABAAAAB/BQAAX3JlbHMvUEsB&#10;AhQAFAAAAAgAh07iQIoUZjzRAAAAlAEAAAsAAAAAAAAAAQAgAAAAowUAAF9yZWxzLy5yZWxzUEsB&#10;AhQACgAAAAAAh07iQAAAAAAAAAAAAAAAAAQAAAAAAAAAAAAQAAAAAAAAAGRycy9QSwECFAAUAAAA&#10;CACHTuJAHraBpdgAAAAKAQAADwAAAAAAAAABACAAAAAiAAAAZHJzL2Rvd25yZXYueG1sUEsBAhQA&#10;FAAAAAgAh07iQPe3VM0sBAAAxQwAAA4AAAAAAAAAAQAgAAAAJwEAAGRycy9lMm9Eb2MueG1sUEsF&#10;BgAAAAAGAAYAWQEAAMUHAAAAAA==&#10;" path="m0,0l9525,1362075,3505200,1438275,3505200,5133975,57150,5124450,47625,5810250,3857625,5838825,3886200,9525,0,0xe">
                <v:path o:connectlocs="0,0;9525,1362075;3505200,1438275;3505200,5133975;57150,5124450;47625,5810250;3857625,5838825;3886200,9525;0,0" o:connectangles="0,0,0,0,0,0,0,0,0"/>
                <v:fill on="f" focussize="0,0"/>
                <v:stroke weight="1.5pt" color="#FF0000 [3204]" miterlimit="8" joinstyle="miter"/>
                <v:imagedata o:title=""/>
                <o:lock v:ext="edit" aspectratio="f"/>
              </v:shape>
            </w:pict>
          </mc:Fallback>
        </mc:AlternateContent>
      </w:r>
      <w:r>
        <w:drawing>
          <wp:inline distT="0" distB="0" distL="0" distR="0">
            <wp:extent cx="4871085" cy="6167120"/>
            <wp:effectExtent l="0" t="0" r="5715" b="508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11"/>
                    <a:srcRect t="1008"/>
                    <a:stretch>
                      <a:fillRect/>
                    </a:stretch>
                  </pic:blipFill>
                  <pic:spPr>
                    <a:xfrm>
                      <a:off x="0" y="0"/>
                      <a:ext cx="4906800" cy="6211827"/>
                    </a:xfrm>
                    <a:prstGeom prst="rect">
                      <a:avLst/>
                    </a:prstGeom>
                    <a:ln>
                      <a:noFill/>
                    </a:ln>
                  </pic:spPr>
                </pic:pic>
              </a:graphicData>
            </a:graphic>
          </wp:inline>
        </w:drawing>
      </w:r>
    </w:p>
    <w:p>
      <w:pPr>
        <w:widowControl w:val="0"/>
        <w:adjustRightInd w:val="0"/>
        <w:snapToGrid w:val="0"/>
        <w:spacing w:line="360" w:lineRule="auto"/>
        <w:jc w:val="center"/>
        <w:rPr>
          <w:rFonts w:cs="Times New Roman"/>
          <w:b/>
          <w:bCs/>
          <w:sz w:val="21"/>
        </w:rPr>
      </w:pPr>
      <w:r>
        <w:rPr>
          <w:rFonts w:cs="Times New Roman"/>
          <w:b/>
          <w:bCs/>
          <w:sz w:val="21"/>
        </w:rPr>
        <w:t>图2.4-1  土壤污染状况调查的工作内容与程序</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sz w:val="24"/>
          <w:szCs w:val="24"/>
        </w:rPr>
        <w:t>第一阶段土壤污染状况调查是以资料收集、现场踏勘和人员访谈为主的污染识别阶段，原则上不进行现场采样分析。若第一阶段调查确认地块内及周围区域当前和历史上均无可能的污染源，则认为地块的环境状况可以接受，调查活动可以结束。</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cs="Times New Roman"/>
          <w:b/>
          <w:bCs/>
          <w:sz w:val="24"/>
          <w:szCs w:val="24"/>
          <w:lang w:val="en-US" w:eastAsia="zh-CN" w:bidi="ar-SA"/>
        </w:rPr>
        <w:t>调查方法</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调查按照《建设用地土壤污染状况调查技术导则》（HJ25.1-2019）第一阶段要求进行，主要是通过资料收集分析、现场踏勘和人员访谈，了解场地背景、历史使用情况、未来规划及周边环境信息。基于上述信息编制该地块土壤污染状况调查报告，明确地块内及周边区域历史和当前是否存在可能的污染源，是否可作为第一类用地进行开发利用，是需要开展下一步采样调查，并提出结论与建议。</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本阶段各阶段工作内容详细介绍如下：</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资料收集：结合场地实际情况，主要通过信息检索、部门走访、现场及周边区域走访等方式，收集场地及周边的自然环境状况、环境污染历史、地质、水文地质等信息。通过对工艺、原材料及储存和生产设施等相关资料的审核，再根据专业知识和经验判断资料的有效性，并分析场地可能涉及的有毒有害物质，以及这些物质的使用、存储区域。重点查阅场地利用变迁资料、场地环境资料、场地相关记录、有关政府文件以及场地所在区域的自然和社会信息。</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现场踏勘：现场踏勘的目的是通过对场地及其周边环境设施的现场调查，观察场地污染痕迹，核实资料收集的准确性，获取与场地污染有关的线索。仔细观察、辨别、记录场地及其周边重要环境状况及其疑似污染痕迹，识别和判断场地污染状况。</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（3）人员访谈：通过调查问卷、电话采访、现场走访等其他方式，对了解地块情况的场地所有者、使用者；周边</w:t>
      </w:r>
      <w:r>
        <w:rPr>
          <w:rFonts w:hint="eastAsia" w:cs="Times New Roman"/>
          <w:kern w:val="2"/>
          <w:sz w:val="24"/>
          <w:szCs w:val="24"/>
          <w:lang w:val="en-US" w:eastAsia="zh-CN" w:bidi="ar-SA"/>
        </w:rPr>
        <w:t>村庄</w:t>
      </w:r>
      <w:r>
        <w:rPr>
          <w:rFonts w:hint="eastAsia" w:ascii="Times New Roman" w:hAnsi="Times New Roman" w:eastAsia="宋体" w:cs="Times New Roman"/>
          <w:kern w:val="2"/>
          <w:sz w:val="24"/>
          <w:szCs w:val="24"/>
          <w:lang w:val="en-US" w:eastAsia="zh-CN" w:bidi="ar-SA"/>
        </w:rPr>
        <w:t>居民、</w:t>
      </w:r>
      <w:r>
        <w:rPr>
          <w:rFonts w:hint="eastAsia" w:cs="Times New Roman"/>
          <w:kern w:val="2"/>
          <w:sz w:val="24"/>
          <w:szCs w:val="24"/>
          <w:lang w:val="en-US" w:eastAsia="zh-CN" w:bidi="ar-SA"/>
        </w:rPr>
        <w:t>村委会</w:t>
      </w:r>
      <w:r>
        <w:rPr>
          <w:rFonts w:hint="eastAsia" w:ascii="Times New Roman" w:hAnsi="Times New Roman" w:eastAsia="宋体" w:cs="Times New Roman"/>
          <w:kern w:val="2"/>
          <w:sz w:val="24"/>
          <w:szCs w:val="24"/>
          <w:lang w:val="en-US" w:eastAsia="zh-CN" w:bidi="ar-SA"/>
        </w:rPr>
        <w:t>工作人员；当地环境保护主管部门以及相关政府管理部门人员进行人员访谈，进一步了解并核实地块的历史利用情况。对访谈内容进行整理，并对照已有资料，对其中可疑处和不完善处进行核实和补充，作为调查报告的附件。</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（4）</w:t>
      </w:r>
      <w:r>
        <w:rPr>
          <w:rFonts w:hint="eastAsia" w:ascii="Times New Roman" w:hAnsi="Times New Roman" w:eastAsia="宋体" w:cs="Times New Roman"/>
          <w:kern w:val="2"/>
          <w:sz w:val="24"/>
          <w:szCs w:val="24"/>
          <w:lang w:val="en-US" w:eastAsia="zh-CN" w:bidi="ar-SA"/>
        </w:rPr>
        <w:t>调查报告编制：根据调查结果，该地块内当前和历史上不存在潜在的污染源，相邻区域地块当前及历史对本地块影响较小，并进行不确定性分析，地块土壤环境状况可接受，符合用地规划要求，第一阶段调查可结束，不需要进行第二阶段调查，编制完成第一阶段调查报告。</w:t>
      </w:r>
    </w:p>
    <w:p>
      <w:pPr>
        <w:keepNext/>
        <w:keepLines/>
        <w:pageBreakBefore/>
        <w:numPr>
          <w:ilvl w:val="0"/>
          <w:numId w:val="1"/>
        </w:numPr>
        <w:adjustRightInd w:val="0"/>
        <w:snapToGrid w:val="0"/>
        <w:spacing w:before="156" w:beforeLines="50" w:after="156" w:afterLines="5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9" w:name="_Toc3953"/>
      <w:r>
        <w:rPr>
          <w:rFonts w:hint="eastAsia" w:ascii="Times New Roman" w:hAnsi="Times New Roman" w:eastAsia="宋体" w:cs="Times New Roman"/>
          <w:b/>
          <w:bCs/>
          <w:kern w:val="44"/>
          <w:sz w:val="30"/>
          <w:szCs w:val="44"/>
          <w:lang w:val="en-US" w:eastAsia="zh-CN" w:bidi="ar-SA"/>
        </w:rPr>
        <w:t>地块概况</w:t>
      </w:r>
      <w:bookmarkEnd w:id="9"/>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10" w:name="_Toc14971"/>
      <w:r>
        <w:rPr>
          <w:rFonts w:hint="eastAsia" w:ascii="Times New Roman" w:hAnsi="Times New Roman" w:eastAsia="宋体" w:cs="Times New Roman"/>
          <w:b/>
          <w:bCs/>
          <w:sz w:val="28"/>
          <w:szCs w:val="32"/>
          <w:lang w:val="en-US" w:eastAsia="zh-CN" w:bidi="ar-SA"/>
        </w:rPr>
        <w:t>区域环境概况</w:t>
      </w:r>
      <w:bookmarkEnd w:id="10"/>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地理位置</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宜昌高新技术产业开发区是宜昌市中心城区，位于湖北省西部，宜昌市主城区东部，长江左岸，辖区为长江岸边呈带状的滨水城市区。长江上中游在此分界，离西陵峡口约10公里，距三峡水利枢纽工程约38公里。东与猇亭区相连，南与点军区隔江相望，西与西陵区毗邻，北与夷陵区接壤。东西横距14公里，南北纵距最宽约9公里，最窄处约1公里。</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宜昌市高新区生物产业园</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武汉国家生物产业基地</w:t>
      </w:r>
      <w:r>
        <w:rPr>
          <w:rFonts w:hint="eastAsia" w:cs="Times New Roman"/>
          <w:kern w:val="2"/>
          <w:sz w:val="24"/>
          <w:szCs w:val="24"/>
          <w:lang w:val="en-US" w:eastAsia="zh-CN" w:bidi="ar-SA"/>
        </w:rPr>
        <w:t>宜昌</w:t>
      </w:r>
      <w:r>
        <w:rPr>
          <w:rFonts w:hint="eastAsia" w:ascii="Times New Roman" w:hAnsi="Times New Roman" w:eastAsia="宋体" w:cs="Times New Roman"/>
          <w:kern w:val="2"/>
          <w:sz w:val="24"/>
          <w:szCs w:val="24"/>
          <w:lang w:val="en-US" w:eastAsia="zh-CN" w:bidi="ar-SA"/>
        </w:rPr>
        <w:t>生物产业园</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是经湖北省发改委批准设立，位于伍家岗组团和龙泉组团结合部，规划范围由北至西分别由两河路、魏家畈路（现为桔乡路）、柏临河、荆宜铁路、花溪路、东山三路（桔乡路）以及东站路围合而成，规划总用地面积为 13.96 平方公里。园区区位独特，交通便利</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地处城郊伍家岗区与夷陵区结合部，毗邻城东生态新区、东站居住片区、三峡物流园区及宜吕火车货运站，3 万人规模的职教城位居园中，汉宜高速公路、宜万铁路、汉宜城际铁路均在规划区域边缘，城东大道、汉宜路、花溪路等均穿越园区，距宜吕火车客运站 1.5 公里，三峡国际机场 15 分钟车程，距长江深水港码头 4 公里，水陆空立体交通快速使捷</w:t>
      </w:r>
      <w:r>
        <w:rPr>
          <w:rFonts w:hint="eastAsia" w:cs="Times New Roman"/>
          <w:kern w:val="2"/>
          <w:sz w:val="24"/>
          <w:szCs w:val="24"/>
          <w:lang w:val="en-US" w:eastAsia="zh-CN" w:bidi="ar-SA"/>
        </w:rPr>
        <w:t>。</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高新区生物产业园</w:t>
      </w:r>
      <w:r>
        <w:rPr>
          <w:rFonts w:hint="eastAsia" w:ascii="Times New Roman" w:hAnsi="Times New Roman" w:eastAsia="宋体" w:cs="Times New Roman"/>
          <w:kern w:val="2"/>
          <w:sz w:val="24"/>
          <w:szCs w:val="24"/>
          <w:lang w:val="en-US" w:eastAsia="zh-CN" w:bidi="ar-SA"/>
        </w:rPr>
        <w:t>峡州大道与合益路交会处东侧地块（3号地块）中心经纬坐标为东经</w:t>
      </w:r>
      <w:r>
        <w:rPr>
          <w:rFonts w:hint="default" w:ascii="Times New Roman" w:hAnsi="Times New Roman" w:eastAsia="宋体" w:cs="Times New Roman"/>
          <w:kern w:val="2"/>
          <w:sz w:val="24"/>
          <w:szCs w:val="24"/>
          <w:lang w:val="en-US" w:eastAsia="zh-CN" w:bidi="ar-SA"/>
        </w:rPr>
        <w:t>111.3751</w:t>
      </w:r>
      <w:r>
        <w:rPr>
          <w:rFonts w:hint="eastAsia"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北纬30.68551</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总</w:t>
      </w:r>
      <w:r>
        <w:rPr>
          <w:rFonts w:hint="eastAsia" w:ascii="Times New Roman" w:hAnsi="Times New Roman" w:eastAsia="宋体" w:cs="Times New Roman"/>
          <w:kern w:val="2"/>
          <w:sz w:val="24"/>
          <w:szCs w:val="24"/>
          <w:lang w:val="en-US" w:eastAsia="zh-CN" w:bidi="ar-SA"/>
        </w:rPr>
        <w:t>面积为</w:t>
      </w:r>
      <w:r>
        <w:rPr>
          <w:rFonts w:hint="eastAsia" w:cs="Times New Roman"/>
          <w:kern w:val="2"/>
          <w:sz w:val="24"/>
          <w:szCs w:val="24"/>
          <w:lang w:val="en-US" w:eastAsia="zh-CN" w:bidi="ar-SA"/>
        </w:rPr>
        <w:t>77494.71m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（A区30617.74m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、B区46876.97m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本地块</w:t>
      </w:r>
      <w:r>
        <w:rPr>
          <w:rFonts w:hint="eastAsia" w:ascii="Times New Roman" w:hAnsi="Times New Roman" w:eastAsia="宋体" w:cs="Times New Roman"/>
          <w:kern w:val="2"/>
          <w:sz w:val="24"/>
          <w:szCs w:val="24"/>
          <w:lang w:val="en-US" w:eastAsia="zh-CN" w:bidi="ar-SA"/>
        </w:rPr>
        <w:t>北侧为山体，山体以北为</w:t>
      </w:r>
      <w:r>
        <w:rPr>
          <w:rFonts w:hint="eastAsia" w:cs="Times New Roman"/>
          <w:kern w:val="2"/>
          <w:sz w:val="24"/>
          <w:szCs w:val="24"/>
          <w:lang w:val="en-US" w:eastAsia="zh-CN" w:bidi="ar-SA"/>
        </w:rPr>
        <w:t>合益路</w:t>
      </w:r>
      <w:r>
        <w:rPr>
          <w:rFonts w:hint="eastAsia" w:ascii="Times New Roman" w:hAnsi="Times New Roman" w:eastAsia="宋体" w:cs="Times New Roman"/>
          <w:kern w:val="2"/>
          <w:sz w:val="24"/>
          <w:szCs w:val="24"/>
          <w:lang w:val="en-US" w:eastAsia="zh-CN" w:bidi="ar-SA"/>
        </w:rPr>
        <w:t>；东侧为</w:t>
      </w:r>
      <w:r>
        <w:rPr>
          <w:rFonts w:hint="eastAsia" w:cs="Times New Roman"/>
          <w:kern w:val="2"/>
          <w:sz w:val="24"/>
          <w:szCs w:val="24"/>
          <w:lang w:val="en-US" w:eastAsia="zh-CN" w:bidi="ar-SA"/>
        </w:rPr>
        <w:t>安琪健康食品产业园</w:t>
      </w:r>
      <w:r>
        <w:rPr>
          <w:rFonts w:hint="eastAsia" w:ascii="Times New Roman" w:hAnsi="Times New Roman" w:eastAsia="宋体" w:cs="Times New Roman"/>
          <w:kern w:val="2"/>
          <w:sz w:val="24"/>
          <w:szCs w:val="24"/>
          <w:lang w:val="en-US" w:eastAsia="zh-CN" w:bidi="ar-SA"/>
        </w:rPr>
        <w:t>；南侧紧临</w:t>
      </w:r>
      <w:r>
        <w:rPr>
          <w:rFonts w:hint="eastAsia" w:cs="Times New Roman"/>
          <w:kern w:val="2"/>
          <w:sz w:val="24"/>
          <w:szCs w:val="24"/>
          <w:lang w:val="en-US" w:eastAsia="zh-CN" w:bidi="ar-SA"/>
        </w:rPr>
        <w:t>宜昌市统领傢俬有限公司</w:t>
      </w:r>
      <w:r>
        <w:rPr>
          <w:rFonts w:hint="eastAsia" w:ascii="Times New Roman" w:hAnsi="Times New Roman" w:eastAsia="宋体" w:cs="Times New Roman"/>
          <w:kern w:val="2"/>
          <w:sz w:val="24"/>
          <w:szCs w:val="24"/>
          <w:lang w:val="en-US" w:eastAsia="zh-CN" w:bidi="ar-SA"/>
        </w:rPr>
        <w:t>；西侧为</w:t>
      </w:r>
      <w:r>
        <w:rPr>
          <w:rFonts w:hint="eastAsia" w:cs="Times New Roman"/>
          <w:kern w:val="2"/>
          <w:sz w:val="24"/>
          <w:szCs w:val="24"/>
          <w:lang w:val="en-US" w:eastAsia="zh-CN" w:bidi="ar-SA"/>
        </w:rPr>
        <w:t>山体，山体西侧为峡州大道</w:t>
      </w:r>
      <w:r>
        <w:rPr>
          <w:rFonts w:hint="eastAsia" w:ascii="Times New Roman" w:hAnsi="Times New Roman" w:eastAsia="宋体" w:cs="Times New Roman"/>
          <w:kern w:val="2"/>
          <w:sz w:val="24"/>
          <w:szCs w:val="24"/>
          <w:lang w:val="en-US" w:eastAsia="zh-CN" w:bidi="ar-SA"/>
        </w:rPr>
        <w:t>。</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地块地理位置详见附图</w:t>
      </w:r>
      <w:r>
        <w:rPr>
          <w:rFonts w:hint="eastAsia" w:cs="Times New Roman"/>
          <w:kern w:val="2"/>
          <w:sz w:val="24"/>
          <w:szCs w:val="24"/>
          <w:lang w:val="en-US" w:eastAsia="zh-CN" w:bidi="ar-SA"/>
        </w:rPr>
        <w:t>2</w:t>
      </w:r>
      <w:r>
        <w:rPr>
          <w:rFonts w:ascii="Times New Roman" w:hAnsi="Times New Roman" w:eastAsia="宋体" w:cs="Times New Roman"/>
          <w:kern w:val="2"/>
          <w:sz w:val="24"/>
          <w:szCs w:val="24"/>
          <w:lang w:val="en-US" w:eastAsia="zh-CN" w:bidi="ar-SA"/>
        </w:rPr>
        <w:t>。</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地形地貌</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宜昌市位于扬子江淮地台的西部，地质构造总的轮廓是：地域内中、北部为黄陵背斜，东边有当阳盆地，西边为秭归盆地，南边为长阳背斜、仁和坪向斜，西南边为五峰向斜，西北边为神农架背斜，北侧为台缘褶皱带。</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宜昌市地形比较复杂，高低相差悬殊，山区、丘陵、平原兼有，地势自西北向东南倾斜。西部山地占全市总面积的69%，主要分布在兴山、秭归、长阳、五峰县和夷陵区的西部，大部分山脉在海拔千米左右，不少山脉海拔高度在2000</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以上。兴山县仙女山海拔2427</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为全市最高峰。山区有许多峡谷，有的雄奇险峻，悬崖峭壁，高耸入云；有的幽深秀丽，曲折迂回。长江、清江、香溪河、黄柏河流域都有这种峡谷，举世闻名的长江三峡之一的西陵峡就是其中之一。中部丘陵处于山地与平原的过渡地带，由低山或坡度较缓、连绵不断的高阶地经长期风化、剥蚀和切割而成，海拔100</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～500</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，坡度5</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～25</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，占总面积的21%，分布在远安、宜都、夷陵的东部和当阳北部。东部平原位于江汉平原西缘，海拔在100</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以下，枝江的杨林湖海拔35</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，为全市的最低点。夷陵区的东部、当阳、远安、宜都等县（市、区）为丘陵，长江、与清江和与沮漳河交汇两侧的枝江、当阳、宜都等县（市）的部分区域为平原，占总面积的10%。</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高新技术产业开发园区处于中纬度，属于丘陵地带相间区域，园区北部及东南部有大面积山体，地势起伏较大，其他部分地形则较为平坦。一条运河由园区西北侧向南流经园区内部。东山运河在本地块西侧，距离约为720m。</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 xml:space="preserve">生物产业园区地处黄陵山地与江汉平原接壤的丘陵地带，处于山区型向平原型过渡地段，江面由狭窄而趋于开阔。境内地貌大致分为低山、丘陵、岗状平原三种类型。其中低山、丘陵约占 70%，一马路至伍家岗一带海拔 57-59 </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 xml:space="preserve">往东北为低山丘陵分布，海拔在100-200 </w:t>
      </w:r>
      <w:r>
        <w:rPr>
          <w:rFonts w:hint="eastAsia" w:cs="Times New Roman"/>
          <w:kern w:val="2"/>
          <w:sz w:val="24"/>
          <w:szCs w:val="24"/>
          <w:lang w:val="en-US" w:eastAsia="zh-CN" w:bidi="ar-SA"/>
        </w:rPr>
        <w:t>m</w:t>
      </w:r>
      <w:r>
        <w:rPr>
          <w:rFonts w:hint="eastAsia" w:ascii="Times New Roman" w:hAnsi="Times New Roman" w:eastAsia="宋体" w:cs="Times New Roman"/>
          <w:kern w:val="2"/>
          <w:sz w:val="24"/>
          <w:szCs w:val="24"/>
          <w:lang w:val="en-US" w:eastAsia="zh-CN" w:bidi="ar-SA"/>
        </w:rPr>
        <w:t>之间。</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cs="Times New Roman"/>
          <w:sz w:val="24"/>
          <w:szCs w:val="24"/>
        </w:rPr>
        <w:t>通过人员访谈了解到</w:t>
      </w:r>
      <w:r>
        <w:rPr>
          <w:rFonts w:hint="eastAsia" w:ascii="Times New Roman" w:hAnsi="Times New Roman" w:eastAsia="宋体" w:cs="Times New Roman"/>
          <w:kern w:val="2"/>
          <w:sz w:val="24"/>
          <w:szCs w:val="24"/>
          <w:lang w:val="en-US" w:eastAsia="zh-CN" w:bidi="ar-SA"/>
        </w:rPr>
        <w:t>峡州大道与合益路交会处东侧地块（3号地块）</w:t>
      </w:r>
      <w:r>
        <w:rPr>
          <w:rFonts w:cs="Times New Roman"/>
          <w:sz w:val="24"/>
          <w:szCs w:val="24"/>
        </w:rPr>
        <w:t>原始地貌</w:t>
      </w:r>
      <w:r>
        <w:rPr>
          <w:rFonts w:hint="eastAsia" w:cs="Times New Roman"/>
          <w:sz w:val="24"/>
          <w:szCs w:val="24"/>
        </w:rPr>
        <w:t>为</w:t>
      </w:r>
      <w:r>
        <w:rPr>
          <w:rFonts w:hint="eastAsia" w:cs="Times New Roman"/>
          <w:sz w:val="24"/>
          <w:szCs w:val="24"/>
          <w:lang w:val="en-US" w:eastAsia="zh-CN"/>
        </w:rPr>
        <w:t>丘陵</w:t>
      </w:r>
      <w:r>
        <w:rPr>
          <w:rFonts w:hint="eastAsia" w:cs="Times New Roman"/>
          <w:sz w:val="24"/>
          <w:szCs w:val="24"/>
          <w:lang w:eastAsia="zh-CN"/>
        </w:rPr>
        <w:t>。</w:t>
      </w:r>
      <w:r>
        <w:rPr>
          <w:rFonts w:hint="eastAsia" w:cs="Times New Roman"/>
          <w:sz w:val="24"/>
          <w:szCs w:val="24"/>
        </w:rPr>
        <w:t>根据现场踏勘，地块现状为</w:t>
      </w:r>
      <w:r>
        <w:rPr>
          <w:rFonts w:hint="eastAsia" w:cs="Times New Roman"/>
          <w:kern w:val="2"/>
          <w:sz w:val="24"/>
          <w:szCs w:val="24"/>
          <w:lang w:val="en-US" w:eastAsia="zh-CN" w:bidi="ar-SA"/>
        </w:rPr>
        <w:t>宜兴铁路ZQ-1标段1号</w:t>
      </w:r>
      <w:r>
        <w:rPr>
          <w:rFonts w:hint="eastAsia" w:cs="Times New Roman"/>
          <w:sz w:val="24"/>
          <w:szCs w:val="24"/>
          <w:lang w:val="en-US" w:eastAsia="zh-CN"/>
        </w:rPr>
        <w:t>拌和站</w:t>
      </w:r>
      <w:r>
        <w:rPr>
          <w:rFonts w:hint="eastAsia" w:cs="Times New Roman"/>
          <w:sz w:val="24"/>
          <w:szCs w:val="24"/>
        </w:rPr>
        <w:t>，</w:t>
      </w:r>
      <w:r>
        <w:rPr>
          <w:rFonts w:hint="eastAsia" w:cs="Times New Roman"/>
          <w:sz w:val="24"/>
          <w:szCs w:val="24"/>
          <w:lang w:val="en-US" w:eastAsia="zh-CN"/>
        </w:rPr>
        <w:t>已做场地平整</w:t>
      </w:r>
      <w:r>
        <w:rPr>
          <w:rFonts w:hint="eastAsia" w:cs="Times New Roman"/>
          <w:sz w:val="24"/>
          <w:szCs w:val="24"/>
        </w:rPr>
        <w:t>。</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bookmarkStart w:id="11" w:name="_Toc497079708"/>
      <w:r>
        <w:rPr>
          <w:rFonts w:ascii="Times New Roman" w:hAnsi="Times New Roman" w:eastAsia="宋体" w:cs="Times New Roman"/>
          <w:b/>
          <w:bCs/>
          <w:sz w:val="24"/>
          <w:szCs w:val="24"/>
          <w:lang w:val="en-US" w:eastAsia="zh-CN" w:bidi="ar-SA"/>
        </w:rPr>
        <w:t>气候气象</w:t>
      </w:r>
      <w:bookmarkEnd w:id="11"/>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宜昌位于中亚热带与北亚热带的过渡地带，属亚热带季风性湿润气候。有四季分明，水热同季，寒旱同季的气候特征。多年平均降水量1215.6毫米。平均气温16.9摄氏度，极端最高温度41.4摄氏度（7月），极端最低温度零下9.8摄氏度(元月)。年平均大于10度的活动积温5200摄氏度以上，持续天数达250天。无霜期250～300天，年平均辐射量100.7千卡每平方厘米，年平均日照时数1538～1883小时，日照率40%。</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高新开发区所在区域地处中纬度，属亚热带季风气候区。气候温和，雨量丰沛，日照充足，四季分明，雨热同季。近5年平均气温为17.4℃，极端最低气温为-3.8℃，极端最高气温为40.8℃，年平均相对湿度75.9%，年平均气压1007.5hPa，平均年降水量1355mm，年平均风速为1.47m/s。该地区近5年年静风频率较高，达23.7%，主要影响风向为ESE、SE，两方位风向频率均为8%。</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bookmarkStart w:id="12" w:name="_Toc497079709"/>
      <w:r>
        <w:rPr>
          <w:rFonts w:ascii="Times New Roman" w:hAnsi="Times New Roman" w:eastAsia="宋体" w:cs="Times New Roman"/>
          <w:b/>
          <w:bCs/>
          <w:sz w:val="24"/>
          <w:szCs w:val="24"/>
          <w:lang w:val="en-US" w:eastAsia="zh-CN" w:bidi="ar-SA"/>
        </w:rPr>
        <w:t>水文水系</w:t>
      </w:r>
      <w:bookmarkEnd w:id="12"/>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该项目建设区域的主要地表水为长江、</w:t>
      </w:r>
      <w:r>
        <w:rPr>
          <w:rFonts w:hint="eastAsia" w:ascii="Times New Roman" w:hAnsi="Times New Roman" w:eastAsia="宋体" w:cs="Times New Roman"/>
          <w:kern w:val="2"/>
          <w:sz w:val="24"/>
          <w:szCs w:val="24"/>
          <w:lang w:val="en-US" w:eastAsia="zh-CN" w:bidi="ar-SA"/>
        </w:rPr>
        <w:t>柏临河</w:t>
      </w:r>
      <w:r>
        <w:rPr>
          <w:rFonts w:hint="eastAsia" w:cs="Times New Roman"/>
          <w:kern w:val="2"/>
          <w:sz w:val="24"/>
          <w:szCs w:val="24"/>
          <w:lang w:val="en-US" w:eastAsia="zh-CN" w:bidi="ar-SA"/>
        </w:rPr>
        <w:t>、柏林河支流牌坊河</w:t>
      </w:r>
      <w:r>
        <w:rPr>
          <w:rFonts w:ascii="Times New Roman" w:hAnsi="Times New Roman" w:eastAsia="宋体" w:cs="Times New Roman"/>
          <w:kern w:val="2"/>
          <w:sz w:val="24"/>
          <w:szCs w:val="24"/>
          <w:lang w:val="en-US" w:eastAsia="zh-CN" w:bidi="ar-SA"/>
        </w:rPr>
        <w:t>。</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长江宜昌段水量丰富，多年平均流量14300m</w:t>
      </w:r>
      <w:r>
        <w:rPr>
          <w:rFonts w:ascii="Times New Roman" w:hAnsi="Times New Roman" w:eastAsia="宋体" w:cs="Times New Roman"/>
          <w:kern w:val="2"/>
          <w:sz w:val="24"/>
          <w:szCs w:val="24"/>
          <w:vertAlign w:val="superscript"/>
          <w:lang w:val="en-US" w:eastAsia="zh-CN" w:bidi="ar-SA"/>
        </w:rPr>
        <w:t>3</w:t>
      </w:r>
      <w:r>
        <w:rPr>
          <w:rFonts w:ascii="Times New Roman" w:hAnsi="Times New Roman" w:eastAsia="宋体" w:cs="Times New Roman"/>
          <w:kern w:val="2"/>
          <w:sz w:val="24"/>
          <w:szCs w:val="24"/>
          <w:lang w:val="en-US" w:eastAsia="zh-CN" w:bidi="ar-SA"/>
        </w:rPr>
        <w:t>/s，丰水期最大流量70800m</w:t>
      </w:r>
      <w:r>
        <w:rPr>
          <w:rFonts w:ascii="Times New Roman" w:hAnsi="Times New Roman" w:eastAsia="宋体" w:cs="Times New Roman"/>
          <w:kern w:val="2"/>
          <w:sz w:val="24"/>
          <w:szCs w:val="24"/>
          <w:vertAlign w:val="superscript"/>
          <w:lang w:val="en-US" w:eastAsia="zh-CN" w:bidi="ar-SA"/>
        </w:rPr>
        <w:t>3</w:t>
      </w:r>
      <w:r>
        <w:rPr>
          <w:rFonts w:ascii="Times New Roman" w:hAnsi="Times New Roman" w:eastAsia="宋体" w:cs="Times New Roman"/>
          <w:kern w:val="2"/>
          <w:sz w:val="24"/>
          <w:szCs w:val="24"/>
          <w:lang w:val="en-US" w:eastAsia="zh-CN" w:bidi="ar-SA"/>
        </w:rPr>
        <w:t>/s，枯水期最小流量3300m</w:t>
      </w:r>
      <w:r>
        <w:rPr>
          <w:rFonts w:ascii="Times New Roman" w:hAnsi="Times New Roman" w:eastAsia="宋体" w:cs="Times New Roman"/>
          <w:kern w:val="2"/>
          <w:sz w:val="24"/>
          <w:szCs w:val="24"/>
          <w:vertAlign w:val="superscript"/>
          <w:lang w:val="en-US" w:eastAsia="zh-CN" w:bidi="ar-SA"/>
        </w:rPr>
        <w:t>3</w:t>
      </w:r>
      <w:r>
        <w:rPr>
          <w:rFonts w:ascii="Times New Roman" w:hAnsi="Times New Roman" w:eastAsia="宋体" w:cs="Times New Roman"/>
          <w:kern w:val="2"/>
          <w:sz w:val="24"/>
          <w:szCs w:val="24"/>
          <w:lang w:val="en-US" w:eastAsia="zh-CN" w:bidi="ar-SA"/>
        </w:rPr>
        <w:t>/s；年平均径流量4529亿m</w:t>
      </w:r>
      <w:r>
        <w:rPr>
          <w:rFonts w:ascii="Times New Roman" w:hAnsi="Times New Roman" w:eastAsia="宋体" w:cs="Times New Roman"/>
          <w:kern w:val="2"/>
          <w:sz w:val="24"/>
          <w:szCs w:val="24"/>
          <w:vertAlign w:val="superscript"/>
          <w:lang w:val="en-US" w:eastAsia="zh-CN" w:bidi="ar-SA"/>
        </w:rPr>
        <w:t>3</w:t>
      </w:r>
      <w:r>
        <w:rPr>
          <w:rFonts w:ascii="Times New Roman" w:hAnsi="Times New Roman" w:eastAsia="宋体" w:cs="Times New Roman"/>
          <w:kern w:val="2"/>
          <w:sz w:val="24"/>
          <w:szCs w:val="24"/>
          <w:lang w:val="en-US" w:eastAsia="zh-CN" w:bidi="ar-SA"/>
        </w:rPr>
        <w:t>，多年平均水位44.28m；平均含砂量1.197kg/m</w:t>
      </w:r>
      <w:r>
        <w:rPr>
          <w:rFonts w:ascii="Times New Roman" w:hAnsi="Times New Roman" w:eastAsia="宋体" w:cs="Times New Roman"/>
          <w:kern w:val="2"/>
          <w:sz w:val="24"/>
          <w:szCs w:val="24"/>
          <w:vertAlign w:val="superscript"/>
          <w:lang w:val="en-US" w:eastAsia="zh-CN" w:bidi="ar-SA"/>
        </w:rPr>
        <w:t>3</w:t>
      </w:r>
      <w:r>
        <w:rPr>
          <w:rFonts w:ascii="Times New Roman" w:hAnsi="Times New Roman" w:eastAsia="宋体" w:cs="Times New Roman"/>
          <w:kern w:val="2"/>
          <w:sz w:val="24"/>
          <w:szCs w:val="24"/>
          <w:lang w:val="en-US" w:eastAsia="zh-CN" w:bidi="ar-SA"/>
        </w:rPr>
        <w:t>；年均输砂量5.26亿吨。</w:t>
      </w:r>
      <w:r>
        <w:rPr>
          <w:rFonts w:hint="eastAsia" w:ascii="Times New Roman" w:hAnsi="Times New Roman" w:eastAsia="宋体" w:cs="Times New Roman"/>
          <w:kern w:val="2"/>
          <w:sz w:val="24"/>
          <w:szCs w:val="24"/>
          <w:lang w:val="en-US" w:eastAsia="zh-CN" w:bidi="ar-SA"/>
        </w:rPr>
        <w:t>三峡工程兴建后，宜昌站多年平均流量将有所变化，但有关文献报道，正常水库调度运行方式下，水位变化幅度不大，且均在天然平均流量变化范围之内。</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柏临河（宜昌城区段又称临江溪），发源于夷陵区官庄村红崖头，由数条山间小溪汇集而成，流经官庄、水府庙、土门进入宜昌市城区，于洋坝处流入长江，全长 58.8km，宜昌市城区流程 7.3km，城区段坡降 2.5‰，流域面积 460.8km</w:t>
      </w:r>
      <w:r>
        <w:rPr>
          <w:rFonts w:hint="eastAsia" w:ascii="Times New Roman" w:hAnsi="Times New Roman" w:eastAsia="宋体" w:cs="Times New Roman"/>
          <w:kern w:val="2"/>
          <w:sz w:val="24"/>
          <w:szCs w:val="24"/>
          <w:vertAlign w:val="superscript"/>
          <w:lang w:val="en-US" w:eastAsia="zh-CN" w:bidi="ar-SA"/>
        </w:rPr>
        <w:t>2</w:t>
      </w:r>
      <w:r>
        <w:rPr>
          <w:rFonts w:hint="eastAsia" w:ascii="Times New Roman" w:hAnsi="Times New Roman" w:eastAsia="宋体" w:cs="Times New Roman"/>
          <w:kern w:val="2"/>
          <w:sz w:val="24"/>
          <w:szCs w:val="24"/>
          <w:lang w:val="en-US" w:eastAsia="zh-CN" w:bidi="ar-SA"/>
        </w:rPr>
        <w:t>。该河流为山丘季节性河流，洪水期最大流量 1198m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/s，枯水期平均流量 0.684m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/s，年平均流量 1.34m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/s，年径流总量为 4.23×10</w:t>
      </w:r>
      <w:r>
        <w:rPr>
          <w:rFonts w:hint="eastAsia" w:ascii="Times New Roman" w:hAnsi="Times New Roman" w:eastAsia="宋体" w:cs="Times New Roman"/>
          <w:kern w:val="2"/>
          <w:sz w:val="24"/>
          <w:szCs w:val="24"/>
          <w:vertAlign w:val="superscript"/>
          <w:lang w:val="en-US" w:eastAsia="zh-CN" w:bidi="ar-SA"/>
        </w:rPr>
        <w:t>8</w:t>
      </w:r>
      <w:r>
        <w:rPr>
          <w:rFonts w:hint="eastAsia" w:ascii="Times New Roman" w:hAnsi="Times New Roman" w:eastAsia="宋体" w:cs="Times New Roman"/>
          <w:kern w:val="2"/>
          <w:sz w:val="24"/>
          <w:szCs w:val="24"/>
          <w:lang w:val="en-US" w:eastAsia="zh-CN" w:bidi="ar-SA"/>
        </w:rPr>
        <w:t>m</w:t>
      </w:r>
      <w:r>
        <w:rPr>
          <w:rFonts w:hint="eastAsia" w:ascii="Times New Roman" w:hAnsi="Times New Roman" w:eastAsia="宋体" w:cs="Times New Roman"/>
          <w:kern w:val="2"/>
          <w:sz w:val="24"/>
          <w:szCs w:val="24"/>
          <w:vertAlign w:val="superscript"/>
          <w:lang w:val="en-US" w:eastAsia="zh-CN" w:bidi="ar-SA"/>
        </w:rPr>
        <w:t>3</w:t>
      </w:r>
      <w:r>
        <w:rPr>
          <w:rFonts w:hint="eastAsia" w:ascii="Times New Roman" w:hAnsi="Times New Roman" w:eastAsia="宋体" w:cs="Times New Roman"/>
          <w:kern w:val="2"/>
          <w:sz w:val="24"/>
          <w:szCs w:val="24"/>
          <w:lang w:val="en-US" w:eastAsia="zh-CN" w:bidi="ar-SA"/>
        </w:rPr>
        <w:t>。</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地质</w:t>
      </w:r>
      <w:r>
        <w:rPr>
          <w:rFonts w:hint="eastAsia" w:cs="Times New Roman"/>
          <w:b/>
          <w:bCs/>
          <w:sz w:val="24"/>
          <w:szCs w:val="24"/>
          <w:lang w:val="en-US" w:eastAsia="zh-CN" w:bidi="ar-SA"/>
        </w:rPr>
        <w:t>地震</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宜昌市城区没有构造断裂带，周围区域主要构造断裂带雾渡河断裂带、仙女山断裂带、天阳坪断裂带和九湾溪断裂带等(均为微活动或不活动断裂)从不同方向所围限，形成一个稳定的"安全岛”。离宜昌市城区较近的地震带有远安--钟样地震带、</w:t>
      </w:r>
      <w:r>
        <w:rPr>
          <w:rFonts w:hint="eastAsia" w:cs="Times New Roman"/>
          <w:kern w:val="2"/>
          <w:sz w:val="24"/>
          <w:szCs w:val="24"/>
          <w:lang w:val="en-US" w:eastAsia="zh-CN" w:bidi="ar-SA"/>
        </w:rPr>
        <w:t>秭归</w:t>
      </w:r>
      <w:r>
        <w:rPr>
          <w:rFonts w:hint="eastAsia" w:ascii="Times New Roman" w:hAnsi="Times New Roman" w:eastAsia="宋体" w:cs="Times New Roman"/>
          <w:kern w:val="2"/>
          <w:sz w:val="24"/>
          <w:szCs w:val="24"/>
          <w:lang w:val="en-US" w:eastAsia="zh-CN" w:bidi="ar-SA"/>
        </w:rPr>
        <w:t>--渔洋关地震带和兴山--黔江地震带</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几次较大震级的地震为 1969 年保康马良坪 4.8 级地震1961年宜都潘家湾 4.9 级地震、1979 年</w:t>
      </w:r>
      <w:r>
        <w:rPr>
          <w:rFonts w:hint="eastAsia" w:cs="Times New Roman"/>
          <w:kern w:val="2"/>
          <w:sz w:val="24"/>
          <w:szCs w:val="24"/>
          <w:lang w:val="en-US" w:eastAsia="zh-CN" w:bidi="ar-SA"/>
        </w:rPr>
        <w:t>秭归</w:t>
      </w:r>
      <w:r>
        <w:rPr>
          <w:rFonts w:hint="eastAsia" w:ascii="Times New Roman" w:hAnsi="Times New Roman" w:eastAsia="宋体" w:cs="Times New Roman"/>
          <w:kern w:val="2"/>
          <w:sz w:val="24"/>
          <w:szCs w:val="24"/>
          <w:lang w:val="en-US" w:eastAsia="zh-CN" w:bidi="ar-SA"/>
        </w:rPr>
        <w:t>龙会观 1 级地震、201</w:t>
      </w:r>
      <w:r>
        <w:rPr>
          <w:rFonts w:hint="eastAsia" w:cs="Times New Roman"/>
          <w:kern w:val="2"/>
          <w:sz w:val="24"/>
          <w:szCs w:val="24"/>
          <w:lang w:val="en-US" w:eastAsia="zh-CN" w:bidi="ar-SA"/>
        </w:rPr>
        <w:t>4</w:t>
      </w:r>
      <w:r>
        <w:rPr>
          <w:rFonts w:hint="eastAsia" w:ascii="Times New Roman" w:hAnsi="Times New Roman" w:eastAsia="宋体" w:cs="Times New Roman"/>
          <w:kern w:val="2"/>
          <w:sz w:val="24"/>
          <w:szCs w:val="24"/>
          <w:lang w:val="en-US" w:eastAsia="zh-CN" w:bidi="ar-SA"/>
        </w:rPr>
        <w:t xml:space="preserve"> 年 4 月</w:t>
      </w:r>
      <w:r>
        <w:rPr>
          <w:rFonts w:hint="eastAsia" w:cs="Times New Roman"/>
          <w:kern w:val="2"/>
          <w:sz w:val="24"/>
          <w:szCs w:val="24"/>
          <w:lang w:val="en-US" w:eastAsia="zh-CN" w:bidi="ar-SA"/>
        </w:rPr>
        <w:t>秭归</w:t>
      </w:r>
      <w:r>
        <w:rPr>
          <w:rFonts w:hint="eastAsia" w:ascii="Times New Roman" w:hAnsi="Times New Roman" w:eastAsia="宋体" w:cs="Times New Roman"/>
          <w:kern w:val="2"/>
          <w:sz w:val="24"/>
          <w:szCs w:val="24"/>
          <w:lang w:val="en-US" w:eastAsia="zh-CN" w:bidi="ar-SA"/>
        </w:rPr>
        <w:t xml:space="preserve"> 5.1 级地震</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这 4 次地震影响到宜昌市城区地震烈度均小于 5 度。宜昌市地震基本烈度为</w:t>
      </w:r>
      <w:r>
        <w:rPr>
          <w:rFonts w:hint="eastAsia"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6 度。</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ascii="Times New Roman" w:hAnsi="Times New Roman" w:eastAsia="宋体" w:cs="Times New Roman"/>
          <w:b/>
          <w:bCs/>
          <w:sz w:val="24"/>
          <w:szCs w:val="24"/>
          <w:lang w:val="en-US" w:eastAsia="zh-CN" w:bidi="ar-SA"/>
        </w:rPr>
        <w:t>岩土构成与特征</w:t>
      </w:r>
    </w:p>
    <w:p>
      <w:pPr>
        <w:widowControl/>
        <w:adjustRightInd w:val="0"/>
        <w:snapToGrid w:val="0"/>
        <w:spacing w:line="360" w:lineRule="auto"/>
        <w:ind w:firstLine="480" w:firstLineChars="200"/>
        <w:rPr>
          <w:rFonts w:hint="eastAsia" w:cs="Times New Roman"/>
          <w:kern w:val="0"/>
          <w:sz w:val="24"/>
          <w:szCs w:val="24"/>
        </w:rPr>
      </w:pPr>
      <w:r>
        <w:rPr>
          <w:rFonts w:hint="eastAsia" w:cs="Times New Roman"/>
          <w:kern w:val="0"/>
          <w:sz w:val="24"/>
          <w:szCs w:val="24"/>
        </w:rPr>
        <w:t>通过查阅《湖北省宜昌市建造构造图H49C002003（1:25万）》（附图2），地块表层出露以K</w:t>
      </w:r>
      <w:r>
        <w:rPr>
          <w:rFonts w:hint="eastAsia" w:cs="Times New Roman"/>
          <w:kern w:val="0"/>
          <w:sz w:val="24"/>
          <w:szCs w:val="24"/>
          <w:vertAlign w:val="subscript"/>
        </w:rPr>
        <w:t>1</w:t>
      </w:r>
      <w:r>
        <w:rPr>
          <w:rFonts w:hint="eastAsia" w:cs="Times New Roman"/>
          <w:kern w:val="0"/>
          <w:sz w:val="24"/>
          <w:szCs w:val="24"/>
          <w:vertAlign w:val="baseline"/>
        </w:rPr>
        <w:t>w</w:t>
      </w:r>
      <w:r>
        <w:rPr>
          <w:rFonts w:hint="eastAsia" w:cs="Times New Roman"/>
          <w:kern w:val="0"/>
          <w:sz w:val="24"/>
          <w:szCs w:val="24"/>
        </w:rPr>
        <w:t>白垩纪系统岩层为主，少量为Q</w:t>
      </w:r>
      <w:r>
        <w:rPr>
          <w:rFonts w:hint="eastAsia" w:cs="Times New Roman"/>
          <w:kern w:val="0"/>
          <w:sz w:val="24"/>
          <w:szCs w:val="24"/>
          <w:vertAlign w:val="subscript"/>
        </w:rPr>
        <w:t>4</w:t>
      </w:r>
      <w:r>
        <w:rPr>
          <w:rFonts w:hint="eastAsia" w:cs="Times New Roman"/>
          <w:kern w:val="0"/>
          <w:sz w:val="24"/>
          <w:szCs w:val="24"/>
          <w:vertAlign w:val="superscript"/>
        </w:rPr>
        <w:t>pal</w:t>
      </w:r>
      <w:r>
        <w:rPr>
          <w:rFonts w:hint="eastAsia" w:cs="Times New Roman"/>
          <w:kern w:val="0"/>
          <w:sz w:val="24"/>
          <w:szCs w:val="24"/>
        </w:rPr>
        <w:t>第四纪全新世洪冲积层，地质构造及岩层详见图3.1-2和图3.1-3。</w:t>
      </w:r>
    </w:p>
    <w:p>
      <w:pPr>
        <w:widowControl/>
        <w:adjustRightInd w:val="0"/>
        <w:snapToGrid w:val="0"/>
        <w:spacing w:line="360" w:lineRule="auto"/>
      </w:pPr>
      <w:r>
        <mc:AlternateContent>
          <mc:Choice Requires="wps">
            <w:drawing>
              <wp:anchor distT="0" distB="0" distL="114300" distR="114300" simplePos="0" relativeHeight="251710464" behindDoc="0" locked="0" layoutInCell="1" allowOverlap="1">
                <wp:simplePos x="0" y="0"/>
                <wp:positionH relativeFrom="column">
                  <wp:posOffset>342900</wp:posOffset>
                </wp:positionH>
                <wp:positionV relativeFrom="paragraph">
                  <wp:posOffset>3348355</wp:posOffset>
                </wp:positionV>
                <wp:extent cx="4651375" cy="374650"/>
                <wp:effectExtent l="5080" t="1291590" r="10795" b="10160"/>
                <wp:wrapNone/>
                <wp:docPr id="73" name="圆角矩形标注 73"/>
                <wp:cNvGraphicFramePr/>
                <a:graphic xmlns:a="http://schemas.openxmlformats.org/drawingml/2006/main">
                  <a:graphicData uri="http://schemas.microsoft.com/office/word/2010/wordprocessingShape">
                    <wps:wsp>
                      <wps:cNvSpPr/>
                      <wps:spPr>
                        <a:xfrm>
                          <a:off x="0" y="0"/>
                          <a:ext cx="4651375" cy="374650"/>
                        </a:xfrm>
                        <a:prstGeom prst="wedgeRoundRectCallout">
                          <a:avLst>
                            <a:gd name="adj1" fmla="val 1153"/>
                            <a:gd name="adj2" fmla="val -391186"/>
                            <a:gd name="adj3" fmla="val 16667"/>
                          </a:avLst>
                        </a:prstGeom>
                        <a:noFill/>
                        <a:ln w="9525" cap="flat" cmpd="sng">
                          <a:solidFill>
                            <a:srgbClr val="C00000"/>
                          </a:solidFill>
                          <a:prstDash val="solid"/>
                          <a:miter/>
                          <a:headEnd type="none" w="med" len="med"/>
                          <a:tailEnd type="none" w="med" len="med"/>
                        </a:ln>
                      </wps:spPr>
                      <wps:txbx>
                        <w:txbxContent>
                          <w:p>
                            <w:pPr>
                              <w:jc w:val="center"/>
                              <w:rPr>
                                <w:b/>
                                <w:color w:val="000000" w:themeColor="text1"/>
                                <w:sz w:val="24"/>
                                <w:szCs w:val="24"/>
                                <w14:textFill>
                                  <w14:solidFill>
                                    <w14:schemeClr w14:val="tx1"/>
                                  </w14:solidFill>
                                </w14:textFill>
                              </w:rPr>
                            </w:pPr>
                            <w:r>
                              <w:rPr>
                                <w:rFonts w:hint="eastAsia"/>
                                <w:b/>
                                <w:color w:val="000000" w:themeColor="text1"/>
                                <w:sz w:val="24"/>
                                <w:szCs w:val="24"/>
                                <w:lang w:val="en-US" w:eastAsia="zh-CN"/>
                                <w14:textFill>
                                  <w14:solidFill>
                                    <w14:schemeClr w14:val="tx1"/>
                                  </w14:solidFill>
                                </w14:textFill>
                              </w:rPr>
                              <w:t>高新区</w:t>
                            </w:r>
                            <w:r>
                              <w:rPr>
                                <w:rFonts w:hint="eastAsia"/>
                                <w:b/>
                                <w:color w:val="000000" w:themeColor="text1"/>
                                <w:sz w:val="24"/>
                                <w:szCs w:val="24"/>
                                <w14:textFill>
                                  <w14:solidFill>
                                    <w14:schemeClr w14:val="tx1"/>
                                  </w14:solidFill>
                                </w14:textFill>
                              </w:rPr>
                              <w:t>峡州大道与合益路交会处东侧地块（3号地块）</w:t>
                            </w:r>
                          </w:p>
                        </w:txbxContent>
                      </wps:txbx>
                      <wps:bodyPr anchor="ctr" anchorCtr="0" upright="1"/>
                    </wps:wsp>
                  </a:graphicData>
                </a:graphic>
              </wp:anchor>
            </w:drawing>
          </mc:Choice>
          <mc:Fallback>
            <w:pict>
              <v:shape id="_x0000_s1026" o:spid="_x0000_s1026" o:spt="62" type="#_x0000_t62" style="position:absolute;left:0pt;margin-left:27pt;margin-top:263.65pt;height:29.5pt;width:366.25pt;z-index:251710464;v-text-anchor:middle;mso-width-relative:page;mso-height-relative:page;" filled="f" stroked="t" coordsize="21600,21600" o:gfxdata="UEsDBAoAAAAAAIdO4kAAAAAAAAAAAAAAAAAEAAAAZHJzL1BLAwQUAAAACACHTuJA/O2GvtsAAAAK&#10;AQAADwAAAGRycy9kb3ducmV2LnhtbE2PQU+DQBCF7yb+h82YeLNLqQWCLI0SbTw0Rtv+gC2MQGBn&#10;CbuU6q93POlpMvNe3nwv21xML844utaSguUiAIFU2qqlWsHx8HKXgHBeU6V7S6jgCx1s8uurTKeV&#10;nekDz3tfCw4hl2oFjfdDKqUrGzTaLeyAxNqnHY32vI61rEY9c7jpZRgEkTS6Jf7Q6AGLBstuPxkF&#10;28dxK7vi/bug3XPYvT7hHL9NSt3eLIMHEB4v/s8Mv/iMDjkznexElRO9gvU9V/E8w3gFgg1xEq1B&#10;nPiSRCuQeSb/V8h/AFBLAwQUAAAACACHTuJAZiUpMV4CAACwBAAADgAAAGRycy9lMm9Eb2MueG1s&#10;rVTNctMwEL4zwztodG8dJyRpM3F6SCgXBjotPIAiybYY/Y2kxM4LwJ0zMzBcgDNnHqeFx2AlmzSU&#10;Sw7k4Ox6V7vf963W84tWSbTlzgujC5yfDjDimhomdFXg168uT84w8oFoRqTRvMA77vHF4vGjeWNn&#10;fGhqIxl3CIpoP2tsgesQ7CzLPK25Iv7UWK4hWBqnSADXVRlzpIHqSmbDwWCSNcYx6wzl3sPbVRfE&#10;fUV3TEFTloLylaEbxXXoqjouSQBKvhbW40VCW5achpdl6XlAssDANKQnNAF7HZ/ZYk5mlSO2FrSH&#10;QI6B8ICTIkJD032pFQkEbZz4p5QS1BlvynBKjco6IkkRYJEPHmhzUxPLExeQ2tu96P7/laUvtlcO&#10;CVbg6QgjTRRM/PbD219f3v/8+O32x+e7T+/uvn9FEASlGutncODGXrne82BG2m3pVPwHQqhN6u72&#10;6vI2IAovn0zG+Wg6xohCbDQFN8mf3Z+2zodn3CgUjQI3nFX82mw0u4Y5LomUZhOSymT73IckN+sx&#10;E/Ymx6hUEqa3JRLl+ThBhokcpAwPU05G53l+NumvwEEWCHFQaDKZTGMO4OzbgvUHacSgzaWQMl0k&#10;qVFT4PPxMLIksBwlXEowlQWBva4SeG+kYPFIPOxdtV5KhwBzgZeD+Oub/ZUW+62Ir7u8FOpwKxG4&#10;S71rTthTzVDYWZihht3FEYziDCPJYdWjlTIDEfKYTOApNRCPY+8GHa3QrlsoE821YTu4PUTT2sBO&#10;0eBw7yxDt2Mb60RVwyzzxCoegoucxOyXLm7KoZ/63X9o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2GvtsAAAAKAQAADwAAAAAAAAABACAAAAAiAAAAZHJzL2Rvd25yZXYueG1sUEsBAhQAFAAA&#10;AAgAh07iQGYlKTFeAgAAsAQAAA4AAAAAAAAAAQAgAAAAKgEAAGRycy9lMm9Eb2MueG1sUEsFBgAA&#10;AAAGAAYAWQEAAPoFAAAAAA==&#10;" adj="11049,-73696,14400">
                <v:fill on="f" focussize="0,0"/>
                <v:stroke color="#C00000" joinstyle="miter"/>
                <v:imagedata o:title=""/>
                <o:lock v:ext="edit" aspectratio="f"/>
                <v:textbox>
                  <w:txbxContent>
                    <w:p>
                      <w:pPr>
                        <w:jc w:val="center"/>
                        <w:rPr>
                          <w:b/>
                          <w:color w:val="000000" w:themeColor="text1"/>
                          <w:sz w:val="24"/>
                          <w:szCs w:val="24"/>
                          <w14:textFill>
                            <w14:solidFill>
                              <w14:schemeClr w14:val="tx1"/>
                            </w14:solidFill>
                          </w14:textFill>
                        </w:rPr>
                      </w:pPr>
                      <w:r>
                        <w:rPr>
                          <w:rFonts w:hint="eastAsia"/>
                          <w:b/>
                          <w:color w:val="000000" w:themeColor="text1"/>
                          <w:sz w:val="24"/>
                          <w:szCs w:val="24"/>
                          <w:lang w:val="en-US" w:eastAsia="zh-CN"/>
                          <w14:textFill>
                            <w14:solidFill>
                              <w14:schemeClr w14:val="tx1"/>
                            </w14:solidFill>
                          </w14:textFill>
                        </w:rPr>
                        <w:t>高新区</w:t>
                      </w:r>
                      <w:r>
                        <w:rPr>
                          <w:rFonts w:hint="eastAsia"/>
                          <w:b/>
                          <w:color w:val="000000" w:themeColor="text1"/>
                          <w:sz w:val="24"/>
                          <w:szCs w:val="24"/>
                          <w14:textFill>
                            <w14:solidFill>
                              <w14:schemeClr w14:val="tx1"/>
                            </w14:solidFill>
                          </w14:textFill>
                        </w:rPr>
                        <w:t>峡州大道与合益路交会处东侧地块（3号地块）</w:t>
                      </w:r>
                    </w:p>
                  </w:txbxContent>
                </v:textbox>
              </v:shape>
            </w:pict>
          </mc:Fallback>
        </mc:AlternateContent>
      </w:r>
      <w:r>
        <w:drawing>
          <wp:inline distT="0" distB="0" distL="114300" distR="114300">
            <wp:extent cx="5285105" cy="3802380"/>
            <wp:effectExtent l="0" t="0" r="10795" b="7620"/>
            <wp:docPr id="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
                    <pic:cNvPicPr>
                      <a:picLocks noChangeAspect="1"/>
                    </pic:cNvPicPr>
                  </pic:nvPicPr>
                  <pic:blipFill>
                    <a:blip r:embed="rId12"/>
                    <a:stretch>
                      <a:fillRect/>
                    </a:stretch>
                  </pic:blipFill>
                  <pic:spPr>
                    <a:xfrm>
                      <a:off x="0" y="0"/>
                      <a:ext cx="5285105" cy="3802380"/>
                    </a:xfrm>
                    <a:prstGeom prst="rect">
                      <a:avLst/>
                    </a:prstGeom>
                    <a:noFill/>
                    <a:ln>
                      <a:noFill/>
                    </a:ln>
                  </pic:spPr>
                </pic:pic>
              </a:graphicData>
            </a:graphic>
          </wp:inline>
        </w:drawing>
      </w:r>
    </w:p>
    <w:p>
      <w:pPr>
        <w:pStyle w:val="5"/>
        <w:spacing w:before="0" w:beforeLines="0" w:after="156"/>
        <w:rPr>
          <w:sz w:val="21"/>
          <w:szCs w:val="21"/>
        </w:rPr>
      </w:pPr>
      <w:bookmarkStart w:id="13" w:name="_Ref62631294"/>
      <w:r>
        <w:rPr>
          <w:rFonts w:hint="eastAsia"/>
          <w:sz w:val="21"/>
          <w:szCs w:val="21"/>
        </w:rPr>
        <w:t xml:space="preserve">图 </w:t>
      </w:r>
      <w:bookmarkEnd w:id="13"/>
      <w:r>
        <w:rPr>
          <w:rFonts w:hint="eastAsia"/>
          <w:sz w:val="21"/>
          <w:szCs w:val="21"/>
        </w:rPr>
        <w:t>3.1-2</w:t>
      </w:r>
      <w:r>
        <w:rPr>
          <w:sz w:val="21"/>
          <w:szCs w:val="21"/>
        </w:rPr>
        <w:t xml:space="preserve">  </w:t>
      </w:r>
      <w:r>
        <w:rPr>
          <w:rFonts w:hint="eastAsia"/>
          <w:sz w:val="21"/>
          <w:szCs w:val="21"/>
        </w:rPr>
        <w:t>宜昌市1:</w:t>
      </w:r>
      <w:r>
        <w:rPr>
          <w:sz w:val="21"/>
          <w:szCs w:val="21"/>
        </w:rPr>
        <w:t>25</w:t>
      </w:r>
      <w:r>
        <w:rPr>
          <w:rFonts w:hint="eastAsia"/>
          <w:sz w:val="21"/>
          <w:szCs w:val="21"/>
        </w:rPr>
        <w:t>万地质图（部分截图）</w:t>
      </w:r>
    </w:p>
    <w:p>
      <w:pPr>
        <w:keepNext/>
        <w:jc w:val="center"/>
        <w:rPr>
          <w:b/>
          <w:bCs/>
          <w:sz w:val="21"/>
          <w:szCs w:val="21"/>
        </w:rPr>
      </w:pPr>
      <w:r>
        <mc:AlternateContent>
          <mc:Choice Requires="wps">
            <w:drawing>
              <wp:anchor distT="0" distB="0" distL="114300" distR="114300" simplePos="0" relativeHeight="251713536" behindDoc="0" locked="0" layoutInCell="1" allowOverlap="1">
                <wp:simplePos x="0" y="0"/>
                <wp:positionH relativeFrom="column">
                  <wp:posOffset>5146040</wp:posOffset>
                </wp:positionH>
                <wp:positionV relativeFrom="paragraph">
                  <wp:posOffset>237490</wp:posOffset>
                </wp:positionV>
                <wp:extent cx="123825" cy="3238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23825" cy="323850"/>
                        </a:xfrm>
                        <a:prstGeom prst="rect">
                          <a:avLst/>
                        </a:prstGeom>
                        <a:noFill/>
                        <a:ln w="6350">
                          <a:noFill/>
                        </a:ln>
                        <a:effectLst/>
                      </wps:spPr>
                      <wps:txbx>
                        <w:txbxContent>
                          <w:p>
                            <w:pPr>
                              <w:ind w:left="-120" w:leftChars="-50"/>
                              <w:jc w:val="left"/>
                              <w:rPr>
                                <w:rFonts w:ascii="黑体" w:hAnsi="黑体" w:eastAsia="黑体"/>
                                <w:b/>
                                <w:bCs/>
                              </w:rPr>
                            </w:pPr>
                            <w:r>
                              <w:rPr>
                                <w:rFonts w:ascii="黑体" w:hAnsi="黑体" w:eastAsia="黑体"/>
                                <w:b/>
                                <w:bCs/>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2pt;margin-top:18.7pt;height:25.5pt;width:9.75pt;z-index:251713536;mso-width-relative:page;mso-height-relative:page;" filled="f" stroked="f" coordsize="21600,21600" o:gfxdata="UEsDBAoAAAAAAIdO4kAAAAAAAAAAAAAAAAAEAAAAZHJzL1BLAwQUAAAACACHTuJA5fiLnNoAAAAJ&#10;AQAADwAAAGRycy9kb3ducmV2LnhtbE2PTU/DMAyG70j8h8hI3FjSMiArTSdUaUJC7LCxCze3ydqK&#10;fJQm+4BfjznBybb86PXjcnl2lh3NFIfgFWQzAcz4NujBdwp2b6sbCSwm9Bpt8EbBl4mwrC4vSix0&#10;OPmNOW5TxyjExwIV9CmNBeex7Y3DOAuj8bTbh8lhonHquJ7wROHO8lyIe+5w8HShx9HUvWk/tgen&#10;4KVerXHT5E5+2/r5df80fu7e75S6vsrEI7BkzukPhl99UoeKnJpw8Doyq0BmYk6ogtsHqgTIfLEA&#10;1lAj58Crkv//oPoBUEsDBBQAAAAIAIdO4kCXlCB0QAIAAHUEAAAOAAAAZHJzL2Uyb0RvYy54bWyt&#10;VM1uEzEQviPxDpbvdJP0lyibKrQqQqpopYI4O15vdyXbY2ynu+UB4A04ceHOc+U5+OxN0lI49MBl&#10;M54Zz8z3zefMTnuj2Z3yoSVb8vHeiDNlJVWtvS35xw8Xr044C1HYSmiyquT3KvDT+csXs85N1YQa&#10;0pXyDEVsmHau5E2MbloUQTbKiLBHTlkEa/JGRBz9bVF50aG60cVkNDoqOvKV8yRVCPCeD0G+qeif&#10;U5DqupXqnOTKKBuHql5pEQEpNK0LfJ6nrWsl41VdBxWZLjmQxvxFE9jL9C3mMzG99cI1rdyMIJ4z&#10;whNMRrQWTXelzkUUbOXbv0qZVnoKVMc9SaYYgGRGgGI8esLNTSOcylhAdXA70sP/Kyvf31171lYl&#10;Pz7izAqDja+/f1v/+LX++ZXBB4I6F6bIu3HIjP0b6iGbrT/AmXD3tTfpF4gY4qD3fkev6iOT6dJk&#10;/2RyyJlEaB/2Yaa/eLjsfIhvFRmWjJJ7bC+TKu4uQ8QgSN2mpF6WLlqt8wa1ZV3Jj/ZR8o8Ibmib&#10;PCprYVMmARoGT1bsl/0G5ZKqe4D0NOgkOHnRYpRLEeK18BAGcOHpxCt8ak1oSRuLs4b8l3/5Uz72&#10;hShnHYRW8vB5JbziTL+z2OTr8cFBUmY+HBweT3DwjyPLxxG7MmcELY/xSJ3MZsqPemvWnswnvLBF&#10;6oqQsBK9Sx635lkc5I8XKtVikZOgRSfipb1xMpUeKFysItVt5j3RNHCDJaQD1JjXsXk5Se6Pzznr&#10;4d9i/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l+Iuc2gAAAAkBAAAPAAAAAAAAAAEAIAAAACIA&#10;AABkcnMvZG93bnJldi54bWxQSwECFAAUAAAACACHTuJAl5QgdEACAAB1BAAADgAAAAAAAAABACAA&#10;AAApAQAAZHJzL2Uyb0RvYy54bWxQSwUGAAAAAAYABgBZAQAA2wUAAAAA&#10;">
                <v:fill on="f" focussize="0,0"/>
                <v:stroke on="f" weight="0.5pt"/>
                <v:imagedata o:title=""/>
                <o:lock v:ext="edit" aspectratio="f"/>
                <v:textbox>
                  <w:txbxContent>
                    <w:p>
                      <w:pPr>
                        <w:ind w:left="-120" w:leftChars="-50"/>
                        <w:jc w:val="left"/>
                        <w:rPr>
                          <w:rFonts w:ascii="黑体" w:hAnsi="黑体" w:eastAsia="黑体"/>
                          <w:b/>
                          <w:bCs/>
                        </w:rPr>
                      </w:pPr>
                      <w:r>
                        <w:rPr>
                          <w:rFonts w:ascii="黑体" w:hAnsi="黑体" w:eastAsia="黑体"/>
                          <w:b/>
                          <w:bCs/>
                        </w:rPr>
                        <w:t>B</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0</wp:posOffset>
                </wp:positionH>
                <wp:positionV relativeFrom="paragraph">
                  <wp:posOffset>147320</wp:posOffset>
                </wp:positionV>
                <wp:extent cx="171450" cy="32385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71133" cy="323850"/>
                        </a:xfrm>
                        <a:prstGeom prst="rect">
                          <a:avLst/>
                        </a:prstGeom>
                        <a:noFill/>
                        <a:ln w="6350">
                          <a:noFill/>
                        </a:ln>
                        <a:effectLst/>
                      </wps:spPr>
                      <wps:txbx>
                        <w:txbxContent>
                          <w:p>
                            <w:pPr>
                              <w:ind w:left="-120" w:leftChars="-50"/>
                              <w:jc w:val="left"/>
                              <w:rPr>
                                <w:rFonts w:ascii="黑体" w:hAnsi="黑体" w:eastAsia="黑体"/>
                                <w:b/>
                                <w:bCs/>
                              </w:rPr>
                            </w:pPr>
                            <w:r>
                              <w:rPr>
                                <w:rFonts w:hint="eastAsia" w:ascii="黑体" w:hAnsi="黑体" w:eastAsia="黑体"/>
                                <w:b/>
                                <w:bCs/>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11.6pt;height:25.5pt;width:13.5pt;z-index:251712512;mso-width-relative:page;mso-height-relative:page;" filled="f" stroked="f" coordsize="21600,21600" o:gfxdata="UEsDBAoAAAAAAIdO4kAAAAAAAAAAAAAAAAAEAAAAZHJzL1BLAwQUAAAACACHTuJAXJqNndcAAAAF&#10;AQAADwAAAGRycy9kb3ducmV2LnhtbE2PS0/DMBCE70j8B2uRuFGn5tEqjVOhSBUSgkNLL9yceJtE&#10;tdchdh/w61lO5Tia0cw3xfLsnTjiGPtAGqaTDARSE2xPrYbtx+puDiImQ9a4QKjhGyMsy+urwuQ2&#10;nGiNx01qBZdQzI2GLqUhlzI2HXoTJ2FAYm8XRm8Sy7GVdjQnLvdOqix7kt70xAudGbDqsNlvDl7D&#10;a7V6N+ta+fmPq17eds/D1/bzUevbm2m2AJHwnC5h+MNndCiZqQ4HslE4DXwkaVD3CgS7asa61jB7&#10;UCDLQv6nL38BUEsDBBQAAAAIAIdO4kB1UY1DQgIAAHUEAAAOAAAAZHJzL2Uyb0RvYy54bWytVM1u&#10;EzEQviPxDpbvdPPTP6JsqtCqCKmilQri7Hi92ZVsj7Gd7pYHgDfgxIU7z9Xn4LM3aUvh0AOXzXhm&#10;PDPfN58zP+mNZjfKh5Zsycd7I86UlVS1dl3yjx/OXx1zFqKwldBkVclvVeAni5cv5p2bqQk1pCvl&#10;GYrYMOtcyZsY3awogmyUEWGPnLII1uSNiDj6dVF50aG60cVkNDosOvKV8yRVCPCeDUG+reifU5Dq&#10;upXqjOTGKBuHql5pEQEpNK0LfJGnrWsl42VdBxWZLjmQxvxFE9ir9C0WczFbe+GaVm5HEM8Z4Qkm&#10;I1qLpvelzkQUbOPbv0qZVnoKVMc9SaYYgGRGgGI8esLNdSOcylhAdXD3pIf/V1a+v7nyrK1KfnTA&#10;mRUGG7/7/u3ux6+7n18ZfCCoc2GGvGuHzNi/oR6y2fkDnAl3X3uTfoGIIQ56b+/pVX1kMl06Go+n&#10;U84kQtPJ9Pgg0188XHY+xLeKDEtGyT22l0kVNxchYhCk7lJSL0vnrdZ5g9qyruSHU5T8I4Ib2iaP&#10;ylrYlkmAhsGTFftVv0W5ouoWID0NOglOnrcY5UKEeCU8hAFceDrxEp9aE1rS1uKsIf/lX/6Uj30h&#10;ylkHoZU8fN4IrzjT7yw2+Xq8v5+UmQ/7B0cTHPzjyOpxxG7MKUHLYzxSJ7OZ8qPembUn8wkvbJm6&#10;IiSsRO+Sx515Ggf544VKtVzmJGjRiXhhr51MpQcKl5tIdZt5TzQN3GAJ6QA15nVsX06S++Nzznr4&#10;t1j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yajZ3XAAAABQEAAA8AAAAAAAAAAQAgAAAAIgAA&#10;AGRycy9kb3ducmV2LnhtbFBLAQIUABQAAAAIAIdO4kB1UY1DQgIAAHUEAAAOAAAAAAAAAAEAIAAA&#10;ACYBAABkcnMvZTJvRG9jLnhtbFBLBQYAAAAABgAGAFkBAADaBQAAAAA=&#10;">
                <v:fill on="f" focussize="0,0"/>
                <v:stroke on="f" weight="0.5pt"/>
                <v:imagedata o:title=""/>
                <o:lock v:ext="edit" aspectratio="f"/>
                <v:textbox>
                  <w:txbxContent>
                    <w:p>
                      <w:pPr>
                        <w:ind w:left="-120" w:leftChars="-50"/>
                        <w:jc w:val="left"/>
                        <w:rPr>
                          <w:rFonts w:ascii="黑体" w:hAnsi="黑体" w:eastAsia="黑体"/>
                          <w:b/>
                          <w:bCs/>
                        </w:rPr>
                      </w:pPr>
                      <w:r>
                        <w:rPr>
                          <w:rFonts w:hint="eastAsia" w:ascii="黑体" w:hAnsi="黑体" w:eastAsia="黑体"/>
                          <w:b/>
                          <w:bCs/>
                        </w:rPr>
                        <w:t>A</w:t>
                      </w:r>
                    </w:p>
                  </w:txbxContent>
                </v:textbox>
              </v:shape>
            </w:pict>
          </mc:Fallback>
        </mc:AlternateContent>
      </w:r>
      <w:r>
        <w:rPr>
          <w:bdr w:val="single" w:color="auto" w:sz="4" w:space="0"/>
        </w:rPr>
        <w:drawing>
          <wp:inline distT="0" distB="0" distL="0" distR="0">
            <wp:extent cx="5280025" cy="1195070"/>
            <wp:effectExtent l="0" t="0" r="15875" b="508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13"/>
                    <a:srcRect l="18089" t="22866" r="7116" b="5425"/>
                    <a:stretch>
                      <a:fillRect/>
                    </a:stretch>
                  </pic:blipFill>
                  <pic:spPr>
                    <a:xfrm>
                      <a:off x="0" y="0"/>
                      <a:ext cx="5348424" cy="1210872"/>
                    </a:xfrm>
                    <a:prstGeom prst="rect">
                      <a:avLst/>
                    </a:prstGeom>
                    <a:ln>
                      <a:noFill/>
                    </a:ln>
                  </pic:spPr>
                </pic:pic>
              </a:graphicData>
            </a:graphic>
          </wp:inline>
        </w:drawing>
      </w:r>
      <w:bookmarkStart w:id="14" w:name="_Ref62631249"/>
      <w:r>
        <w:rPr>
          <w:rFonts w:hint="eastAsia"/>
          <w:b/>
          <w:bCs/>
          <w:sz w:val="21"/>
          <w:szCs w:val="21"/>
        </w:rPr>
        <w:t xml:space="preserve">图 </w:t>
      </w:r>
      <w:bookmarkEnd w:id="14"/>
      <w:r>
        <w:rPr>
          <w:rFonts w:hint="eastAsia"/>
          <w:b/>
          <w:bCs/>
          <w:sz w:val="21"/>
          <w:szCs w:val="21"/>
        </w:rPr>
        <w:t>3.1-3</w:t>
      </w:r>
      <w:r>
        <w:rPr>
          <w:b/>
          <w:bCs/>
          <w:sz w:val="21"/>
          <w:szCs w:val="21"/>
        </w:rPr>
        <w:t xml:space="preserve">  </w:t>
      </w:r>
      <w:r>
        <w:rPr>
          <w:rFonts w:hint="eastAsia"/>
          <w:b/>
          <w:bCs/>
          <w:sz w:val="21"/>
          <w:szCs w:val="21"/>
        </w:rPr>
        <w:t>宜昌市地质AB剖面图（部分截图）</w:t>
      </w:r>
    </w:p>
    <w:p>
      <w:pPr>
        <w:widowControl/>
        <w:adjustRightInd w:val="0"/>
        <w:snapToGrid w:val="0"/>
        <w:spacing w:line="360" w:lineRule="auto"/>
        <w:rPr>
          <w:rFonts w:hint="eastAsia"/>
          <w:lang w:val="en-US" w:eastAsia="zh-CN"/>
        </w:rPr>
      </w:pP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cs="Times New Roman"/>
          <w:b/>
          <w:bCs/>
          <w:sz w:val="24"/>
          <w:szCs w:val="24"/>
          <w:lang w:val="en-US" w:eastAsia="zh-CN" w:bidi="ar-SA"/>
        </w:rPr>
        <w:t>土壤环境</w:t>
      </w:r>
    </w:p>
    <w:p>
      <w:pPr>
        <w:widowControl/>
        <w:adjustRightInd w:val="0"/>
        <w:snapToGrid w:val="0"/>
        <w:spacing w:line="360" w:lineRule="auto"/>
        <w:ind w:firstLine="480" w:firstLineChars="200"/>
        <w:rPr>
          <w:rFonts w:cs="Times New Roman"/>
          <w:kern w:val="0"/>
          <w:sz w:val="24"/>
          <w:szCs w:val="24"/>
        </w:rPr>
      </w:pPr>
      <w:r>
        <w:rPr>
          <w:rFonts w:hint="eastAsia" w:cs="Times New Roman"/>
          <w:kern w:val="0"/>
          <w:sz w:val="24"/>
          <w:szCs w:val="24"/>
        </w:rPr>
        <w:t>通过对</w:t>
      </w:r>
      <w:r>
        <w:rPr>
          <w:rFonts w:hint="eastAsia" w:cs="Times New Roman"/>
          <w:kern w:val="0"/>
          <w:sz w:val="24"/>
          <w:szCs w:val="24"/>
          <w:lang w:val="en-US" w:eastAsia="zh-CN"/>
        </w:rPr>
        <w:t>本地块</w:t>
      </w:r>
      <w:r>
        <w:rPr>
          <w:rFonts w:hint="eastAsia" w:cs="Times New Roman"/>
          <w:kern w:val="0"/>
          <w:sz w:val="24"/>
          <w:szCs w:val="24"/>
        </w:rPr>
        <w:t>的土壤环境进行调查，建设区域气候温和，湿度大，主要地带性土壤为潮土土类，主要分布在长江流域的平原，一般在海拔 50 左右；pH 值 7-8.5，呈碱性，有机质含量 0.08%-1.88%，含钾量一般，普遍缺磷。因而适宜于枫杨、杨树、柳树、芦苇等植物和柑桔、茶叶、桃、李等经济果木林生长。</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ascii="Times New Roman" w:hAnsi="Times New Roman" w:eastAsia="宋体" w:cs="Times New Roman"/>
          <w:b/>
          <w:bCs/>
          <w:sz w:val="24"/>
          <w:szCs w:val="24"/>
          <w:lang w:val="en-US" w:eastAsia="zh-CN" w:bidi="ar-SA"/>
        </w:rPr>
        <w:t>地下水</w:t>
      </w:r>
      <w:r>
        <w:rPr>
          <w:rFonts w:hint="eastAsia" w:cs="Times New Roman"/>
          <w:b/>
          <w:bCs/>
          <w:sz w:val="24"/>
          <w:szCs w:val="24"/>
          <w:lang w:val="en-US" w:eastAsia="zh-CN" w:bidi="ar-SA"/>
        </w:rPr>
        <w:t>环境</w:t>
      </w:r>
    </w:p>
    <w:p>
      <w:pPr>
        <w:widowControl/>
        <w:adjustRightInd w:val="0"/>
        <w:snapToGrid w:val="0"/>
        <w:spacing w:line="360" w:lineRule="auto"/>
        <w:ind w:firstLine="480" w:firstLineChars="200"/>
        <w:rPr>
          <w:rFonts w:hint="eastAsia" w:cs="Times New Roman"/>
          <w:kern w:val="0"/>
          <w:sz w:val="24"/>
          <w:szCs w:val="24"/>
        </w:rPr>
      </w:pPr>
      <w:r>
        <w:rPr>
          <w:rFonts w:hint="eastAsia" w:cs="Times New Roman"/>
          <w:kern w:val="0"/>
          <w:sz w:val="24"/>
          <w:szCs w:val="24"/>
        </w:rPr>
        <w:t>参考《宜昌市主城区浅层地下水的赋存特征初探》（资源环境工程第35卷第2期 2021年4月），宜昌市主城区浅层赋存的松散砂卵石孔隙水、碎屑岩裂隙水、砾岩裂隙水、碳酸盐岩裂隙若溶水，以潜水为主，局部弱承压。地下水位埋深0.50~29.80m，平均埋深5.63m。地下水位标高39.00~120.00m，平均标高72.93m。地下水水力梯度一般0.16~0.004，平行长江方向、地势低平地段地下水水力梯度较小，垂直长江方向、地势起伏较大地段地下水水力梯度较大。地下水位在丰水期较平水期升高0.50~8.25m，水位变化主要受季节性大气降水影响。松散砂卵石孔隙含水层与奥陶系南津关组灰岩裂隙岩溶含水层富水性弱一中等，白垂系五龙组砂若夹泥岩裂隙含水层与石门组砾岩裂隙含水层富水性弱，可视为相对隔水层。区内雨量充沛，浅层地下水循环强烈，地下水多为重碳酸型。</w:t>
      </w:r>
    </w:p>
    <w:p>
      <w:pPr>
        <w:widowControl/>
        <w:adjustRightInd w:val="0"/>
        <w:snapToGrid w:val="0"/>
        <w:spacing w:line="360" w:lineRule="auto"/>
        <w:ind w:firstLine="480" w:firstLineChars="200"/>
        <w:rPr>
          <w:rFonts w:hint="eastAsia" w:cs="Times New Roman"/>
          <w:kern w:val="0"/>
          <w:sz w:val="24"/>
          <w:szCs w:val="24"/>
        </w:rPr>
      </w:pPr>
      <w:r>
        <w:rPr>
          <w:rFonts w:hint="eastAsia" w:cs="Times New Roman"/>
          <w:kern w:val="0"/>
          <w:sz w:val="24"/>
          <w:szCs w:val="24"/>
        </w:rPr>
        <w:t>本地块地下水流向为西北向东南，本地块所在区域水文地质图详见图3.1-</w:t>
      </w:r>
      <w:r>
        <w:rPr>
          <w:rFonts w:hint="eastAsia" w:cs="Times New Roman"/>
          <w:kern w:val="0"/>
          <w:sz w:val="24"/>
          <w:szCs w:val="24"/>
          <w:lang w:val="en-US" w:eastAsia="zh-CN"/>
        </w:rPr>
        <w:t>4</w:t>
      </w:r>
      <w:r>
        <w:rPr>
          <w:rFonts w:hint="eastAsia" w:cs="Times New Roman"/>
          <w:kern w:val="0"/>
          <w:sz w:val="24"/>
          <w:szCs w:val="24"/>
        </w:rPr>
        <w:t>。</w:t>
      </w:r>
    </w:p>
    <w:p>
      <w:pPr>
        <w:widowControl/>
        <w:adjustRightInd w:val="0"/>
        <w:snapToGrid w:val="0"/>
        <w:spacing w:line="360" w:lineRule="auto"/>
      </w:pPr>
      <w:r>
        <mc:AlternateContent>
          <mc:Choice Requires="wps">
            <w:drawing>
              <wp:anchor distT="0" distB="0" distL="114300" distR="114300" simplePos="0" relativeHeight="251714560" behindDoc="0" locked="0" layoutInCell="1" allowOverlap="1">
                <wp:simplePos x="0" y="0"/>
                <wp:positionH relativeFrom="column">
                  <wp:posOffset>2786380</wp:posOffset>
                </wp:positionH>
                <wp:positionV relativeFrom="paragraph">
                  <wp:posOffset>268605</wp:posOffset>
                </wp:positionV>
                <wp:extent cx="2495550" cy="1777365"/>
                <wp:effectExtent l="4445" t="4445" r="14605" b="504190"/>
                <wp:wrapNone/>
                <wp:docPr id="70" name="矩形标注 70"/>
                <wp:cNvGraphicFramePr/>
                <a:graphic xmlns:a="http://schemas.openxmlformats.org/drawingml/2006/main">
                  <a:graphicData uri="http://schemas.microsoft.com/office/word/2010/wordprocessingShape">
                    <wps:wsp>
                      <wps:cNvSpPr/>
                      <wps:spPr>
                        <a:xfrm>
                          <a:off x="0" y="0"/>
                          <a:ext cx="2495550" cy="1777365"/>
                        </a:xfrm>
                        <a:prstGeom prst="wedgeRectCallout">
                          <a:avLst>
                            <a:gd name="adj1" fmla="val -15983"/>
                            <a:gd name="adj2" fmla="val 77751"/>
                          </a:avLst>
                        </a:prstGeom>
                        <a:noFill/>
                        <a:ln w="9525" cap="flat" cmpd="sng">
                          <a:solidFill>
                            <a:srgbClr val="0D0D0D"/>
                          </a:solidFill>
                          <a:prstDash val="solid"/>
                          <a:miter/>
                          <a:headEnd type="none" w="med" len="med"/>
                          <a:tailEnd type="none" w="med" len="med"/>
                        </a:ln>
                      </wps:spPr>
                      <wps:txbx>
                        <w:txbxContent>
                          <w:p>
                            <w:pPr>
                              <w:spacing w:line="240" w:lineRule="auto"/>
                              <w:jc w:val="center"/>
                              <w:rPr>
                                <w:b/>
                                <w:color w:val="000000" w:themeColor="text1"/>
                                <w:sz w:val="21"/>
                                <w:szCs w:val="21"/>
                                <w14:textFill>
                                  <w14:solidFill>
                                    <w14:schemeClr w14:val="tx1"/>
                                  </w14:solidFill>
                                </w14:textFill>
                              </w:rPr>
                            </w:pPr>
                          </w:p>
                        </w:txbxContent>
                      </wps:txbx>
                      <wps:bodyPr anchor="ctr" anchorCtr="0" upright="1"/>
                    </wps:wsp>
                  </a:graphicData>
                </a:graphic>
              </wp:anchor>
            </w:drawing>
          </mc:Choice>
          <mc:Fallback>
            <w:pict>
              <v:shape id="_x0000_s1026" o:spid="_x0000_s1026" o:spt="61" type="#_x0000_t61" style="position:absolute;left:0pt;margin-left:219.4pt;margin-top:21.15pt;height:139.95pt;width:196.5pt;z-index:251714560;v-text-anchor:middle;mso-width-relative:page;mso-height-relative:page;" filled="f" stroked="t" coordsize="21600,21600" o:gfxdata="UEsDBAoAAAAAAIdO4kAAAAAAAAAAAAAAAAAEAAAAZHJzL1BLAwQUAAAACACHTuJA+PqyVNgAAAAK&#10;AQAADwAAAGRycy9kb3ducmV2LnhtbE2PMU/DMBCFdyT+g3VIbNSJDSgKcTqAYICJFlC7uck1iYjP&#10;JnbT8u85Jtju3j299121PLlRzDjFwZOBfJGBQGp8O1Bn4G39eFWAiMlSa0dPaOAbIyzr87PKlq0/&#10;0ivOq9QJDqFYWgN9SqGUMjY9OhsXPiDxbe8nZxOvUyfbyR453I1SZdmtdHYgbuhtwPsem8/VwRnY&#10;Pm++Oo/5y6zjx0PzdBP28j0Yc3mRZ3cgEp7Snxl+8Rkdamba+QO1UYwGrnXB6IkHpUGwodA5CzsD&#10;WikFsq7k/xfqH1BLAwQUAAAACACHTuJA/ok4A0QCAACCBAAADgAAAGRycy9lMm9Eb2MueG1srVTN&#10;ctMwEL4zwztodG8cp7hpMnF6SCgXBjqUPoAiybYY/Y2kxM4T8BgwnOiZM49DeY2uZJOGcsmB8Yy9&#10;klbffvvtrhdXnZJox50XRpc4H40x4poaJnRd4ruP12eXGPlANCPSaF7iPff4avnyxaK1cz4xjZGM&#10;OwQg2s9bW+ImBDvPMk8brogfGcs1HFbGKRJg6eqMOdICupLZZDy+yFrjmHWGcu9hd90f4gHRnQJo&#10;qkpQvjZ0q7gOParjkgRIyTfCerxMbKuK0/C+qjwPSJYYMg3pDUHA3sR3tlyQee2IbQQdKJBTKDzL&#10;SRGhIegBak0CQVsn/oFSgjrjTRVG1KisTyQpAlnk42fa3DbE8pQLSO3tQXT//2Dpu92NQ4KVeAqS&#10;aKKg4r+/3P/6+e3h6+eHH98RbINGrfVzcL21N25YeTBjwl3lVPxCKqhLuu4PuvIuIAqbk1ezoigA&#10;n8JZPp1Ozy+KiJo9XbfOhzfcKBSNErec1fwDVG9FpDTbkLQlu7c+JJHZwJSwTzlGlZJQsx2R6Cwv&#10;ZpfnQ1GPnCbHThC/yIfwAyQQ+UMg4mtzLaRMrSE1aks8KyYFsCfQ7hW0GZjKgmRe14mYN1KweCVe&#10;9q7erKRDwAeEWMdnCPaXW4y3Jr7p/dJRz1uJwF2K3XDCXmuGwt5CVTRMI45kFGcYSQ7DG63kGYiQ&#10;p3hCnlKD7rGcfQGjFbpNBzDR3Bi2h34gmjYGpoQGh4fFKvRTs7VO1A2UqJcwXoLWTLUcxij2/vE6&#10;xXv6dSwf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j6slTYAAAACgEAAA8AAAAAAAAAAQAgAAAA&#10;IgAAAGRycy9kb3ducmV2LnhtbFBLAQIUABQAAAAIAIdO4kD+iTgDRAIAAIIEAAAOAAAAAAAAAAEA&#10;IAAAACcBAABkcnMvZTJvRG9jLnhtbFBLBQYAAAAABgAGAFkBAADdBQAAAAA=&#10;" adj="7348,27594">
                <v:fill on="f" focussize="0,0"/>
                <v:stroke color="#0D0D0D" joinstyle="miter"/>
                <v:imagedata o:title=""/>
                <o:lock v:ext="edit" aspectratio="f"/>
                <v:textbox>
                  <w:txbxContent>
                    <w:p>
                      <w:pPr>
                        <w:spacing w:line="240" w:lineRule="auto"/>
                        <w:jc w:val="center"/>
                        <w:rPr>
                          <w:b/>
                          <w:color w:val="000000" w:themeColor="text1"/>
                          <w:sz w:val="21"/>
                          <w:szCs w:val="21"/>
                          <w14:textFill>
                            <w14:solidFill>
                              <w14:schemeClr w14:val="tx1"/>
                            </w14:solidFill>
                          </w14:textFill>
                        </w:rPr>
                      </w:pPr>
                    </w:p>
                  </w:txbxContent>
                </v:textbox>
              </v:shape>
            </w:pict>
          </mc:Fallback>
        </mc:AlternateContent>
      </w:r>
      <w:r>
        <w:rPr>
          <w:sz w:val="24"/>
        </w:rPr>
        <mc:AlternateContent>
          <mc:Choice Requires="wps">
            <w:drawing>
              <wp:anchor distT="0" distB="0" distL="114300" distR="114300" simplePos="0" relativeHeight="251716608" behindDoc="0" locked="0" layoutInCell="1" allowOverlap="1">
                <wp:simplePos x="0" y="0"/>
                <wp:positionH relativeFrom="column">
                  <wp:posOffset>3093720</wp:posOffset>
                </wp:positionH>
                <wp:positionV relativeFrom="paragraph">
                  <wp:posOffset>494665</wp:posOffset>
                </wp:positionV>
                <wp:extent cx="2105025" cy="523875"/>
                <wp:effectExtent l="4445" t="5080" r="5080" b="4445"/>
                <wp:wrapNone/>
                <wp:docPr id="87" name="文本框 87"/>
                <wp:cNvGraphicFramePr/>
                <a:graphic xmlns:a="http://schemas.openxmlformats.org/drawingml/2006/main">
                  <a:graphicData uri="http://schemas.microsoft.com/office/word/2010/wordprocessingShape">
                    <wps:wsp>
                      <wps:cNvSpPr txBox="1"/>
                      <wps:spPr>
                        <a:xfrm>
                          <a:off x="4318000" y="3780790"/>
                          <a:ext cx="2105025" cy="5238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val="en-US" w:eastAsia="zh-CN"/>
                              </w:rPr>
                            </w:pPr>
                            <w:r>
                              <w:rPr>
                                <w:rFonts w:hint="eastAsia"/>
                                <w:b/>
                                <w:color w:val="000000" w:themeColor="text1"/>
                                <w:sz w:val="22"/>
                                <w:szCs w:val="22"/>
                                <w:lang w:val="en-US" w:eastAsia="zh-CN"/>
                                <w14:textFill>
                                  <w14:solidFill>
                                    <w14:schemeClr w14:val="tx1"/>
                                  </w14:solidFill>
                                </w14:textFill>
                              </w:rPr>
                              <w:t>高新区</w:t>
                            </w:r>
                            <w:r>
                              <w:rPr>
                                <w:rFonts w:hint="eastAsia"/>
                                <w:b/>
                                <w:color w:val="000000" w:themeColor="text1"/>
                                <w:sz w:val="22"/>
                                <w:szCs w:val="22"/>
                                <w14:textFill>
                                  <w14:solidFill>
                                    <w14:schemeClr w14:val="tx1"/>
                                  </w14:solidFill>
                                </w14:textFill>
                              </w:rPr>
                              <w:t>峡州大道与合益路交会处东侧地块（3号地块）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6pt;margin-top:38.95pt;height:41.25pt;width:165.75pt;z-index:251716608;mso-width-relative:page;mso-height-relative:page;" fillcolor="#FFFFFF [3201]" filled="t" stroked="t" coordsize="21600,21600" o:gfxdata="UEsDBAoAAAAAAIdO4kAAAAAAAAAAAAAAAAAEAAAAZHJzL1BLAwQUAAAACACHTuJAghQPidcAAAAK&#10;AQAADwAAAGRycy9kb3ducmV2LnhtbE2Py07DMBBF90j8gzVI7KidtEpCiFMJJKSKHW027Nx4mkT4&#10;Edlu0/49wwqWo3t075lme7WGXTDEyTsJ2UoAQ9d7PblBQnd4f6qAxaScVsY7lHDDCNv2/q5RtfaL&#10;+8TLPg2MSlyslYQxpbnmPPYjWhVXfkZH2ckHqxKdYeA6qIXKreG5EAW3anK0MKoZ30bsv/dnK2FX&#10;vKYv7PSHXudrv3S8DycTpXx8yMQLsITX9AfDrz6pQ0tOR392OjIjYVOVOaESyvIZGAFVVpXAjkQW&#10;YgO8bfj/F9ofUEsDBBQAAAAIAIdO4kDGrQBIZQIAAMUEAAAOAAAAZHJzL2Uyb0RvYy54bWytVM1u&#10;EzEQviPxDpbvdDd/TRp1U4VWQUgVrVQQZ8frzVrYHmM72S0PAG/AiQt3nivPwdi76S+HHsjBGXs+&#10;fTPzzcyenrVakZ1wXoIp6OAop0QYDqU0m4J++rh6M6PEB2ZKpsCIgt4KT88Wr1+dNnYuhlCDKoUj&#10;SGL8vLEFrUOw8yzzvBaa+SOwwqCzAqdZwKvbZKVjDbJrlQ3z/DhrwJXWARfe4+tF56Q9o3sJIVSV&#10;5OIC+FYLEzpWJxQLWJKvpfV0kbKtKsHDVVV5EYgqKFYa0olB0F7HM1ucsvnGMVtL3qfAXpLCk5o0&#10;kwaD3lFdsMDI1slnVFpyBx6qcMRBZ10hSRGsYpA/0eamZlakWlBqb+9E9/+Pln/YXTsiy4LOppQY&#10;prHj+58/9r/+7H9/J/iGAjXWzxF3YxEZ2rfQ4tgc3j0+xrrbyun4jxUR9I9Hg1meo8i3BR1NZ/n0&#10;pJdatIFwBAwH+SQfTijhiJgMR7PpJFJm90zW+fBOgCbRKKjDViaF2e7Shw56gMTAHpQsV1KpdHGb&#10;9blyZMew7av069kfwZQhTUGPR5M8MT/yRe47irVi/MtzBsxWGUw6CtQJEa3QrttetTWUtyiag27u&#10;vOUribyXzIdr5nDQUCFcxXCFR6UAk4HeoqQG9+1f7xGP/UcvJQ0ObkH91y1zghL13uBknAzG4zjp&#10;6TKeTId4cQ8964ces9XngCINcOktT2bEB3UwKwf6M27sMkZFFzMcYxc0HMzz0K0TbjwXy2UC4Wxb&#10;Fi7NjeWROrbEwHIboJKpdVGmTptePZzu1Px+E+P6PLwn1P3XZ/E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ghQPidcAAAAKAQAADwAAAAAAAAABACAAAAAiAAAAZHJzL2Rvd25yZXYueG1sUEsBAhQA&#10;FAAAAAgAh07iQMatAEhlAgAAxQQAAA4AAAAAAAAAAQAgAAAAJgEAAGRycy9lMm9Eb2MueG1sUEsF&#10;BgAAAAAGAAYAWQEAAP0FAAAAAA==&#10;">
                <v:fill on="t" focussize="0,0"/>
                <v:stroke weight="0.5pt" color="#000000 [3204]" joinstyle="round"/>
                <v:imagedata o:title=""/>
                <o:lock v:ext="edit" aspectratio="f"/>
                <v:textbox>
                  <w:txbxContent>
                    <w:p>
                      <w:pPr>
                        <w:rPr>
                          <w:rFonts w:hint="eastAsia" w:eastAsia="宋体"/>
                          <w:lang w:val="en-US" w:eastAsia="zh-CN"/>
                        </w:rPr>
                      </w:pPr>
                      <w:r>
                        <w:rPr>
                          <w:rFonts w:hint="eastAsia"/>
                          <w:b/>
                          <w:color w:val="000000" w:themeColor="text1"/>
                          <w:sz w:val="22"/>
                          <w:szCs w:val="22"/>
                          <w:lang w:val="en-US" w:eastAsia="zh-CN"/>
                          <w14:textFill>
                            <w14:solidFill>
                              <w14:schemeClr w14:val="tx1"/>
                            </w14:solidFill>
                          </w14:textFill>
                        </w:rPr>
                        <w:t>高新区</w:t>
                      </w:r>
                      <w:r>
                        <w:rPr>
                          <w:rFonts w:hint="eastAsia"/>
                          <w:b/>
                          <w:color w:val="000000" w:themeColor="text1"/>
                          <w:sz w:val="22"/>
                          <w:szCs w:val="22"/>
                          <w14:textFill>
                            <w14:solidFill>
                              <w14:schemeClr w14:val="tx1"/>
                            </w14:solidFill>
                          </w14:textFill>
                        </w:rPr>
                        <w:t>峡州大道与合益路交会处东侧地块（3号地块）</w:t>
                      </w:r>
                    </w:p>
                  </w:txbxContent>
                </v:textbox>
              </v:shape>
            </w:pict>
          </mc:Fallback>
        </mc:AlternateContent>
      </w:r>
      <w:r>
        <w:drawing>
          <wp:anchor distT="0" distB="0" distL="114300" distR="114300" simplePos="0" relativeHeight="251715584" behindDoc="0" locked="0" layoutInCell="1" allowOverlap="1">
            <wp:simplePos x="0" y="0"/>
            <wp:positionH relativeFrom="column">
              <wp:posOffset>2800350</wp:posOffset>
            </wp:positionH>
            <wp:positionV relativeFrom="paragraph">
              <wp:posOffset>285750</wp:posOffset>
            </wp:positionV>
            <wp:extent cx="2456180" cy="1745615"/>
            <wp:effectExtent l="0" t="0" r="1270" b="6985"/>
            <wp:wrapNone/>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14"/>
                    <a:stretch>
                      <a:fillRect/>
                    </a:stretch>
                  </pic:blipFill>
                  <pic:spPr>
                    <a:xfrm>
                      <a:off x="0" y="0"/>
                      <a:ext cx="2456180" cy="1745615"/>
                    </a:xfrm>
                    <a:prstGeom prst="rect">
                      <a:avLst/>
                    </a:prstGeom>
                    <a:noFill/>
                    <a:ln>
                      <a:noFill/>
                    </a:ln>
                  </pic:spPr>
                </pic:pic>
              </a:graphicData>
            </a:graphic>
          </wp:anchor>
        </w:drawing>
      </w:r>
      <w:r>
        <w:drawing>
          <wp:inline distT="0" distB="0" distL="114300" distR="114300">
            <wp:extent cx="5291455" cy="4531995"/>
            <wp:effectExtent l="0" t="0" r="4445" b="1905"/>
            <wp:docPr id="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
                    <pic:cNvPicPr>
                      <a:picLocks noChangeAspect="1"/>
                    </pic:cNvPicPr>
                  </pic:nvPicPr>
                  <pic:blipFill>
                    <a:blip r:embed="rId15"/>
                    <a:stretch>
                      <a:fillRect/>
                    </a:stretch>
                  </pic:blipFill>
                  <pic:spPr>
                    <a:xfrm>
                      <a:off x="0" y="0"/>
                      <a:ext cx="5291455" cy="4531995"/>
                    </a:xfrm>
                    <a:prstGeom prst="rect">
                      <a:avLst/>
                    </a:prstGeom>
                    <a:noFill/>
                    <a:ln>
                      <a:noFill/>
                    </a:ln>
                  </pic:spPr>
                </pic:pic>
              </a:graphicData>
            </a:graphic>
          </wp:inline>
        </w:drawing>
      </w:r>
    </w:p>
    <w:p>
      <w:pPr>
        <w:keepNext/>
        <w:jc w:val="center"/>
        <w:rPr>
          <w:rFonts w:hint="eastAsia"/>
          <w:b/>
          <w:bCs/>
          <w:sz w:val="21"/>
          <w:szCs w:val="21"/>
        </w:rPr>
      </w:pPr>
      <w:r>
        <w:rPr>
          <w:rFonts w:hint="eastAsia"/>
          <w:b/>
          <w:bCs/>
          <w:sz w:val="21"/>
          <w:szCs w:val="21"/>
        </w:rPr>
        <w:t>图3.1-</w:t>
      </w:r>
      <w:r>
        <w:rPr>
          <w:rFonts w:hint="eastAsia"/>
          <w:b/>
          <w:bCs/>
          <w:sz w:val="21"/>
          <w:szCs w:val="21"/>
          <w:lang w:val="en-US" w:eastAsia="zh-CN"/>
        </w:rPr>
        <w:t>4</w:t>
      </w:r>
      <w:r>
        <w:rPr>
          <w:rFonts w:hint="eastAsia"/>
          <w:b/>
          <w:bCs/>
          <w:sz w:val="21"/>
          <w:szCs w:val="21"/>
        </w:rPr>
        <w:t xml:space="preserve">  宜昌市浅层水文地质简图</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15" w:name="_Toc14068"/>
      <w:r>
        <w:rPr>
          <w:rFonts w:hint="eastAsia" w:ascii="Times New Roman" w:hAnsi="Times New Roman" w:eastAsia="宋体" w:cs="Times New Roman"/>
          <w:b/>
          <w:bCs/>
          <w:sz w:val="28"/>
          <w:szCs w:val="32"/>
          <w:lang w:val="en-US" w:eastAsia="zh-CN" w:bidi="ar-SA"/>
        </w:rPr>
        <w:t>敏感目标</w:t>
      </w:r>
      <w:bookmarkEnd w:id="15"/>
    </w:p>
    <w:p>
      <w:pPr>
        <w:widowControl w:val="0"/>
        <w:adjustRightInd w:val="0"/>
        <w:snapToGrid w:val="0"/>
        <w:spacing w:line="312" w:lineRule="auto"/>
        <w:ind w:firstLine="480" w:firstLineChars="200"/>
        <w:jc w:val="both"/>
        <w:rPr>
          <w:rFonts w:ascii="Times New Roman" w:hAnsi="Times New Roman" w:eastAsia="宋体" w:cs="Times New Roman"/>
          <w:kern w:val="2"/>
          <w:sz w:val="24"/>
          <w:szCs w:val="24"/>
          <w:highlight w:val="yellow"/>
          <w:lang w:val="en-US" w:eastAsia="zh-CN" w:bidi="ar-SA"/>
        </w:rPr>
      </w:pPr>
      <w:r>
        <w:rPr>
          <w:rFonts w:ascii="Times New Roman" w:hAnsi="Times New Roman" w:eastAsia="宋体" w:cs="Times New Roman"/>
          <w:kern w:val="2"/>
          <w:sz w:val="24"/>
          <w:szCs w:val="24"/>
          <w:lang w:val="en-US" w:eastAsia="zh-CN" w:bidi="ar-SA"/>
        </w:rPr>
        <w:t>敏感目标调查参考《重点行业企业用地调查信息采集工作手册》要求，对项目周边1km范围内的学校、医院、居民区、幼儿园、集中式饮用水水源地、饮用水井、食用农产品产地、自然保护区、地表水体等敏感受体分布情况进行调查，经现场踏勘，项目周边环境敏感目标主要是</w:t>
      </w:r>
      <w:r>
        <w:rPr>
          <w:rFonts w:hint="eastAsia" w:cs="Times New Roman"/>
          <w:kern w:val="2"/>
          <w:sz w:val="24"/>
          <w:szCs w:val="24"/>
          <w:lang w:val="en-US" w:eastAsia="zh-CN" w:bidi="ar-SA"/>
        </w:rPr>
        <w:t>村庄</w:t>
      </w:r>
      <w:r>
        <w:rPr>
          <w:rFonts w:ascii="Times New Roman" w:hAnsi="Times New Roman" w:eastAsia="宋体" w:cs="Times New Roman"/>
          <w:kern w:val="2"/>
          <w:sz w:val="24"/>
          <w:szCs w:val="24"/>
          <w:lang w:val="en-US" w:eastAsia="zh-CN" w:bidi="ar-SA"/>
        </w:rPr>
        <w:t>和地表水体，分布情况详见下</w:t>
      </w:r>
      <w:r>
        <w:rPr>
          <w:rFonts w:hint="eastAsia" w:ascii="Times New Roman" w:hAnsi="Times New Roman" w:eastAsia="宋体" w:cs="Times New Roman"/>
          <w:kern w:val="2"/>
          <w:sz w:val="24"/>
          <w:szCs w:val="24"/>
          <w:lang w:val="en-US" w:eastAsia="zh-CN" w:bidi="ar-SA"/>
        </w:rPr>
        <w:t>表3.</w:t>
      </w:r>
      <w:r>
        <w:rPr>
          <w:rFonts w:hint="eastAsia"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-1</w:t>
      </w:r>
      <w:r>
        <w:rPr>
          <w:rFonts w:ascii="Times New Roman" w:hAnsi="Times New Roman" w:eastAsia="宋体" w:cs="Times New Roman"/>
          <w:kern w:val="2"/>
          <w:sz w:val="24"/>
          <w:szCs w:val="24"/>
          <w:lang w:val="en-US" w:eastAsia="zh-CN" w:bidi="ar-SA"/>
        </w:rPr>
        <w:t>和</w:t>
      </w:r>
      <w:r>
        <w:rPr>
          <w:rFonts w:hint="eastAsia" w:cs="Times New Roman"/>
          <w:kern w:val="2"/>
          <w:sz w:val="24"/>
          <w:szCs w:val="24"/>
          <w:lang w:val="en-US" w:eastAsia="zh-CN" w:bidi="ar-SA"/>
        </w:rPr>
        <w:t>附图</w:t>
      </w:r>
      <w:r>
        <w:rPr>
          <w:rFonts w:ascii="Times New Roman" w:hAnsi="Times New Roman" w:eastAsia="宋体" w:cs="Times New Roman"/>
          <w:kern w:val="2"/>
          <w:sz w:val="24"/>
          <w:szCs w:val="24"/>
          <w:lang w:val="en-US" w:eastAsia="zh-CN" w:bidi="ar-SA"/>
        </w:rPr>
        <w:t>3。</w:t>
      </w:r>
    </w:p>
    <w:p>
      <w:pPr>
        <w:keepNext/>
        <w:adjustRightInd w:val="0"/>
        <w:snapToGrid w:val="0"/>
        <w:spacing w:before="0" w:beforeLines="0" w:after="156" w:afterLines="50" w:line="240" w:lineRule="auto"/>
        <w:jc w:val="center"/>
        <w:rPr>
          <w:rFonts w:ascii="Times New Roman" w:hAnsi="Times New Roman" w:eastAsia="宋体" w:cs="Times New Roman"/>
          <w:b/>
          <w:sz w:val="21"/>
          <w:szCs w:val="21"/>
          <w:lang w:val="en-US" w:eastAsia="zh-CN" w:bidi="ar-SA"/>
        </w:rPr>
      </w:pPr>
      <w:bookmarkStart w:id="16" w:name="_Ref62155784"/>
      <w:bookmarkStart w:id="17" w:name="_Hlk96679580"/>
      <w:r>
        <w:rPr>
          <w:rFonts w:hint="eastAsia" w:ascii="Times New Roman" w:hAnsi="Times New Roman" w:eastAsia="宋体" w:cs="Times New Roman"/>
          <w:b/>
          <w:sz w:val="21"/>
          <w:szCs w:val="21"/>
          <w:lang w:val="en-US" w:eastAsia="zh-CN" w:bidi="ar-SA"/>
        </w:rPr>
        <w:t xml:space="preserve">表 </w:t>
      </w:r>
      <w:bookmarkEnd w:id="16"/>
      <w:r>
        <w:rPr>
          <w:rFonts w:hint="eastAsia" w:ascii="Times New Roman" w:hAnsi="Times New Roman" w:eastAsia="宋体" w:cs="Times New Roman"/>
          <w:b/>
          <w:sz w:val="21"/>
          <w:szCs w:val="21"/>
          <w:lang w:val="en-US" w:eastAsia="zh-CN" w:bidi="ar-SA"/>
        </w:rPr>
        <w:t>3.3-1</w:t>
      </w:r>
      <w:r>
        <w:rPr>
          <w:rFonts w:ascii="Times New Roman" w:hAnsi="Times New Roman" w:eastAsia="宋体" w:cs="Times New Roman"/>
          <w:b/>
          <w:sz w:val="21"/>
          <w:szCs w:val="21"/>
          <w:lang w:val="en-US" w:eastAsia="zh-CN" w:bidi="ar-SA"/>
        </w:rPr>
        <w:t xml:space="preserve">  </w:t>
      </w:r>
      <w:r>
        <w:rPr>
          <w:rFonts w:hint="eastAsia" w:ascii="Times New Roman" w:hAnsi="Times New Roman" w:eastAsia="宋体" w:cs="Times New Roman"/>
          <w:b/>
          <w:sz w:val="21"/>
          <w:szCs w:val="21"/>
          <w:lang w:val="en-US" w:eastAsia="zh-CN" w:bidi="ar-SA"/>
        </w:rPr>
        <w:t>项目周边环境敏感目标分布情况统计表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864"/>
        <w:gridCol w:w="2575"/>
        <w:gridCol w:w="1701"/>
        <w:gridCol w:w="1152"/>
        <w:gridCol w:w="1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705" w:type="pct"/>
            <w:vAlign w:val="center"/>
          </w:tcPr>
          <w:p>
            <w:pPr>
              <w:widowControl/>
              <w:adjustRightInd w:val="0"/>
              <w:snapToGrid w:val="0"/>
              <w:spacing w:line="240" w:lineRule="auto"/>
              <w:jc w:val="center"/>
              <w:rPr>
                <w:rFonts w:cs="Times New Roman"/>
                <w:b/>
                <w:kern w:val="0"/>
                <w:sz w:val="21"/>
                <w:szCs w:val="21"/>
              </w:rPr>
            </w:pPr>
            <w:bookmarkStart w:id="18" w:name="_Hlk62666558"/>
            <w:r>
              <w:rPr>
                <w:rFonts w:hint="eastAsia" w:cs="Times New Roman"/>
                <w:b/>
                <w:kern w:val="0"/>
                <w:sz w:val="21"/>
                <w:szCs w:val="21"/>
              </w:rPr>
              <w:t>类别</w:t>
            </w:r>
          </w:p>
        </w:tc>
        <w:tc>
          <w:tcPr>
            <w:tcW w:w="505" w:type="pct"/>
            <w:vAlign w:val="center"/>
          </w:tcPr>
          <w:p>
            <w:pPr>
              <w:widowControl/>
              <w:adjustRightInd w:val="0"/>
              <w:snapToGrid w:val="0"/>
              <w:spacing w:line="240" w:lineRule="auto"/>
              <w:jc w:val="center"/>
              <w:rPr>
                <w:rFonts w:cs="Times New Roman"/>
                <w:b/>
                <w:kern w:val="0"/>
                <w:sz w:val="21"/>
                <w:szCs w:val="21"/>
              </w:rPr>
            </w:pPr>
            <w:r>
              <w:rPr>
                <w:rFonts w:hint="eastAsia" w:cs="Times New Roman"/>
                <w:b/>
                <w:kern w:val="0"/>
                <w:sz w:val="21"/>
                <w:szCs w:val="21"/>
              </w:rPr>
              <w:t>编号</w:t>
            </w:r>
          </w:p>
        </w:tc>
        <w:tc>
          <w:tcPr>
            <w:tcW w:w="1505" w:type="pct"/>
            <w:vAlign w:val="center"/>
          </w:tcPr>
          <w:p>
            <w:pPr>
              <w:widowControl/>
              <w:adjustRightInd w:val="0"/>
              <w:snapToGrid w:val="0"/>
              <w:spacing w:line="240" w:lineRule="auto"/>
              <w:jc w:val="center"/>
              <w:rPr>
                <w:rFonts w:cs="Times New Roman"/>
                <w:b/>
                <w:kern w:val="0"/>
                <w:sz w:val="21"/>
                <w:szCs w:val="21"/>
              </w:rPr>
            </w:pPr>
            <w:r>
              <w:rPr>
                <w:rFonts w:cs="Times New Roman"/>
                <w:b/>
                <w:kern w:val="0"/>
                <w:sz w:val="21"/>
                <w:szCs w:val="21"/>
              </w:rPr>
              <w:t>敏感目标</w:t>
            </w:r>
          </w:p>
        </w:tc>
        <w:tc>
          <w:tcPr>
            <w:tcW w:w="994" w:type="pct"/>
            <w:vAlign w:val="center"/>
          </w:tcPr>
          <w:p>
            <w:pPr>
              <w:widowControl/>
              <w:adjustRightInd w:val="0"/>
              <w:snapToGrid w:val="0"/>
              <w:spacing w:line="240" w:lineRule="auto"/>
              <w:jc w:val="center"/>
              <w:rPr>
                <w:rFonts w:cs="Times New Roman"/>
                <w:b/>
                <w:kern w:val="0"/>
                <w:sz w:val="21"/>
                <w:szCs w:val="21"/>
              </w:rPr>
            </w:pPr>
            <w:r>
              <w:rPr>
                <w:rFonts w:cs="Times New Roman"/>
                <w:b/>
                <w:kern w:val="0"/>
                <w:sz w:val="21"/>
                <w:szCs w:val="21"/>
              </w:rPr>
              <w:t>保护</w:t>
            </w:r>
            <w:r>
              <w:rPr>
                <w:rFonts w:hint="eastAsia" w:cs="Times New Roman"/>
                <w:b/>
                <w:kern w:val="0"/>
                <w:sz w:val="21"/>
                <w:szCs w:val="21"/>
              </w:rPr>
              <w:t>内容</w:t>
            </w:r>
          </w:p>
        </w:tc>
        <w:tc>
          <w:tcPr>
            <w:tcW w:w="673" w:type="pct"/>
            <w:vAlign w:val="center"/>
          </w:tcPr>
          <w:p>
            <w:pPr>
              <w:widowControl/>
              <w:adjustRightInd w:val="0"/>
              <w:snapToGrid w:val="0"/>
              <w:spacing w:line="240" w:lineRule="auto"/>
              <w:jc w:val="center"/>
              <w:rPr>
                <w:rFonts w:cs="Times New Roman"/>
                <w:b/>
                <w:kern w:val="0"/>
                <w:sz w:val="21"/>
                <w:szCs w:val="21"/>
              </w:rPr>
            </w:pPr>
            <w:r>
              <w:rPr>
                <w:rFonts w:cs="Times New Roman"/>
                <w:b/>
                <w:kern w:val="0"/>
                <w:sz w:val="21"/>
                <w:szCs w:val="21"/>
              </w:rPr>
              <w:t>方位</w:t>
            </w:r>
          </w:p>
        </w:tc>
        <w:tc>
          <w:tcPr>
            <w:tcW w:w="615" w:type="pct"/>
            <w:vAlign w:val="center"/>
          </w:tcPr>
          <w:p>
            <w:pPr>
              <w:widowControl/>
              <w:adjustRightInd w:val="0"/>
              <w:snapToGrid w:val="0"/>
              <w:spacing w:line="240" w:lineRule="auto"/>
              <w:jc w:val="center"/>
              <w:rPr>
                <w:rFonts w:cs="Times New Roman"/>
                <w:b/>
                <w:kern w:val="0"/>
                <w:sz w:val="21"/>
                <w:szCs w:val="21"/>
              </w:rPr>
            </w:pPr>
            <w:r>
              <w:rPr>
                <w:rFonts w:cs="Times New Roman"/>
                <w:b/>
                <w:kern w:val="0"/>
                <w:sz w:val="21"/>
                <w:szCs w:val="21"/>
              </w:rPr>
              <w:t>距离（</w:t>
            </w:r>
            <w:r>
              <w:rPr>
                <w:rFonts w:hint="eastAsia" w:cs="Times New Roman"/>
                <w:b/>
                <w:kern w:val="0"/>
                <w:sz w:val="2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pct"/>
            <w:vMerge w:val="restart"/>
            <w:vAlign w:val="center"/>
          </w:tcPr>
          <w:p>
            <w:pPr>
              <w:widowControl/>
              <w:adjustRightInd w:val="0"/>
              <w:snapToGrid w:val="0"/>
              <w:spacing w:line="240" w:lineRule="auto"/>
              <w:jc w:val="center"/>
              <w:rPr>
                <w:rFonts w:cs="Times New Roman"/>
                <w:kern w:val="0"/>
                <w:sz w:val="21"/>
                <w:szCs w:val="21"/>
              </w:rPr>
            </w:pPr>
            <w:r>
              <w:rPr>
                <w:rFonts w:hint="eastAsia" w:cs="Times New Roman"/>
                <w:kern w:val="0"/>
                <w:sz w:val="21"/>
                <w:szCs w:val="21"/>
              </w:rPr>
              <w:t>居民住宅</w:t>
            </w:r>
          </w:p>
        </w:tc>
        <w:tc>
          <w:tcPr>
            <w:tcW w:w="505" w:type="pct"/>
            <w:vAlign w:val="center"/>
          </w:tcPr>
          <w:p>
            <w:pPr>
              <w:widowControl/>
              <w:adjustRightInd w:val="0"/>
              <w:snapToGrid w:val="0"/>
              <w:spacing w:line="240" w:lineRule="auto"/>
              <w:jc w:val="center"/>
              <w:rPr>
                <w:rFonts w:cs="Times New Roman"/>
                <w:kern w:val="0"/>
                <w:sz w:val="21"/>
                <w:szCs w:val="21"/>
              </w:rPr>
            </w:pPr>
            <w:r>
              <w:rPr>
                <w:rFonts w:hint="eastAsia" w:cs="Times New Roman"/>
                <w:kern w:val="0"/>
                <w:sz w:val="21"/>
                <w:szCs w:val="21"/>
              </w:rPr>
              <w:t>1</w:t>
            </w:r>
          </w:p>
        </w:tc>
        <w:tc>
          <w:tcPr>
            <w:tcW w:w="1505" w:type="pct"/>
            <w:vAlign w:val="center"/>
          </w:tcPr>
          <w:p>
            <w:pPr>
              <w:widowControl/>
              <w:adjustRightInd w:val="0"/>
              <w:snapToGrid w:val="0"/>
              <w:spacing w:line="240" w:lineRule="auto"/>
              <w:jc w:val="center"/>
              <w:rPr>
                <w:rFonts w:hint="eastAsia" w:eastAsia="宋体" w:cs="Times New Roman"/>
                <w:kern w:val="0"/>
                <w:sz w:val="21"/>
                <w:szCs w:val="21"/>
                <w:lang w:eastAsia="zh-CN"/>
              </w:rPr>
            </w:pPr>
            <w:r>
              <w:rPr>
                <w:rFonts w:hint="eastAsia" w:cs="Times New Roman"/>
                <w:kern w:val="0"/>
                <w:sz w:val="21"/>
                <w:szCs w:val="21"/>
                <w:lang w:val="en-US" w:eastAsia="zh-CN"/>
              </w:rPr>
              <w:t>张家台</w:t>
            </w:r>
          </w:p>
        </w:tc>
        <w:tc>
          <w:tcPr>
            <w:tcW w:w="994" w:type="pct"/>
            <w:vAlign w:val="center"/>
          </w:tcPr>
          <w:p>
            <w:pPr>
              <w:widowControl/>
              <w:adjustRightInd w:val="0"/>
              <w:snapToGrid w:val="0"/>
              <w:spacing w:line="240" w:lineRule="auto"/>
              <w:jc w:val="center"/>
              <w:rPr>
                <w:rFonts w:cs="Times New Roman"/>
                <w:kern w:val="0"/>
                <w:sz w:val="21"/>
                <w:szCs w:val="21"/>
              </w:rPr>
            </w:pPr>
            <w:r>
              <w:rPr>
                <w:rFonts w:cs="Times New Roman"/>
                <w:kern w:val="0"/>
                <w:sz w:val="21"/>
                <w:szCs w:val="21"/>
              </w:rPr>
              <w:t>约</w:t>
            </w:r>
            <w:r>
              <w:rPr>
                <w:rFonts w:hint="eastAsia" w:cs="Times New Roman"/>
                <w:kern w:val="0"/>
                <w:sz w:val="21"/>
                <w:szCs w:val="21"/>
                <w:lang w:val="en-US" w:eastAsia="zh-CN"/>
              </w:rPr>
              <w:t>45</w:t>
            </w:r>
            <w:r>
              <w:rPr>
                <w:rFonts w:hint="eastAsia" w:cs="Times New Roman"/>
                <w:kern w:val="0"/>
                <w:sz w:val="21"/>
                <w:szCs w:val="21"/>
              </w:rPr>
              <w:t>人</w:t>
            </w:r>
          </w:p>
        </w:tc>
        <w:tc>
          <w:tcPr>
            <w:tcW w:w="673"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cs="Times New Roman"/>
                <w:kern w:val="0"/>
                <w:sz w:val="21"/>
                <w:szCs w:val="21"/>
              </w:rPr>
              <w:t>东</w:t>
            </w:r>
            <w:r>
              <w:rPr>
                <w:rFonts w:hint="eastAsia" w:cs="Times New Roman"/>
                <w:kern w:val="0"/>
                <w:sz w:val="21"/>
                <w:szCs w:val="21"/>
                <w:lang w:val="en-US" w:eastAsia="zh-CN"/>
              </w:rPr>
              <w:t>北</w:t>
            </w:r>
          </w:p>
        </w:tc>
        <w:tc>
          <w:tcPr>
            <w:tcW w:w="61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pct"/>
            <w:vMerge w:val="continue"/>
            <w:vAlign w:val="center"/>
          </w:tcPr>
          <w:p>
            <w:pPr>
              <w:widowControl/>
              <w:adjustRightInd w:val="0"/>
              <w:snapToGrid w:val="0"/>
              <w:spacing w:line="240" w:lineRule="auto"/>
              <w:jc w:val="center"/>
              <w:rPr>
                <w:rFonts w:cs="Times New Roman"/>
                <w:kern w:val="0"/>
                <w:sz w:val="21"/>
                <w:szCs w:val="21"/>
              </w:rPr>
            </w:pPr>
          </w:p>
        </w:tc>
        <w:tc>
          <w:tcPr>
            <w:tcW w:w="505" w:type="pct"/>
            <w:vAlign w:val="center"/>
          </w:tcPr>
          <w:p>
            <w:pPr>
              <w:widowControl/>
              <w:adjustRightInd w:val="0"/>
              <w:snapToGrid w:val="0"/>
              <w:spacing w:line="240" w:lineRule="auto"/>
              <w:jc w:val="center"/>
              <w:rPr>
                <w:rFonts w:cs="Times New Roman"/>
                <w:kern w:val="0"/>
                <w:sz w:val="21"/>
                <w:szCs w:val="21"/>
              </w:rPr>
            </w:pPr>
            <w:r>
              <w:rPr>
                <w:rFonts w:hint="eastAsia" w:cs="Times New Roman"/>
                <w:kern w:val="0"/>
                <w:sz w:val="21"/>
                <w:szCs w:val="21"/>
              </w:rPr>
              <w:t>2</w:t>
            </w:r>
          </w:p>
        </w:tc>
        <w:tc>
          <w:tcPr>
            <w:tcW w:w="1505" w:type="pct"/>
            <w:vAlign w:val="center"/>
          </w:tcPr>
          <w:p>
            <w:pPr>
              <w:widowControl/>
              <w:adjustRightInd w:val="0"/>
              <w:snapToGrid w:val="0"/>
              <w:spacing w:line="240" w:lineRule="auto"/>
              <w:jc w:val="center"/>
              <w:rPr>
                <w:rFonts w:hint="eastAsia" w:eastAsia="宋体" w:cs="Times New Roman"/>
                <w:kern w:val="0"/>
                <w:sz w:val="21"/>
                <w:szCs w:val="21"/>
                <w:lang w:eastAsia="zh-CN"/>
              </w:rPr>
            </w:pPr>
            <w:r>
              <w:rPr>
                <w:rFonts w:hint="eastAsia" w:cs="Times New Roman"/>
                <w:kern w:val="0"/>
                <w:sz w:val="21"/>
                <w:szCs w:val="21"/>
                <w:lang w:val="en-US" w:eastAsia="zh-CN"/>
              </w:rPr>
              <w:t>刘家湾</w:t>
            </w:r>
          </w:p>
        </w:tc>
        <w:tc>
          <w:tcPr>
            <w:tcW w:w="994" w:type="pct"/>
            <w:vAlign w:val="center"/>
          </w:tcPr>
          <w:p>
            <w:pPr>
              <w:widowControl/>
              <w:adjustRightInd w:val="0"/>
              <w:snapToGrid w:val="0"/>
              <w:spacing w:line="240" w:lineRule="auto"/>
              <w:jc w:val="center"/>
              <w:rPr>
                <w:rFonts w:cs="Times New Roman"/>
                <w:kern w:val="0"/>
                <w:sz w:val="21"/>
                <w:szCs w:val="21"/>
              </w:rPr>
            </w:pPr>
            <w:r>
              <w:rPr>
                <w:rFonts w:cs="Times New Roman"/>
                <w:kern w:val="0"/>
                <w:sz w:val="21"/>
                <w:szCs w:val="21"/>
              </w:rPr>
              <w:t>约</w:t>
            </w:r>
            <w:r>
              <w:rPr>
                <w:rFonts w:hint="eastAsia" w:cs="Times New Roman"/>
                <w:kern w:val="0"/>
                <w:sz w:val="21"/>
                <w:szCs w:val="21"/>
                <w:lang w:val="en-US" w:eastAsia="zh-CN"/>
              </w:rPr>
              <w:t>15</w:t>
            </w:r>
            <w:r>
              <w:rPr>
                <w:rFonts w:hint="eastAsia" w:cs="Times New Roman"/>
                <w:kern w:val="0"/>
                <w:sz w:val="21"/>
                <w:szCs w:val="21"/>
              </w:rPr>
              <w:t>人</w:t>
            </w:r>
          </w:p>
        </w:tc>
        <w:tc>
          <w:tcPr>
            <w:tcW w:w="673"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hint="eastAsia" w:cs="Times New Roman"/>
                <w:kern w:val="0"/>
                <w:sz w:val="21"/>
                <w:szCs w:val="21"/>
                <w:lang w:val="en-US" w:eastAsia="zh-CN"/>
              </w:rPr>
              <w:t>西北</w:t>
            </w:r>
          </w:p>
        </w:tc>
        <w:tc>
          <w:tcPr>
            <w:tcW w:w="61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pct"/>
            <w:vMerge w:val="continue"/>
            <w:vAlign w:val="center"/>
          </w:tcPr>
          <w:p>
            <w:pPr>
              <w:widowControl/>
              <w:adjustRightInd w:val="0"/>
              <w:snapToGrid w:val="0"/>
              <w:spacing w:line="240" w:lineRule="auto"/>
              <w:jc w:val="center"/>
              <w:rPr>
                <w:rFonts w:cs="Times New Roman"/>
                <w:kern w:val="0"/>
                <w:sz w:val="21"/>
                <w:szCs w:val="21"/>
              </w:rPr>
            </w:pPr>
          </w:p>
        </w:tc>
        <w:tc>
          <w:tcPr>
            <w:tcW w:w="505" w:type="pct"/>
            <w:vAlign w:val="center"/>
          </w:tcPr>
          <w:p>
            <w:pPr>
              <w:widowControl/>
              <w:adjustRightInd w:val="0"/>
              <w:snapToGrid w:val="0"/>
              <w:spacing w:line="240" w:lineRule="auto"/>
              <w:jc w:val="center"/>
              <w:rPr>
                <w:rFonts w:cs="Times New Roman"/>
                <w:kern w:val="0"/>
                <w:sz w:val="21"/>
                <w:szCs w:val="21"/>
              </w:rPr>
            </w:pPr>
            <w:r>
              <w:rPr>
                <w:rFonts w:hint="eastAsia" w:cs="Times New Roman"/>
                <w:kern w:val="0"/>
                <w:sz w:val="21"/>
                <w:szCs w:val="21"/>
              </w:rPr>
              <w:t>3</w:t>
            </w:r>
          </w:p>
        </w:tc>
        <w:tc>
          <w:tcPr>
            <w:tcW w:w="150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孙家湾居民1</w:t>
            </w:r>
          </w:p>
        </w:tc>
        <w:tc>
          <w:tcPr>
            <w:tcW w:w="994" w:type="pct"/>
            <w:vAlign w:val="center"/>
          </w:tcPr>
          <w:p>
            <w:pPr>
              <w:widowControl/>
              <w:adjustRightInd w:val="0"/>
              <w:snapToGrid w:val="0"/>
              <w:spacing w:line="240" w:lineRule="auto"/>
              <w:jc w:val="center"/>
              <w:rPr>
                <w:rFonts w:cs="Times New Roman"/>
                <w:kern w:val="0"/>
                <w:sz w:val="21"/>
                <w:szCs w:val="21"/>
              </w:rPr>
            </w:pPr>
            <w:r>
              <w:rPr>
                <w:rFonts w:cs="Times New Roman"/>
                <w:kern w:val="0"/>
                <w:sz w:val="21"/>
                <w:szCs w:val="21"/>
              </w:rPr>
              <w:t>约</w:t>
            </w:r>
            <w:r>
              <w:rPr>
                <w:rFonts w:hint="eastAsia" w:cs="Times New Roman"/>
                <w:kern w:val="0"/>
                <w:sz w:val="21"/>
                <w:szCs w:val="21"/>
                <w:lang w:val="en-US" w:eastAsia="zh-CN"/>
              </w:rPr>
              <w:t>9</w:t>
            </w:r>
            <w:r>
              <w:rPr>
                <w:rFonts w:hint="eastAsia" w:cs="Times New Roman"/>
                <w:kern w:val="0"/>
                <w:sz w:val="21"/>
                <w:szCs w:val="21"/>
              </w:rPr>
              <w:t>人</w:t>
            </w:r>
          </w:p>
        </w:tc>
        <w:tc>
          <w:tcPr>
            <w:tcW w:w="673"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hint="eastAsia" w:cs="Times New Roman"/>
                <w:kern w:val="0"/>
                <w:sz w:val="21"/>
                <w:szCs w:val="21"/>
                <w:lang w:val="en-US" w:eastAsia="zh-CN"/>
              </w:rPr>
              <w:t>西北</w:t>
            </w:r>
          </w:p>
        </w:tc>
        <w:tc>
          <w:tcPr>
            <w:tcW w:w="61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pct"/>
            <w:vMerge w:val="continue"/>
            <w:vAlign w:val="center"/>
          </w:tcPr>
          <w:p>
            <w:pPr>
              <w:widowControl/>
              <w:adjustRightInd w:val="0"/>
              <w:snapToGrid w:val="0"/>
              <w:spacing w:line="240" w:lineRule="auto"/>
              <w:jc w:val="center"/>
              <w:rPr>
                <w:rFonts w:cs="Times New Roman"/>
                <w:kern w:val="0"/>
                <w:sz w:val="21"/>
                <w:szCs w:val="21"/>
              </w:rPr>
            </w:pPr>
          </w:p>
        </w:tc>
        <w:tc>
          <w:tcPr>
            <w:tcW w:w="505" w:type="pct"/>
            <w:vAlign w:val="center"/>
          </w:tcPr>
          <w:p>
            <w:pPr>
              <w:widowControl/>
              <w:adjustRightInd w:val="0"/>
              <w:snapToGrid w:val="0"/>
              <w:spacing w:line="240" w:lineRule="auto"/>
              <w:jc w:val="center"/>
              <w:rPr>
                <w:rFonts w:cs="Times New Roman"/>
                <w:kern w:val="0"/>
                <w:sz w:val="21"/>
                <w:szCs w:val="21"/>
              </w:rPr>
            </w:pPr>
            <w:r>
              <w:rPr>
                <w:rFonts w:hint="eastAsia" w:cs="Times New Roman"/>
                <w:kern w:val="0"/>
                <w:sz w:val="21"/>
                <w:szCs w:val="21"/>
              </w:rPr>
              <w:t>4</w:t>
            </w:r>
          </w:p>
        </w:tc>
        <w:tc>
          <w:tcPr>
            <w:tcW w:w="150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孙家湾居民2</w:t>
            </w:r>
          </w:p>
        </w:tc>
        <w:tc>
          <w:tcPr>
            <w:tcW w:w="994" w:type="pct"/>
            <w:vAlign w:val="center"/>
          </w:tcPr>
          <w:p>
            <w:pPr>
              <w:widowControl/>
              <w:adjustRightInd w:val="0"/>
              <w:snapToGrid w:val="0"/>
              <w:spacing w:line="240" w:lineRule="auto"/>
              <w:jc w:val="center"/>
              <w:rPr>
                <w:rFonts w:cs="Times New Roman"/>
                <w:kern w:val="0"/>
                <w:sz w:val="21"/>
                <w:szCs w:val="21"/>
              </w:rPr>
            </w:pPr>
            <w:r>
              <w:rPr>
                <w:rFonts w:cs="Times New Roman"/>
                <w:kern w:val="0"/>
                <w:sz w:val="21"/>
                <w:szCs w:val="21"/>
              </w:rPr>
              <w:t>约</w:t>
            </w:r>
            <w:r>
              <w:rPr>
                <w:rFonts w:hint="eastAsia" w:cs="Times New Roman"/>
                <w:kern w:val="0"/>
                <w:sz w:val="21"/>
                <w:szCs w:val="21"/>
                <w:lang w:val="en-US" w:eastAsia="zh-CN"/>
              </w:rPr>
              <w:t>6</w:t>
            </w:r>
            <w:r>
              <w:rPr>
                <w:rFonts w:hint="eastAsia" w:cs="Times New Roman"/>
                <w:kern w:val="0"/>
                <w:sz w:val="21"/>
                <w:szCs w:val="21"/>
              </w:rPr>
              <w:t>人</w:t>
            </w:r>
          </w:p>
        </w:tc>
        <w:tc>
          <w:tcPr>
            <w:tcW w:w="673"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hint="eastAsia" w:cs="Times New Roman"/>
                <w:kern w:val="0"/>
                <w:sz w:val="21"/>
                <w:szCs w:val="21"/>
                <w:lang w:val="en-US" w:eastAsia="zh-CN"/>
              </w:rPr>
              <w:t>西北</w:t>
            </w:r>
          </w:p>
        </w:tc>
        <w:tc>
          <w:tcPr>
            <w:tcW w:w="61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pct"/>
            <w:vMerge w:val="continue"/>
            <w:vAlign w:val="center"/>
          </w:tcPr>
          <w:p>
            <w:pPr>
              <w:widowControl/>
              <w:adjustRightInd w:val="0"/>
              <w:snapToGrid w:val="0"/>
              <w:spacing w:line="240" w:lineRule="auto"/>
              <w:jc w:val="center"/>
              <w:rPr>
                <w:rFonts w:cs="Times New Roman"/>
                <w:kern w:val="0"/>
                <w:sz w:val="21"/>
                <w:szCs w:val="21"/>
              </w:rPr>
            </w:pPr>
          </w:p>
        </w:tc>
        <w:tc>
          <w:tcPr>
            <w:tcW w:w="505" w:type="pct"/>
            <w:vAlign w:val="center"/>
          </w:tcPr>
          <w:p>
            <w:pPr>
              <w:widowControl/>
              <w:adjustRightInd w:val="0"/>
              <w:snapToGrid w:val="0"/>
              <w:spacing w:line="240" w:lineRule="auto"/>
              <w:jc w:val="center"/>
              <w:rPr>
                <w:rFonts w:cs="Times New Roman"/>
                <w:kern w:val="0"/>
                <w:sz w:val="21"/>
                <w:szCs w:val="21"/>
              </w:rPr>
            </w:pPr>
            <w:r>
              <w:rPr>
                <w:rFonts w:hint="eastAsia" w:cs="Times New Roman"/>
                <w:kern w:val="0"/>
                <w:sz w:val="21"/>
                <w:szCs w:val="21"/>
              </w:rPr>
              <w:t>5</w:t>
            </w:r>
          </w:p>
        </w:tc>
        <w:tc>
          <w:tcPr>
            <w:tcW w:w="150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燕子别院</w:t>
            </w:r>
          </w:p>
        </w:tc>
        <w:tc>
          <w:tcPr>
            <w:tcW w:w="994" w:type="pct"/>
            <w:vAlign w:val="center"/>
          </w:tcPr>
          <w:p>
            <w:pPr>
              <w:widowControl/>
              <w:adjustRightInd w:val="0"/>
              <w:snapToGrid w:val="0"/>
              <w:spacing w:line="240" w:lineRule="auto"/>
              <w:jc w:val="center"/>
              <w:rPr>
                <w:rFonts w:cs="Times New Roman"/>
                <w:kern w:val="0"/>
                <w:sz w:val="21"/>
                <w:szCs w:val="21"/>
              </w:rPr>
            </w:pPr>
            <w:r>
              <w:rPr>
                <w:rFonts w:cs="Times New Roman"/>
                <w:kern w:val="0"/>
                <w:sz w:val="21"/>
                <w:szCs w:val="21"/>
              </w:rPr>
              <w:t>约</w:t>
            </w:r>
            <w:r>
              <w:rPr>
                <w:rFonts w:hint="eastAsia" w:cs="Times New Roman"/>
                <w:kern w:val="0"/>
                <w:sz w:val="21"/>
                <w:szCs w:val="21"/>
                <w:lang w:val="en-US" w:eastAsia="zh-CN"/>
              </w:rPr>
              <w:t>30</w:t>
            </w:r>
            <w:r>
              <w:rPr>
                <w:rFonts w:hint="eastAsia" w:cs="Times New Roman"/>
                <w:kern w:val="0"/>
                <w:sz w:val="21"/>
                <w:szCs w:val="21"/>
              </w:rPr>
              <w:t>人</w:t>
            </w:r>
          </w:p>
        </w:tc>
        <w:tc>
          <w:tcPr>
            <w:tcW w:w="673"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hint="eastAsia" w:cs="Times New Roman"/>
                <w:kern w:val="0"/>
                <w:sz w:val="21"/>
                <w:szCs w:val="21"/>
                <w:lang w:val="en-US" w:eastAsia="zh-CN"/>
              </w:rPr>
              <w:t>西北</w:t>
            </w:r>
          </w:p>
        </w:tc>
        <w:tc>
          <w:tcPr>
            <w:tcW w:w="61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670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5" w:type="pct"/>
            <w:vAlign w:val="center"/>
          </w:tcPr>
          <w:p>
            <w:pPr>
              <w:widowControl/>
              <w:adjustRightInd w:val="0"/>
              <w:snapToGrid w:val="0"/>
              <w:spacing w:line="240" w:lineRule="auto"/>
              <w:jc w:val="center"/>
              <w:rPr>
                <w:rFonts w:hint="default" w:eastAsia="宋体" w:cs="Times New Roman"/>
                <w:kern w:val="0"/>
                <w:sz w:val="21"/>
                <w:szCs w:val="21"/>
                <w:lang w:val="en-US" w:eastAsia="zh-CN"/>
              </w:rPr>
            </w:pPr>
            <w:r>
              <w:rPr>
                <w:rFonts w:hint="eastAsia" w:cs="Times New Roman"/>
                <w:kern w:val="0"/>
                <w:sz w:val="21"/>
                <w:szCs w:val="21"/>
                <w:lang w:val="en-US" w:eastAsia="zh-CN"/>
              </w:rPr>
              <w:t>地表水体</w:t>
            </w:r>
          </w:p>
        </w:tc>
        <w:tc>
          <w:tcPr>
            <w:tcW w:w="505"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hint="eastAsia" w:cs="Times New Roman"/>
                <w:kern w:val="0"/>
                <w:sz w:val="21"/>
                <w:szCs w:val="21"/>
                <w:lang w:val="en-US" w:eastAsia="zh-CN"/>
              </w:rPr>
              <w:t>1</w:t>
            </w:r>
          </w:p>
        </w:tc>
        <w:tc>
          <w:tcPr>
            <w:tcW w:w="1505" w:type="pct"/>
            <w:vAlign w:val="center"/>
          </w:tcPr>
          <w:p>
            <w:pPr>
              <w:widowControl/>
              <w:adjustRightInd w:val="0"/>
              <w:snapToGrid w:val="0"/>
              <w:spacing w:line="240" w:lineRule="auto"/>
              <w:jc w:val="center"/>
              <w:rPr>
                <w:rFonts w:hint="default" w:cs="Times New Roman"/>
                <w:kern w:val="0"/>
                <w:sz w:val="21"/>
                <w:szCs w:val="21"/>
                <w:lang w:val="en-US" w:eastAsia="zh-CN"/>
              </w:rPr>
            </w:pPr>
            <w:r>
              <w:rPr>
                <w:rFonts w:hint="eastAsia" w:cs="Times New Roman"/>
                <w:kern w:val="0"/>
                <w:sz w:val="21"/>
                <w:szCs w:val="21"/>
                <w:lang w:val="en-US" w:eastAsia="zh-CN"/>
              </w:rPr>
              <w:t>牌坊河</w:t>
            </w:r>
          </w:p>
        </w:tc>
        <w:tc>
          <w:tcPr>
            <w:tcW w:w="994" w:type="pct"/>
            <w:vAlign w:val="center"/>
          </w:tcPr>
          <w:p>
            <w:pPr>
              <w:widowControl/>
              <w:adjustRightInd w:val="0"/>
              <w:snapToGrid w:val="0"/>
              <w:spacing w:line="240" w:lineRule="auto"/>
              <w:jc w:val="center"/>
              <w:rPr>
                <w:rFonts w:hint="eastAsia" w:eastAsia="宋体" w:cs="Times New Roman"/>
                <w:kern w:val="0"/>
                <w:sz w:val="21"/>
                <w:szCs w:val="21"/>
                <w:lang w:val="en-US" w:eastAsia="zh-CN"/>
              </w:rPr>
            </w:pPr>
            <w:r>
              <w:rPr>
                <w:rFonts w:hint="eastAsia" w:cs="Times New Roman"/>
                <w:kern w:val="0"/>
                <w:sz w:val="21"/>
                <w:szCs w:val="21"/>
                <w:lang w:val="en-US" w:eastAsia="zh-CN"/>
              </w:rPr>
              <w:t>水质</w:t>
            </w:r>
          </w:p>
        </w:tc>
        <w:tc>
          <w:tcPr>
            <w:tcW w:w="673" w:type="pct"/>
            <w:vAlign w:val="center"/>
          </w:tcPr>
          <w:p>
            <w:pPr>
              <w:widowControl/>
              <w:adjustRightInd w:val="0"/>
              <w:snapToGrid w:val="0"/>
              <w:spacing w:line="240" w:lineRule="auto"/>
              <w:jc w:val="center"/>
              <w:rPr>
                <w:rFonts w:hint="default" w:cs="Times New Roman"/>
                <w:kern w:val="0"/>
                <w:sz w:val="21"/>
                <w:szCs w:val="21"/>
                <w:lang w:val="en-US" w:eastAsia="zh-CN"/>
              </w:rPr>
            </w:pPr>
            <w:r>
              <w:rPr>
                <w:rFonts w:hint="eastAsia" w:cs="Times New Roman"/>
                <w:kern w:val="0"/>
                <w:sz w:val="21"/>
                <w:szCs w:val="21"/>
                <w:lang w:val="en-US" w:eastAsia="zh-CN"/>
              </w:rPr>
              <w:t>东北</w:t>
            </w:r>
          </w:p>
        </w:tc>
        <w:tc>
          <w:tcPr>
            <w:tcW w:w="615" w:type="pct"/>
            <w:vAlign w:val="center"/>
          </w:tcPr>
          <w:p>
            <w:pPr>
              <w:widowControl/>
              <w:adjustRightInd w:val="0"/>
              <w:snapToGrid w:val="0"/>
              <w:spacing w:line="240" w:lineRule="auto"/>
              <w:jc w:val="center"/>
              <w:rPr>
                <w:rFonts w:hint="default" w:cs="Times New Roman"/>
                <w:kern w:val="0"/>
                <w:sz w:val="21"/>
                <w:szCs w:val="21"/>
                <w:lang w:val="en-US" w:eastAsia="zh-CN"/>
              </w:rPr>
            </w:pPr>
            <w:r>
              <w:rPr>
                <w:rFonts w:hint="eastAsia" w:cs="Times New Roman"/>
                <w:kern w:val="0"/>
                <w:sz w:val="21"/>
                <w:szCs w:val="21"/>
                <w:lang w:val="en-US" w:eastAsia="zh-CN"/>
              </w:rPr>
              <w:t>133</w:t>
            </w:r>
          </w:p>
        </w:tc>
      </w:tr>
      <w:bookmarkEnd w:id="17"/>
      <w:bookmarkEnd w:id="18"/>
    </w:tbl>
    <w:p>
      <w:pPr>
        <w:keepNext/>
        <w:keepLines/>
        <w:pageBreakBefore w:val="0"/>
        <w:widowControl w:val="0"/>
        <w:numPr>
          <w:ilvl w:val="1"/>
          <w:numId w:val="1"/>
        </w:numPr>
        <w:kinsoku/>
        <w:wordWrap/>
        <w:overflowPunct/>
        <w:topLinePunct w:val="0"/>
        <w:autoSpaceDE/>
        <w:autoSpaceDN/>
        <w:bidi w:val="0"/>
        <w:adjustRightInd w:val="0"/>
        <w:snapToGrid w:val="0"/>
        <w:spacing w:before="164" w:beforeLines="50" w:line="360" w:lineRule="auto"/>
        <w:jc w:val="both"/>
        <w:textAlignment w:val="auto"/>
        <w:outlineLvl w:val="1"/>
        <w:rPr>
          <w:rFonts w:ascii="Times New Roman" w:hAnsi="Times New Roman" w:eastAsia="宋体" w:cs="Times New Roman"/>
          <w:b/>
          <w:bCs/>
          <w:sz w:val="28"/>
          <w:szCs w:val="32"/>
          <w:lang w:val="en-US" w:eastAsia="zh-CN" w:bidi="ar-SA"/>
        </w:rPr>
      </w:pPr>
      <w:bookmarkStart w:id="19" w:name="_Toc25144"/>
      <w:r>
        <w:rPr>
          <w:rFonts w:hint="eastAsia" w:ascii="Times New Roman" w:hAnsi="Times New Roman" w:eastAsia="宋体" w:cs="Times New Roman"/>
          <w:b/>
          <w:bCs/>
          <w:sz w:val="28"/>
          <w:szCs w:val="32"/>
          <w:lang w:val="en-US" w:eastAsia="zh-CN" w:bidi="ar-SA"/>
        </w:rPr>
        <w:t>地块的现状和历史</w:t>
      </w:r>
      <w:bookmarkEnd w:id="19"/>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ascii="Times New Roman" w:hAnsi="Times New Roman" w:eastAsia="宋体" w:cs="Times New Roman"/>
          <w:b/>
          <w:bCs/>
          <w:sz w:val="24"/>
          <w:szCs w:val="24"/>
          <w:lang w:val="en-US" w:eastAsia="zh-CN" w:bidi="ar-SA"/>
        </w:rPr>
        <w:t>地块现状</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t>（1）现状地貌</w:t>
      </w:r>
    </w:p>
    <w:p>
      <w:pPr>
        <w:widowControl w:val="0"/>
        <w:adjustRightInd w:val="0"/>
        <w:snapToGrid w:val="0"/>
        <w:spacing w:line="360" w:lineRule="auto"/>
        <w:ind w:firstLine="480" w:firstLineChars="200"/>
        <w:jc w:val="both"/>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本地块现状为宜兴铁路ZQ-1标段的临时工程拌和站及其砂石料堆场，拌和站于2020年12月建成，预计于2025年8月待工程完工后拆除，并采取生态恢复措施。</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5"/>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5" w:type="dxa"/>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Cs w:val="21"/>
                <w:lang w:val="en-US" w:eastAsia="zh-CN" w:bidi="ar-SA"/>
              </w:rPr>
            </w:pPr>
            <w:r>
              <w:rPr>
                <w:rFonts w:ascii="Times New Roman" w:hAnsi="Times New Roman" w:eastAsia="宋体" w:cs="Times New Roman"/>
                <w:kern w:val="2"/>
                <w:szCs w:val="21"/>
                <w:lang w:val="en-US" w:eastAsia="zh-CN" w:bidi="ar-SA"/>
              </w:rPr>
              <w:drawing>
                <wp:inline distT="0" distB="0" distL="114300" distR="114300">
                  <wp:extent cx="2567305" cy="1926590"/>
                  <wp:effectExtent l="0" t="0" r="4445" b="16510"/>
                  <wp:docPr id="41" name="图片 41" descr="ca054c0e81b459a93ae5a873edcb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a054c0e81b459a93ae5a873edcb713"/>
                          <pic:cNvPicPr>
                            <a:picLocks noChangeAspect="1"/>
                          </pic:cNvPicPr>
                        </pic:nvPicPr>
                        <pic:blipFill>
                          <a:blip r:embed="rId16"/>
                          <a:stretch>
                            <a:fillRect/>
                          </a:stretch>
                        </pic:blipFill>
                        <pic:spPr>
                          <a:xfrm>
                            <a:off x="0" y="0"/>
                            <a:ext cx="2567305" cy="1926590"/>
                          </a:xfrm>
                          <a:prstGeom prst="rect">
                            <a:avLst/>
                          </a:prstGeom>
                        </pic:spPr>
                      </pic:pic>
                    </a:graphicData>
                  </a:graphic>
                </wp:inline>
              </w:drawing>
            </w:r>
          </w:p>
        </w:tc>
        <w:tc>
          <w:tcPr>
            <w:tcW w:w="4275" w:type="dxa"/>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Cs w:val="21"/>
                <w:lang w:val="en-US" w:eastAsia="zh-CN" w:bidi="ar-SA"/>
              </w:rPr>
            </w:pPr>
            <w:r>
              <w:rPr>
                <w:rFonts w:ascii="Times New Roman" w:hAnsi="Times New Roman" w:eastAsia="宋体" w:cs="Times New Roman"/>
                <w:kern w:val="2"/>
                <w:szCs w:val="21"/>
                <w:lang w:val="en-US" w:eastAsia="zh-CN" w:bidi="ar-SA"/>
              </w:rPr>
              <w:drawing>
                <wp:inline distT="0" distB="0" distL="114300" distR="114300">
                  <wp:extent cx="2567305" cy="1926590"/>
                  <wp:effectExtent l="0" t="0" r="4445" b="16510"/>
                  <wp:docPr id="43" name="图片 43" descr="21b7cb5dbc1dacc8ec65549b446c7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1b7cb5dbc1dacc8ec65549b446c7ca"/>
                          <pic:cNvPicPr>
                            <a:picLocks noChangeAspect="1"/>
                          </pic:cNvPicPr>
                        </pic:nvPicPr>
                        <pic:blipFill>
                          <a:blip r:embed="rId17"/>
                          <a:stretch>
                            <a:fillRect/>
                          </a:stretch>
                        </pic:blipFill>
                        <pic:spPr>
                          <a:xfrm>
                            <a:off x="0" y="0"/>
                            <a:ext cx="2567305" cy="1926590"/>
                          </a:xfrm>
                          <a:prstGeom prst="rect">
                            <a:avLst/>
                          </a:prstGeom>
                        </pic:spPr>
                      </pic:pic>
                    </a:graphicData>
                  </a:graphic>
                </wp:inline>
              </w:drawing>
            </w:r>
          </w:p>
        </w:tc>
      </w:tr>
    </w:tbl>
    <w:p>
      <w:pPr>
        <w:adjustRightInd w:val="0"/>
        <w:snapToGrid w:val="0"/>
        <w:spacing w:before="97" w:beforeLines="30" w:after="0" w:afterLines="0" w:line="240" w:lineRule="auto"/>
        <w:jc w:val="center"/>
        <w:rPr>
          <w:rFonts w:hint="eastAsia"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 xml:space="preserve">图3.4-1 </w:t>
      </w:r>
      <w:r>
        <w:rPr>
          <w:rFonts w:hint="eastAsia" w:cs="Times New Roman"/>
          <w:b/>
          <w:sz w:val="21"/>
          <w:szCs w:val="21"/>
          <w:lang w:val="en-US" w:eastAsia="zh-CN" w:bidi="ar-SA"/>
        </w:rPr>
        <w:t>本</w:t>
      </w:r>
      <w:r>
        <w:rPr>
          <w:rFonts w:hint="eastAsia" w:ascii="Times New Roman" w:hAnsi="Times New Roman" w:eastAsia="宋体" w:cs="Times New Roman"/>
          <w:b/>
          <w:sz w:val="21"/>
          <w:szCs w:val="21"/>
          <w:lang w:val="en-US" w:eastAsia="zh-CN" w:bidi="ar-SA"/>
        </w:rPr>
        <w:t>地块现状照片</w:t>
      </w:r>
    </w:p>
    <w:p>
      <w:pPr>
        <w:widowControl w:val="0"/>
        <w:adjustRightInd w:val="0"/>
        <w:snapToGrid w:val="0"/>
        <w:spacing w:line="360" w:lineRule="auto"/>
        <w:ind w:firstLine="480" w:firstLineChars="200"/>
        <w:jc w:val="both"/>
        <w:rPr>
          <w:rFonts w:hint="eastAsia" w:cs="Times New Roman"/>
          <w:kern w:val="2"/>
          <w:sz w:val="24"/>
          <w:szCs w:val="24"/>
          <w:lang w:val="en-US" w:eastAsia="zh-CN" w:bidi="ar-SA"/>
        </w:rPr>
      </w:pPr>
      <w:r>
        <w:rPr>
          <w:rFonts w:hint="eastAsia" w:cs="Times New Roman"/>
          <w:kern w:val="2"/>
          <w:sz w:val="24"/>
          <w:szCs w:val="24"/>
          <w:lang w:val="en-US" w:eastAsia="zh-CN" w:bidi="ar-SA"/>
        </w:rPr>
        <w:t>（2）地下管线及管网建设情况</w:t>
      </w:r>
    </w:p>
    <w:p>
      <w:pPr>
        <w:widowControl w:val="0"/>
        <w:adjustRightInd w:val="0"/>
        <w:snapToGrid w:val="0"/>
        <w:spacing w:line="360" w:lineRule="auto"/>
        <w:ind w:firstLine="480" w:firstLineChars="200"/>
        <w:jc w:val="both"/>
        <w:rPr>
          <w:rFonts w:hint="eastAsia" w:cs="Times New Roman"/>
          <w:kern w:val="2"/>
          <w:sz w:val="24"/>
          <w:szCs w:val="24"/>
          <w:lang w:val="en-US" w:eastAsia="zh-CN" w:bidi="ar-SA"/>
        </w:rPr>
      </w:pPr>
      <w:r>
        <w:rPr>
          <w:rFonts w:hint="eastAsia" w:cs="Times New Roman"/>
          <w:kern w:val="2"/>
          <w:sz w:val="24"/>
          <w:szCs w:val="24"/>
          <w:lang w:val="en-US" w:eastAsia="zh-CN" w:bidi="ar-SA"/>
        </w:rPr>
        <w:t>通过现场踏勘、人员访谈和历史资料调查，本地块不涉及有毒有害化学品、石油等输送管线。</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cs="Times New Roman"/>
          <w:b/>
          <w:bCs/>
          <w:sz w:val="24"/>
          <w:szCs w:val="24"/>
          <w:lang w:val="en-US" w:eastAsia="zh-CN" w:bidi="ar-SA"/>
        </w:rPr>
        <w:t>地块环境调查</w:t>
      </w:r>
    </w:p>
    <w:p>
      <w:pPr>
        <w:widowControl w:val="0"/>
        <w:adjustRightInd w:val="0"/>
        <w:snapToGrid w:val="0"/>
        <w:spacing w:line="360" w:lineRule="auto"/>
        <w:jc w:val="both"/>
        <w:rPr>
          <w:rFonts w:hint="eastAsia" w:ascii="Times New Roman" w:hAnsi="Times New Roman" w:eastAsia="宋体" w:cs="Times New Roman"/>
          <w:kern w:val="2"/>
          <w:sz w:val="24"/>
          <w:szCs w:val="24"/>
          <w:lang w:val="en-US" w:eastAsia="zh-CN" w:bidi="ar-SA"/>
        </w:rPr>
      </w:pPr>
      <w:r>
        <w:rPr>
          <w:rFonts w:hint="eastAsia" w:cs="Times New Roman"/>
          <w:b/>
          <w:bCs/>
          <w:kern w:val="2"/>
          <w:sz w:val="24"/>
          <w:szCs w:val="24"/>
          <w:lang w:val="en-US" w:eastAsia="zh-CN" w:bidi="ar-SA"/>
        </w:rPr>
        <w:t>1、</w:t>
      </w:r>
      <w:r>
        <w:rPr>
          <w:rFonts w:hint="eastAsia" w:ascii="Times New Roman" w:hAnsi="Times New Roman" w:eastAsia="宋体" w:cs="Times New Roman"/>
          <w:b/>
          <w:bCs/>
          <w:kern w:val="2"/>
          <w:sz w:val="24"/>
          <w:szCs w:val="24"/>
          <w:lang w:val="en-US" w:eastAsia="zh-CN" w:bidi="ar-SA"/>
        </w:rPr>
        <w:t>地块基本情况</w:t>
      </w:r>
    </w:p>
    <w:p>
      <w:pPr>
        <w:widowControl w:val="0"/>
        <w:adjustRightInd w:val="0"/>
        <w:snapToGrid w:val="0"/>
        <w:spacing w:line="360" w:lineRule="auto"/>
        <w:ind w:firstLine="480" w:firstLineChars="200"/>
        <w:jc w:val="both"/>
        <w:rPr>
          <w:rFonts w:hint="eastAsia" w:cs="Times New Roman"/>
          <w:kern w:val="2"/>
          <w:sz w:val="24"/>
          <w:szCs w:val="24"/>
          <w:lang w:val="en-US" w:eastAsia="zh-CN" w:bidi="ar-SA"/>
        </w:rPr>
      </w:pPr>
      <w:r>
        <w:rPr>
          <w:rFonts w:hint="eastAsia" w:cs="Times New Roman"/>
          <w:kern w:val="0"/>
          <w:sz w:val="24"/>
          <w:szCs w:val="24"/>
          <w:lang w:val="en-US" w:eastAsia="zh-CN"/>
        </w:rPr>
        <w:t>本地块A区为</w:t>
      </w:r>
      <w:r>
        <w:rPr>
          <w:rFonts w:hint="eastAsia" w:cs="Times New Roman"/>
          <w:kern w:val="2"/>
          <w:sz w:val="24"/>
          <w:szCs w:val="24"/>
          <w:lang w:val="en-US" w:eastAsia="zh-CN" w:bidi="ar-SA"/>
        </w:rPr>
        <w:t>宜兴铁路ZQ-1标段的临时工程拌和站，建于2020年12月，B区为其砂石料堆场。</w:t>
      </w:r>
    </w:p>
    <w:p>
      <w:pPr>
        <w:widowControl w:val="0"/>
        <w:adjustRightInd w:val="0"/>
        <w:snapToGrid w:val="0"/>
        <w:spacing w:line="360" w:lineRule="auto"/>
        <w:jc w:val="both"/>
        <w:rPr>
          <w:rFonts w:hint="eastAsia" w:cs="Times New Roman"/>
          <w:kern w:val="2"/>
          <w:sz w:val="24"/>
          <w:szCs w:val="24"/>
          <w:lang w:val="en-US" w:eastAsia="zh-CN" w:bidi="ar-SA"/>
        </w:rPr>
      </w:pPr>
      <w:r>
        <w:rPr>
          <w:rFonts w:hint="eastAsia" w:cs="Times New Roman"/>
          <w:b/>
          <w:bCs/>
          <w:kern w:val="2"/>
          <w:sz w:val="24"/>
          <w:szCs w:val="24"/>
          <w:lang w:val="en-US" w:eastAsia="zh-CN" w:bidi="ar-SA"/>
        </w:rPr>
        <w:t>2、建设内容</w:t>
      </w:r>
    </w:p>
    <w:p>
      <w:pPr>
        <w:widowControl w:val="0"/>
        <w:adjustRightInd w:val="0"/>
        <w:snapToGrid w:val="0"/>
        <w:spacing w:line="360" w:lineRule="auto"/>
        <w:ind w:firstLine="480" w:firstLineChars="200"/>
        <w:jc w:val="both"/>
        <w:rPr>
          <w:rFonts w:hint="eastAsia" w:cs="Times New Roman"/>
          <w:kern w:val="0"/>
          <w:sz w:val="24"/>
          <w:szCs w:val="24"/>
        </w:rPr>
      </w:pPr>
      <w:r>
        <w:rPr>
          <w:rFonts w:hint="eastAsia" w:cs="Times New Roman"/>
          <w:kern w:val="0"/>
          <w:sz w:val="24"/>
          <w:szCs w:val="24"/>
        </w:rPr>
        <w:t>宜兴铁路ZQ-1标段的临时工程拌和站及其砂石料堆场于2020年12月建成，总生产能力40万方，厂区现有3个180搅拌机组，18个水泥罐以及6个粉煤灰罐。</w:t>
      </w:r>
    </w:p>
    <w:p>
      <w:pPr>
        <w:widowControl w:val="0"/>
        <w:adjustRightInd w:val="0"/>
        <w:snapToGrid w:val="0"/>
        <w:spacing w:line="360" w:lineRule="auto"/>
        <w:jc w:val="both"/>
        <w:rPr>
          <w:rFonts w:ascii="Times New Roman" w:hAnsi="Times New Roman" w:eastAsia="宋体" w:cs="Times New Roman"/>
          <w:b/>
          <w:bCs/>
          <w:sz w:val="24"/>
          <w:szCs w:val="24"/>
          <w:lang w:val="en-US" w:eastAsia="zh-CN" w:bidi="ar-SA"/>
        </w:rPr>
      </w:pPr>
      <w:r>
        <w:rPr>
          <w:rFonts w:hint="eastAsia" w:cs="Times New Roman"/>
          <w:b/>
          <w:bCs/>
          <w:kern w:val="0"/>
          <w:sz w:val="24"/>
          <w:szCs w:val="24"/>
          <w:lang w:val="en-US" w:eastAsia="zh-CN"/>
        </w:rPr>
        <w:t>3、</w:t>
      </w:r>
      <w:r>
        <w:rPr>
          <w:rFonts w:hint="eastAsia" w:ascii="Times New Roman" w:hAnsi="Times New Roman" w:eastAsia="宋体" w:cs="Times New Roman"/>
          <w:b/>
          <w:bCs/>
          <w:sz w:val="24"/>
          <w:szCs w:val="24"/>
          <w:lang w:val="en-US" w:eastAsia="zh-CN" w:bidi="ar-SA"/>
        </w:rPr>
        <w:t>原辅料使用情况</w:t>
      </w:r>
    </w:p>
    <w:p>
      <w:pPr>
        <w:widowControl w:val="0"/>
        <w:adjustRightInd w:val="0"/>
        <w:snapToGrid w:val="0"/>
        <w:spacing w:line="360" w:lineRule="auto"/>
        <w:ind w:firstLine="480" w:firstLineChars="200"/>
        <w:jc w:val="both"/>
        <w:rPr>
          <w:rFonts w:hint="eastAsia" w:cs="Times New Roman"/>
          <w:kern w:val="0"/>
          <w:sz w:val="24"/>
          <w:szCs w:val="24"/>
        </w:rPr>
      </w:pPr>
      <w:r>
        <w:rPr>
          <w:rFonts w:hint="default" w:ascii="Times New Roman" w:hAnsi="Times New Roman" w:eastAsia="宋体" w:cs="Times New Roman"/>
          <w:kern w:val="0"/>
          <w:sz w:val="24"/>
          <w:szCs w:val="24"/>
          <w:lang w:val="en-US" w:eastAsia="zh-CN"/>
        </w:rPr>
        <w:t>本项目使用的原辅料主要为水泥、粉煤灰以及砂石料。</w:t>
      </w:r>
    </w:p>
    <w:p>
      <w:pPr>
        <w:widowControl w:val="0"/>
        <w:adjustRightInd w:val="0"/>
        <w:snapToGrid w:val="0"/>
        <w:spacing w:line="360" w:lineRule="auto"/>
        <w:jc w:val="both"/>
        <w:rPr>
          <w:rFonts w:hint="default" w:eastAsia="宋体" w:cs="Times New Roman"/>
          <w:kern w:val="0"/>
          <w:sz w:val="24"/>
          <w:szCs w:val="24"/>
          <w:lang w:val="en-US" w:eastAsia="zh-CN"/>
        </w:rPr>
      </w:pPr>
      <w:r>
        <w:rPr>
          <w:rFonts w:hint="eastAsia" w:cs="Times New Roman"/>
          <w:b/>
          <w:bCs/>
          <w:kern w:val="0"/>
          <w:sz w:val="24"/>
          <w:szCs w:val="24"/>
          <w:lang w:val="en-US" w:eastAsia="zh-CN"/>
        </w:rPr>
        <w:t>4、生产工艺流程</w:t>
      </w:r>
    </w:p>
    <w:p>
      <w:pPr>
        <w:widowControl w:val="0"/>
        <w:adjustRightInd w:val="0"/>
        <w:snapToGrid w:val="0"/>
        <w:spacing w:line="360" w:lineRule="auto"/>
        <w:ind w:firstLine="480" w:firstLineChars="200"/>
        <w:jc w:val="both"/>
        <w:rPr>
          <w:rFonts w:hint="eastAsia" w:cs="Times New Roman"/>
          <w:kern w:val="0"/>
          <w:sz w:val="24"/>
          <w:szCs w:val="24"/>
        </w:rPr>
      </w:pPr>
      <w:r>
        <w:rPr>
          <w:rFonts w:hint="eastAsia" w:cs="Times New Roman"/>
          <w:kern w:val="0"/>
          <w:sz w:val="24"/>
          <w:szCs w:val="24"/>
        </w:rPr>
        <w:t>启动搅拌机使搅拌筒达到正常转速后进行上料。启动螺旋机电机输送粉煤灰、水泥到计量斗，开启水仓和外加剂池的控制阀使水和外加剂流入计量斗，加料的次序为砂石—水泥—粉煤灰，上料时应及时加水；计量满足设定要求后开启计量斗斗门；配料进入已启动的搅拌机内搅拌混合，到设定的时间打开搅拌机门，混凝土进入已接料的搅拌车内。</w:t>
      </w:r>
    </w:p>
    <w:p>
      <w:pPr>
        <w:widowControl w:val="0"/>
        <w:adjustRightInd w:val="0"/>
        <w:snapToGrid w:val="0"/>
        <w:spacing w:line="360" w:lineRule="auto"/>
        <w:jc w:val="both"/>
        <w:rPr>
          <w:rFonts w:hint="default" w:cs="Times New Roman"/>
          <w:kern w:val="0"/>
          <w:sz w:val="24"/>
          <w:szCs w:val="24"/>
          <w:lang w:val="en-US" w:eastAsia="zh-CN"/>
        </w:rPr>
      </w:pPr>
      <w:r>
        <w:rPr>
          <w:rFonts w:hint="eastAsia" w:cs="Times New Roman"/>
          <w:b/>
          <w:bCs/>
          <w:kern w:val="0"/>
          <w:sz w:val="24"/>
          <w:szCs w:val="24"/>
          <w:lang w:val="en-US" w:eastAsia="zh-CN"/>
        </w:rPr>
        <w:t>5、</w:t>
      </w:r>
      <w:r>
        <w:rPr>
          <w:rFonts w:hint="eastAsia" w:ascii="Times New Roman" w:hAnsi="Times New Roman" w:eastAsia="宋体" w:cs="Times New Roman"/>
          <w:b/>
          <w:bCs/>
          <w:sz w:val="24"/>
          <w:szCs w:val="24"/>
          <w:lang w:val="en-US" w:eastAsia="zh-CN" w:bidi="ar-SA"/>
        </w:rPr>
        <w:t>污染防治措施</w:t>
      </w:r>
    </w:p>
    <w:p>
      <w:pPr>
        <w:widowControl/>
        <w:adjustRightInd w:val="0"/>
        <w:snapToGrid w:val="0"/>
        <w:spacing w:line="360" w:lineRule="auto"/>
        <w:ind w:firstLine="480" w:firstLineChars="200"/>
        <w:rPr>
          <w:rFonts w:hint="eastAsia" w:eastAsia="宋体" w:cs="Times New Roman"/>
          <w:kern w:val="0"/>
          <w:sz w:val="24"/>
          <w:szCs w:val="24"/>
          <w:lang w:eastAsia="zh-CN"/>
        </w:rPr>
      </w:pPr>
      <w:r>
        <w:rPr>
          <w:rFonts w:hint="eastAsia" w:cs="Times New Roman"/>
          <w:kern w:val="0"/>
          <w:sz w:val="24"/>
          <w:szCs w:val="24"/>
        </w:rPr>
        <w:t>废气：该项目原辅料水泥、矿粉、粉煤灰等粉料筒仓均设置在混凝土搅拌楼内部并设置有脉冲袋式除尘器，装料和卸料、生产过程中产生的粉尘密闭收集后进入布袋除尘器处理后经重力自然沉降在搅拌楼内，碎石、机制砂等原料堆场加盖篷布并设置洒水降尘装置，厂区内设置车辆冲洗平台对运输车辆进行冲洗，厂区道路和场地全部硬化处理并定期对厂区道路进行洒水清洗，砂石料运输车辆采用篷布全覆盖运输</w:t>
      </w:r>
      <w:r>
        <w:rPr>
          <w:rFonts w:hint="eastAsia" w:cs="Times New Roman"/>
          <w:kern w:val="0"/>
          <w:sz w:val="24"/>
          <w:szCs w:val="24"/>
          <w:lang w:eastAsia="zh-CN"/>
        </w:rPr>
        <w:t>。</w:t>
      </w:r>
    </w:p>
    <w:p>
      <w:pPr>
        <w:widowControl/>
        <w:adjustRightInd w:val="0"/>
        <w:snapToGrid w:val="0"/>
        <w:spacing w:line="360" w:lineRule="auto"/>
        <w:ind w:firstLine="480" w:firstLineChars="200"/>
        <w:rPr>
          <w:rFonts w:cs="Times New Roman"/>
          <w:kern w:val="0"/>
          <w:sz w:val="24"/>
          <w:szCs w:val="24"/>
        </w:rPr>
      </w:pPr>
      <w:r>
        <w:rPr>
          <w:rFonts w:hint="eastAsia" w:cs="Times New Roman"/>
          <w:kern w:val="0"/>
          <w:sz w:val="24"/>
          <w:szCs w:val="24"/>
        </w:rPr>
        <w:t>废水：办公污水采用化粪池处理后用于周边水泥厂绿化和周边农田施肥，截水沟收集的废水经泥砂分离机+的三级沉淀池处理后暂存于清水池内，最终回用于搅拌过程。</w:t>
      </w:r>
    </w:p>
    <w:p>
      <w:pPr>
        <w:widowControl/>
        <w:adjustRightInd w:val="0"/>
        <w:snapToGrid w:val="0"/>
        <w:spacing w:line="360" w:lineRule="auto"/>
        <w:ind w:firstLine="480" w:firstLineChars="200"/>
        <w:rPr>
          <w:rFonts w:hint="eastAsia" w:eastAsia="宋体" w:cs="Times New Roman"/>
          <w:kern w:val="0"/>
          <w:sz w:val="24"/>
          <w:szCs w:val="24"/>
          <w:lang w:val="en-US" w:eastAsia="zh-CN"/>
        </w:rPr>
      </w:pPr>
      <w:r>
        <w:rPr>
          <w:rFonts w:hint="eastAsia" w:cs="Times New Roman"/>
          <w:kern w:val="0"/>
          <w:sz w:val="24"/>
          <w:szCs w:val="24"/>
          <w:lang w:val="en-US" w:eastAsia="zh-CN"/>
        </w:rPr>
        <w:t>噪声：采用低噪音设备、合理布置、减震、隔声、绿化，车辆限速行驶。</w:t>
      </w:r>
    </w:p>
    <w:p>
      <w:pPr>
        <w:widowControl w:val="0"/>
        <w:adjustRightInd w:val="0"/>
        <w:snapToGrid w:val="0"/>
        <w:spacing w:line="360" w:lineRule="auto"/>
        <w:ind w:firstLine="480" w:firstLineChars="200"/>
        <w:jc w:val="both"/>
        <w:rPr>
          <w:rFonts w:hint="default" w:cs="Times New Roman"/>
          <w:kern w:val="0"/>
          <w:sz w:val="24"/>
          <w:szCs w:val="24"/>
          <w:lang w:val="en-US" w:eastAsia="zh-CN"/>
        </w:rPr>
      </w:pPr>
      <w:r>
        <w:rPr>
          <w:rFonts w:hint="eastAsia" w:cs="Times New Roman"/>
          <w:kern w:val="0"/>
          <w:sz w:val="24"/>
          <w:szCs w:val="24"/>
        </w:rPr>
        <w:t>固废：生活垃圾交由环卫部门统一清运，除尘器收集的粉尘全部回用于生产，沉淀池污泥送至水泥厂作为原料使用。该项目无重金属及持久性有机污染物，不涉及土壤及地下水污染途径，对本地块影响较小</w:t>
      </w:r>
      <w:r>
        <w:rPr>
          <w:rFonts w:hint="eastAsia" w:cs="Times New Roman"/>
          <w:kern w:val="0"/>
          <w:sz w:val="24"/>
          <w:szCs w:val="24"/>
          <w:lang w:eastAsia="zh-CN"/>
        </w:rPr>
        <w:t>。</w:t>
      </w: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ascii="Times New Roman" w:hAnsi="Times New Roman" w:eastAsia="宋体" w:cs="Times New Roman"/>
          <w:b/>
          <w:bCs/>
          <w:sz w:val="24"/>
          <w:szCs w:val="24"/>
          <w:lang w:val="en-US" w:eastAsia="zh-CN" w:bidi="ar-SA"/>
        </w:rPr>
        <w:t>地块历史情况</w:t>
      </w:r>
    </w:p>
    <w:p>
      <w:pPr>
        <w:widowControl w:val="0"/>
        <w:adjustRightInd w:val="0"/>
        <w:snapToGrid w:val="0"/>
        <w:spacing w:line="360" w:lineRule="auto"/>
        <w:ind w:firstLine="480" w:firstLineChars="200"/>
        <w:jc w:val="both"/>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根据人员访谈了解到本地块原始地貌为</w:t>
      </w:r>
      <w:r>
        <w:rPr>
          <w:rFonts w:hint="eastAsia" w:cs="Times New Roman"/>
          <w:kern w:val="2"/>
          <w:sz w:val="24"/>
          <w:szCs w:val="24"/>
          <w:lang w:val="en-US" w:eastAsia="zh-CN" w:bidi="ar-SA"/>
        </w:rPr>
        <w:t>耕地</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坑塘、</w:t>
      </w:r>
      <w:r>
        <w:rPr>
          <w:rFonts w:hint="eastAsia" w:ascii="Times New Roman" w:hAnsi="Times New Roman" w:eastAsia="宋体" w:cs="Times New Roman"/>
          <w:kern w:val="2"/>
          <w:sz w:val="24"/>
          <w:szCs w:val="24"/>
          <w:lang w:val="en-US" w:eastAsia="zh-CN" w:bidi="ar-SA"/>
        </w:rPr>
        <w:t>住宅地，2002年~20</w:t>
      </w:r>
      <w:r>
        <w:rPr>
          <w:rFonts w:hint="eastAsia" w:cs="Times New Roman"/>
          <w:kern w:val="2"/>
          <w:sz w:val="24"/>
          <w:szCs w:val="24"/>
          <w:lang w:val="en-US" w:eastAsia="zh-CN" w:bidi="ar-SA"/>
        </w:rPr>
        <w:t>16</w:t>
      </w:r>
      <w:r>
        <w:rPr>
          <w:rFonts w:hint="eastAsia" w:ascii="Times New Roman" w:hAnsi="Times New Roman" w:eastAsia="宋体" w:cs="Times New Roman"/>
          <w:kern w:val="2"/>
          <w:sz w:val="24"/>
          <w:szCs w:val="24"/>
          <w:lang w:val="en-US" w:eastAsia="zh-CN" w:bidi="ar-SA"/>
        </w:rPr>
        <w:t>年期间地块基本无变化</w:t>
      </w:r>
      <w:r>
        <w:rPr>
          <w:rFonts w:hint="eastAsia" w:cs="Times New Roman"/>
          <w:kern w:val="2"/>
          <w:sz w:val="24"/>
          <w:szCs w:val="24"/>
          <w:lang w:val="en-US" w:eastAsia="zh-CN" w:bidi="ar-SA"/>
        </w:rPr>
        <w:t>。2017年-2018年，地块内居民陆续搬迁，原有房屋全部拆除</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2020年宜昌宜兴铁路开工建设，其临时工程ZQ-1标1号拌和站于2020年12月建于本地块A区，B区为拌和站配套砂石料堆场，拌和站目前仍在运营中，预计于2025年8月拆除。</w:t>
      </w:r>
    </w:p>
    <w:p>
      <w:pPr>
        <w:keepNext/>
        <w:adjustRightInd w:val="0"/>
        <w:snapToGrid w:val="0"/>
        <w:spacing w:before="97" w:beforeLines="30" w:after="163" w:afterLines="50" w:line="240" w:lineRule="auto"/>
        <w:jc w:val="center"/>
        <w:rPr>
          <w:rFonts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表 3.4-</w:t>
      </w:r>
      <w:r>
        <w:rPr>
          <w:rFonts w:hint="eastAsia" w:cs="Times New Roman"/>
          <w:b/>
          <w:sz w:val="21"/>
          <w:szCs w:val="21"/>
          <w:lang w:val="en-US" w:eastAsia="zh-CN" w:bidi="ar-SA"/>
        </w:rPr>
        <w:t>1</w:t>
      </w:r>
      <w:r>
        <w:rPr>
          <w:rFonts w:ascii="Times New Roman" w:hAnsi="Times New Roman" w:eastAsia="宋体" w:cs="Times New Roman"/>
          <w:b/>
          <w:sz w:val="21"/>
          <w:szCs w:val="21"/>
          <w:lang w:val="en-US" w:eastAsia="zh-CN" w:bidi="ar-SA"/>
        </w:rPr>
        <w:t xml:space="preserve">  </w:t>
      </w:r>
      <w:r>
        <w:rPr>
          <w:rFonts w:hint="eastAsia" w:cs="Times New Roman"/>
          <w:b/>
          <w:sz w:val="21"/>
          <w:szCs w:val="21"/>
          <w:lang w:val="en-US" w:eastAsia="zh-CN" w:bidi="ar-SA"/>
        </w:rPr>
        <w:t>本</w:t>
      </w:r>
      <w:r>
        <w:rPr>
          <w:rFonts w:hint="eastAsia" w:ascii="Times New Roman" w:hAnsi="Times New Roman" w:eastAsia="宋体" w:cs="Times New Roman"/>
          <w:b/>
          <w:sz w:val="21"/>
          <w:szCs w:val="21"/>
          <w:lang w:val="en-US" w:eastAsia="zh-CN" w:bidi="ar-SA"/>
        </w:rPr>
        <w:t>地块历史开发利用情况汇总表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701"/>
        <w:gridCol w:w="2409"/>
        <w:gridCol w:w="1560"/>
        <w:gridCol w:w="2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Align w:val="center"/>
          </w:tcPr>
          <w:p>
            <w:pPr>
              <w:widowControl w:val="0"/>
              <w:adjustRightInd w:val="0"/>
              <w:snapToGrid w:val="0"/>
              <w:spacing w:line="240" w:lineRule="auto"/>
              <w:ind w:firstLine="0" w:firstLineChars="0"/>
              <w:jc w:val="center"/>
              <w:rPr>
                <w:rFonts w:ascii="Times New Roman" w:hAnsi="Times New Roman" w:eastAsia="宋体" w:cs="Times New Roman"/>
                <w:b/>
                <w:bCs/>
                <w:kern w:val="2"/>
                <w:sz w:val="21"/>
                <w:szCs w:val="21"/>
                <w:lang w:val="en-US" w:eastAsia="zh-CN" w:bidi="ar-SA"/>
              </w:rPr>
            </w:pPr>
            <w:r>
              <w:rPr>
                <w:rFonts w:hint="eastAsia" w:ascii="宋体" w:hAnsi="宋体" w:eastAsia="宋体" w:cs="宋体"/>
                <w:b/>
                <w:bCs/>
                <w:kern w:val="2"/>
                <w:sz w:val="21"/>
                <w:szCs w:val="21"/>
                <w:lang w:val="en-US" w:eastAsia="zh-CN" w:bidi="ar-SA"/>
              </w:rPr>
              <w:t>序号</w:t>
            </w:r>
          </w:p>
        </w:tc>
        <w:tc>
          <w:tcPr>
            <w:tcW w:w="994" w:type="pct"/>
            <w:vAlign w:val="center"/>
          </w:tcPr>
          <w:p>
            <w:pPr>
              <w:widowControl w:val="0"/>
              <w:adjustRightInd w:val="0"/>
              <w:snapToGrid w:val="0"/>
              <w:spacing w:line="240" w:lineRule="auto"/>
              <w:ind w:firstLine="0" w:firstLineChars="0"/>
              <w:jc w:val="center"/>
              <w:rPr>
                <w:rFonts w:ascii="Times New Roman" w:hAnsi="Times New Roman" w:eastAsia="宋体" w:cs="Times New Roman"/>
                <w:b/>
                <w:bCs/>
                <w:kern w:val="2"/>
                <w:sz w:val="21"/>
                <w:szCs w:val="21"/>
                <w:lang w:val="en-US" w:eastAsia="zh-CN" w:bidi="ar-SA"/>
              </w:rPr>
            </w:pPr>
            <w:r>
              <w:rPr>
                <w:rFonts w:hint="eastAsia" w:ascii="宋体" w:hAnsi="宋体" w:eastAsia="宋体" w:cs="宋体"/>
                <w:b/>
                <w:bCs/>
                <w:kern w:val="2"/>
                <w:sz w:val="21"/>
                <w:szCs w:val="21"/>
                <w:lang w:val="en-US" w:eastAsia="zh-CN" w:bidi="ar-SA"/>
              </w:rPr>
              <w:t>时间段</w:t>
            </w:r>
          </w:p>
        </w:tc>
        <w:tc>
          <w:tcPr>
            <w:tcW w:w="1408" w:type="pct"/>
            <w:vAlign w:val="center"/>
          </w:tcPr>
          <w:p>
            <w:pPr>
              <w:widowControl w:val="0"/>
              <w:adjustRightInd w:val="0"/>
              <w:snapToGrid w:val="0"/>
              <w:spacing w:line="240" w:lineRule="auto"/>
              <w:ind w:firstLine="0" w:firstLineChars="0"/>
              <w:jc w:val="center"/>
              <w:rPr>
                <w:rFonts w:ascii="Times New Roman" w:hAnsi="Times New Roman" w:eastAsia="宋体" w:cs="Times New Roman"/>
                <w:b/>
                <w:bCs/>
                <w:kern w:val="2"/>
                <w:sz w:val="21"/>
                <w:szCs w:val="21"/>
                <w:lang w:val="en-US" w:eastAsia="zh-CN" w:bidi="ar-SA"/>
              </w:rPr>
            </w:pPr>
            <w:r>
              <w:rPr>
                <w:rFonts w:hint="eastAsia" w:ascii="宋体" w:hAnsi="宋体" w:eastAsia="宋体" w:cs="宋体"/>
                <w:b/>
                <w:bCs/>
                <w:kern w:val="2"/>
                <w:sz w:val="21"/>
                <w:szCs w:val="21"/>
                <w:lang w:val="en-US" w:eastAsia="zh-CN" w:bidi="ar-SA"/>
              </w:rPr>
              <w:t>地块历史利用情况</w:t>
            </w:r>
          </w:p>
        </w:tc>
        <w:tc>
          <w:tcPr>
            <w:tcW w:w="912" w:type="pct"/>
            <w:vAlign w:val="center"/>
          </w:tcPr>
          <w:p>
            <w:pPr>
              <w:widowControl w:val="0"/>
              <w:adjustRightInd w:val="0"/>
              <w:snapToGrid w:val="0"/>
              <w:spacing w:line="240" w:lineRule="auto"/>
              <w:ind w:firstLine="0" w:firstLineChars="0"/>
              <w:jc w:val="center"/>
              <w:rPr>
                <w:rFonts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原土地性质</w:t>
            </w:r>
          </w:p>
        </w:tc>
        <w:tc>
          <w:tcPr>
            <w:tcW w:w="1289" w:type="pct"/>
            <w:vAlign w:val="center"/>
          </w:tcPr>
          <w:p>
            <w:pPr>
              <w:widowControl w:val="0"/>
              <w:adjustRightInd w:val="0"/>
              <w:snapToGrid w:val="0"/>
              <w:spacing w:line="240" w:lineRule="auto"/>
              <w:ind w:firstLine="0" w:firstLineChars="0"/>
              <w:jc w:val="center"/>
              <w:rPr>
                <w:rFonts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资料依据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w:t>
            </w:r>
          </w:p>
        </w:tc>
        <w:tc>
          <w:tcPr>
            <w:tcW w:w="9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原始地面</w:t>
            </w:r>
          </w:p>
        </w:tc>
        <w:tc>
          <w:tcPr>
            <w:tcW w:w="1408"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耕地</w:t>
            </w:r>
            <w:r>
              <w:rPr>
                <w:rFonts w:hint="eastAsia" w:ascii="Times New Roman" w:hAnsi="Times New Roman" w:eastAsia="宋体" w:cs="Times New Roman"/>
                <w:kern w:val="2"/>
                <w:sz w:val="21"/>
                <w:szCs w:val="21"/>
                <w:lang w:val="en-US" w:eastAsia="zh-CN" w:bidi="ar-SA"/>
              </w:rPr>
              <w:t>、</w:t>
            </w:r>
            <w:r>
              <w:rPr>
                <w:rFonts w:hint="eastAsia" w:cs="Times New Roman"/>
                <w:kern w:val="2"/>
                <w:sz w:val="21"/>
                <w:szCs w:val="21"/>
                <w:lang w:val="en-US" w:eastAsia="zh-CN" w:bidi="ar-SA"/>
              </w:rPr>
              <w:t>坑塘、</w:t>
            </w:r>
            <w:r>
              <w:rPr>
                <w:rFonts w:hint="eastAsia" w:ascii="Times New Roman" w:hAnsi="Times New Roman" w:eastAsia="宋体" w:cs="Times New Roman"/>
                <w:kern w:val="2"/>
                <w:sz w:val="21"/>
                <w:szCs w:val="21"/>
                <w:lang w:val="en-US" w:eastAsia="zh-CN" w:bidi="ar-SA"/>
              </w:rPr>
              <w:t>住宅地</w:t>
            </w:r>
          </w:p>
        </w:tc>
        <w:tc>
          <w:tcPr>
            <w:tcW w:w="912" w:type="pct"/>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耕地、园地</w:t>
            </w:r>
          </w:p>
        </w:tc>
        <w:tc>
          <w:tcPr>
            <w:tcW w:w="1289"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人员访谈</w:t>
            </w:r>
            <w:r>
              <w:rPr>
                <w:rFonts w:hint="eastAsia" w:cs="Times New Roman"/>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p>
        </w:tc>
        <w:tc>
          <w:tcPr>
            <w:tcW w:w="9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2017</w:t>
            </w:r>
            <w:r>
              <w:rPr>
                <w:rFonts w:hint="eastAsia" w:ascii="Times New Roman" w:hAnsi="Times New Roman" w:eastAsia="宋体" w:cs="Times New Roman"/>
                <w:kern w:val="2"/>
                <w:sz w:val="21"/>
                <w:szCs w:val="21"/>
                <w:lang w:val="en-US" w:eastAsia="zh-CN" w:bidi="ar-SA"/>
              </w:rPr>
              <w:t>年</w:t>
            </w:r>
            <w:r>
              <w:rPr>
                <w:rFonts w:ascii="Times New Roman" w:hAnsi="Times New Roman" w:eastAsia="宋体" w:cs="Times New Roman"/>
                <w:kern w:val="2"/>
                <w:sz w:val="21"/>
                <w:szCs w:val="21"/>
                <w:lang w:val="en-US" w:eastAsia="zh-CN" w:bidi="ar-SA"/>
              </w:rPr>
              <w:t>~20</w:t>
            </w:r>
            <w:r>
              <w:rPr>
                <w:rFonts w:hint="eastAsia" w:cs="Times New Roman"/>
                <w:kern w:val="2"/>
                <w:sz w:val="21"/>
                <w:szCs w:val="21"/>
                <w:lang w:val="en-US" w:eastAsia="zh-CN" w:bidi="ar-SA"/>
              </w:rPr>
              <w:t>18</w:t>
            </w:r>
            <w:r>
              <w:rPr>
                <w:rFonts w:hint="eastAsia" w:ascii="Times New Roman" w:hAnsi="Times New Roman" w:eastAsia="宋体" w:cs="Times New Roman"/>
                <w:kern w:val="2"/>
                <w:sz w:val="21"/>
                <w:szCs w:val="21"/>
                <w:lang w:val="en-US" w:eastAsia="zh-CN" w:bidi="ar-SA"/>
              </w:rPr>
              <w:t>年</w:t>
            </w:r>
          </w:p>
        </w:tc>
        <w:tc>
          <w:tcPr>
            <w:tcW w:w="1408"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居民搬迁</w:t>
            </w:r>
          </w:p>
        </w:tc>
        <w:tc>
          <w:tcPr>
            <w:tcW w:w="912"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tc>
        <w:tc>
          <w:tcPr>
            <w:tcW w:w="1289"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人员访谈、卫星影像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w:t>
            </w:r>
          </w:p>
        </w:tc>
        <w:tc>
          <w:tcPr>
            <w:tcW w:w="9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20</w:t>
            </w:r>
            <w:r>
              <w:rPr>
                <w:rFonts w:hint="eastAsia" w:cs="Times New Roman"/>
                <w:kern w:val="2"/>
                <w:sz w:val="21"/>
                <w:szCs w:val="21"/>
                <w:lang w:val="en-US" w:eastAsia="zh-CN" w:bidi="ar-SA"/>
              </w:rPr>
              <w:t>19</w:t>
            </w:r>
            <w:r>
              <w:rPr>
                <w:rFonts w:hint="eastAsia" w:ascii="Times New Roman" w:hAnsi="Times New Roman" w:eastAsia="宋体" w:cs="Times New Roman"/>
                <w:kern w:val="2"/>
                <w:sz w:val="21"/>
                <w:szCs w:val="21"/>
                <w:lang w:val="en-US" w:eastAsia="zh-CN" w:bidi="ar-SA"/>
              </w:rPr>
              <w:t>年~20</w:t>
            </w:r>
            <w:r>
              <w:rPr>
                <w:rFonts w:hint="eastAsia" w:cs="Times New Roman"/>
                <w:kern w:val="2"/>
                <w:sz w:val="21"/>
                <w:szCs w:val="21"/>
                <w:lang w:val="en-US" w:eastAsia="zh-CN" w:bidi="ar-SA"/>
              </w:rPr>
              <w:t>20</w:t>
            </w:r>
            <w:r>
              <w:rPr>
                <w:rFonts w:hint="eastAsia" w:ascii="Times New Roman" w:hAnsi="Times New Roman" w:eastAsia="宋体" w:cs="Times New Roman"/>
                <w:kern w:val="2"/>
                <w:sz w:val="21"/>
                <w:szCs w:val="21"/>
                <w:lang w:val="en-US" w:eastAsia="zh-CN" w:bidi="ar-SA"/>
              </w:rPr>
              <w:t>年</w:t>
            </w:r>
          </w:p>
        </w:tc>
        <w:tc>
          <w:tcPr>
            <w:tcW w:w="1408" w:type="pct"/>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荒地</w:t>
            </w:r>
          </w:p>
        </w:tc>
        <w:tc>
          <w:tcPr>
            <w:tcW w:w="912"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tc>
        <w:tc>
          <w:tcPr>
            <w:tcW w:w="1289"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人员访谈、卫星影像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w:t>
            </w:r>
          </w:p>
        </w:tc>
        <w:tc>
          <w:tcPr>
            <w:tcW w:w="994"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20</w:t>
            </w:r>
            <w:r>
              <w:rPr>
                <w:rFonts w:hint="eastAsia" w:cs="Times New Roman"/>
                <w:kern w:val="2"/>
                <w:sz w:val="21"/>
                <w:szCs w:val="21"/>
                <w:lang w:val="en-US" w:eastAsia="zh-CN" w:bidi="ar-SA"/>
              </w:rPr>
              <w:t>20</w:t>
            </w:r>
            <w:r>
              <w:rPr>
                <w:rFonts w:hint="eastAsia" w:ascii="Times New Roman" w:hAnsi="Times New Roman" w:eastAsia="宋体" w:cs="Times New Roman"/>
                <w:kern w:val="2"/>
                <w:sz w:val="21"/>
                <w:szCs w:val="21"/>
                <w:lang w:val="en-US" w:eastAsia="zh-CN" w:bidi="ar-SA"/>
              </w:rPr>
              <w:t>年</w:t>
            </w:r>
          </w:p>
        </w:tc>
        <w:tc>
          <w:tcPr>
            <w:tcW w:w="1408" w:type="pct"/>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宜兴铁路ZQ-1标1号拌和站</w:t>
            </w:r>
          </w:p>
        </w:tc>
        <w:tc>
          <w:tcPr>
            <w:tcW w:w="912"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tc>
        <w:tc>
          <w:tcPr>
            <w:tcW w:w="1289" w:type="pct"/>
            <w:vAlign w:val="center"/>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人员访谈、卫星影像</w:t>
            </w:r>
          </w:p>
        </w:tc>
      </w:tr>
    </w:tbl>
    <w:p>
      <w:pPr>
        <w:widowControl w:val="0"/>
        <w:adjustRightInd w:val="0"/>
        <w:snapToGrid w:val="0"/>
        <w:spacing w:before="163" w:beforeLines="50"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本</w:t>
      </w:r>
      <w:r>
        <w:rPr>
          <w:rFonts w:hint="eastAsia" w:ascii="Times New Roman" w:hAnsi="Times New Roman" w:eastAsia="宋体" w:cs="Times New Roman"/>
          <w:kern w:val="2"/>
          <w:sz w:val="24"/>
          <w:szCs w:val="24"/>
          <w:lang w:val="en-US" w:eastAsia="zh-CN" w:bidi="ar-SA"/>
        </w:rPr>
        <w:t>地块历史影像详见</w:t>
      </w:r>
      <w:r>
        <w:rPr>
          <w:rFonts w:ascii="Times New Roman" w:hAnsi="Times New Roman" w:eastAsia="宋体" w:cs="Times New Roman"/>
          <w:kern w:val="2"/>
          <w:sz w:val="24"/>
          <w:szCs w:val="24"/>
          <w:lang w:val="en-US" w:eastAsia="zh-CN" w:bidi="ar-SA"/>
        </w:rPr>
        <w:t>图</w:t>
      </w:r>
      <w:r>
        <w:rPr>
          <w:rFonts w:hint="eastAsia" w:ascii="Times New Roman" w:hAnsi="Times New Roman" w:eastAsia="宋体" w:cs="Times New Roman"/>
          <w:kern w:val="2"/>
          <w:sz w:val="24"/>
          <w:szCs w:val="24"/>
          <w:lang w:val="en-US" w:eastAsia="zh-CN" w:bidi="ar-SA"/>
        </w:rPr>
        <w:t>3.4-2。</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3" w:hRule="atLeast"/>
        </w:trPr>
        <w:tc>
          <w:tcPr>
            <w:tcW w:w="8550" w:type="dxa"/>
          </w:tcPr>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96128" behindDoc="0" locked="0" layoutInCell="1" allowOverlap="1">
                  <wp:simplePos x="0" y="0"/>
                  <wp:positionH relativeFrom="column">
                    <wp:posOffset>4479925</wp:posOffset>
                  </wp:positionH>
                  <wp:positionV relativeFrom="paragraph">
                    <wp:posOffset>91440</wp:posOffset>
                  </wp:positionV>
                  <wp:extent cx="396240" cy="408305"/>
                  <wp:effectExtent l="9525" t="9525" r="13335" b="20320"/>
                  <wp:wrapNone/>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4575810" cy="2755900"/>
                  <wp:effectExtent l="0" t="0" r="15240" b="635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4575810" cy="275590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002</w:t>
            </w:r>
            <w:r>
              <w:rPr>
                <w:rFonts w:hint="eastAsia" w:ascii="Times New Roman" w:hAnsi="Times New Roman" w:eastAsia="宋体" w:cs="Times New Roman"/>
                <w:kern w:val="2"/>
                <w:sz w:val="21"/>
                <w:szCs w:val="21"/>
                <w:lang w:val="en-US" w:eastAsia="zh-CN" w:bidi="ar-SA"/>
              </w:rPr>
              <w:t>年6月卫星影像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b/>
                <w:bCs/>
                <w:sz w:val="21"/>
              </w:rPr>
              <w:t>影像分析：</w:t>
            </w:r>
            <w:r>
              <w:rPr>
                <w:rFonts w:hint="eastAsia"/>
                <w:sz w:val="21"/>
              </w:rPr>
              <w:t>通过2</w:t>
            </w:r>
            <w:r>
              <w:rPr>
                <w:sz w:val="21"/>
              </w:rPr>
              <w:t>00</w:t>
            </w:r>
            <w:r>
              <w:rPr>
                <w:rFonts w:hint="eastAsia"/>
                <w:sz w:val="21"/>
                <w:lang w:val="en-US" w:eastAsia="zh-CN"/>
              </w:rPr>
              <w:t>2</w:t>
            </w:r>
            <w:r>
              <w:rPr>
                <w:rFonts w:hint="eastAsia"/>
                <w:sz w:val="21"/>
              </w:rPr>
              <w:t>年的影像</w:t>
            </w:r>
            <w:r>
              <w:rPr>
                <w:rFonts w:hint="eastAsia"/>
                <w:sz w:val="21"/>
                <w:lang w:val="en-US" w:eastAsia="zh-CN"/>
              </w:rPr>
              <w:t>可以看出</w:t>
            </w:r>
            <w:r>
              <w:rPr>
                <w:rFonts w:hint="eastAsia"/>
                <w:sz w:val="21"/>
              </w:rPr>
              <w:t>，</w:t>
            </w:r>
            <w:r>
              <w:rPr>
                <w:rFonts w:hint="eastAsia"/>
                <w:sz w:val="21"/>
                <w:lang w:val="en-US" w:eastAsia="zh-CN"/>
              </w:rPr>
              <w:t>地块中有少量村民宅基地，鱼塘等。地块</w:t>
            </w:r>
            <w:r>
              <w:rPr>
                <w:rFonts w:hint="eastAsia"/>
                <w:sz w:val="21"/>
              </w:rPr>
              <w:t>东</w:t>
            </w:r>
            <w:r>
              <w:rPr>
                <w:rFonts w:hint="eastAsia"/>
                <w:sz w:val="21"/>
                <w:lang w:val="en-US" w:eastAsia="zh-CN"/>
              </w:rPr>
              <w:t>南</w:t>
            </w:r>
            <w:r>
              <w:rPr>
                <w:rFonts w:hint="eastAsia"/>
                <w:sz w:val="21"/>
              </w:rPr>
              <w:t>侧原为山体。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80768" behindDoc="0" locked="0" layoutInCell="1" allowOverlap="1">
                  <wp:simplePos x="0" y="0"/>
                  <wp:positionH relativeFrom="column">
                    <wp:posOffset>4491355</wp:posOffset>
                  </wp:positionH>
                  <wp:positionV relativeFrom="paragraph">
                    <wp:posOffset>94615</wp:posOffset>
                  </wp:positionV>
                  <wp:extent cx="396240" cy="408305"/>
                  <wp:effectExtent l="9525" t="9525" r="13335" b="20320"/>
                  <wp:wrapNone/>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4569460" cy="2729230"/>
                  <wp:effectExtent l="0" t="0" r="2540" b="1397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20"/>
                          <a:stretch>
                            <a:fillRect/>
                          </a:stretch>
                        </pic:blipFill>
                        <pic:spPr>
                          <a:xfrm>
                            <a:off x="0" y="0"/>
                            <a:ext cx="4569460" cy="272923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ascii="Times New Roman" w:hAnsi="Times New Roman" w:eastAsia="宋体" w:cs="Times New Roman"/>
                <w:kern w:val="2"/>
                <w:sz w:val="21"/>
                <w:szCs w:val="21"/>
                <w:lang w:val="en-US" w:eastAsia="zh-CN" w:bidi="ar-SA"/>
              </w:rPr>
              <w:t>1</w:t>
            </w:r>
            <w:r>
              <w:rPr>
                <w:rFonts w:hint="eastAsia" w:cs="Times New Roman"/>
                <w:kern w:val="2"/>
                <w:sz w:val="21"/>
                <w:szCs w:val="21"/>
                <w:lang w:val="en-US" w:eastAsia="zh-CN" w:bidi="ar-SA"/>
              </w:rPr>
              <w:t>6</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12</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b/>
                <w:bCs/>
                <w:sz w:val="21"/>
              </w:rPr>
              <w:t>影像分析：</w:t>
            </w:r>
            <w:r>
              <w:rPr>
                <w:rFonts w:hint="eastAsia"/>
                <w:sz w:val="21"/>
              </w:rPr>
              <w:t>通过2</w:t>
            </w:r>
            <w:r>
              <w:rPr>
                <w:sz w:val="21"/>
              </w:rPr>
              <w:t>0</w:t>
            </w:r>
            <w:r>
              <w:rPr>
                <w:rFonts w:hint="eastAsia"/>
                <w:sz w:val="21"/>
                <w:lang w:val="en-US" w:eastAsia="zh-CN"/>
              </w:rPr>
              <w:t>16</w:t>
            </w:r>
            <w:r>
              <w:rPr>
                <w:rFonts w:hint="eastAsia"/>
                <w:sz w:val="21"/>
              </w:rPr>
              <w:t>年的影像，对比2</w:t>
            </w:r>
            <w:r>
              <w:rPr>
                <w:sz w:val="21"/>
              </w:rPr>
              <w:t>00</w:t>
            </w:r>
            <w:r>
              <w:rPr>
                <w:rFonts w:hint="eastAsia"/>
                <w:sz w:val="21"/>
                <w:lang w:val="en-US" w:eastAsia="zh-CN"/>
              </w:rPr>
              <w:t>2</w:t>
            </w:r>
            <w:r>
              <w:rPr>
                <w:rFonts w:hint="eastAsia"/>
                <w:sz w:val="21"/>
              </w:rPr>
              <w:t>年的影像，</w:t>
            </w:r>
            <w:r>
              <w:rPr>
                <w:rFonts w:hint="eastAsia"/>
                <w:sz w:val="21"/>
                <w:lang w:val="en-US" w:eastAsia="zh-CN"/>
              </w:rPr>
              <w:t>新建几户村民</w:t>
            </w:r>
            <w:r>
              <w:rPr>
                <w:rFonts w:hint="eastAsia"/>
                <w:sz w:val="21"/>
              </w:rPr>
              <w:t>住宅。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line="240" w:lineRule="auto"/>
              <w:ind w:firstLine="0" w:firstLineChars="0"/>
              <w:jc w:val="center"/>
              <w:rPr>
                <w:rFonts w:ascii="Times New Roman" w:hAnsi="Times New Roman" w:eastAsia="宋体" w:cs="Times New Roman"/>
                <w:kern w:val="2"/>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77696" behindDoc="0" locked="0" layoutInCell="1" allowOverlap="1">
                  <wp:simplePos x="0" y="0"/>
                  <wp:positionH relativeFrom="column">
                    <wp:posOffset>4844415</wp:posOffset>
                  </wp:positionH>
                  <wp:positionV relativeFrom="paragraph">
                    <wp:posOffset>56515</wp:posOffset>
                  </wp:positionV>
                  <wp:extent cx="396240" cy="408305"/>
                  <wp:effectExtent l="9525" t="9525" r="13335" b="20320"/>
                  <wp:wrapNone/>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5290185" cy="3159125"/>
                  <wp:effectExtent l="0" t="0" r="5715" b="317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1"/>
                          <a:stretch>
                            <a:fillRect/>
                          </a:stretch>
                        </pic:blipFill>
                        <pic:spPr>
                          <a:xfrm>
                            <a:off x="0" y="0"/>
                            <a:ext cx="5290185" cy="3159125"/>
                          </a:xfrm>
                          <a:prstGeom prst="rect">
                            <a:avLst/>
                          </a:prstGeom>
                          <a:noFill/>
                          <a:ln>
                            <a:noFill/>
                          </a:ln>
                        </pic:spPr>
                      </pic:pic>
                    </a:graphicData>
                  </a:graphic>
                </wp:inline>
              </w:drawing>
            </w:r>
          </w:p>
          <w:p>
            <w:pPr>
              <w:widowControl w:val="0"/>
              <w:adjustRightInd w:val="0"/>
              <w:snapToGrid w:val="0"/>
              <w:spacing w:line="240" w:lineRule="auto"/>
              <w:ind w:firstLine="0" w:firstLineChars="0"/>
              <w:jc w:val="center"/>
              <w:rPr>
                <w:rFonts w:ascii="Times New Roman" w:hAnsi="Times New Roman" w:eastAsia="宋体" w:cs="Times New Roman"/>
                <w:kern w:val="2"/>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01</w:t>
            </w:r>
            <w:r>
              <w:rPr>
                <w:rFonts w:hint="eastAsia" w:cs="Times New Roman"/>
                <w:kern w:val="2"/>
                <w:sz w:val="21"/>
                <w:szCs w:val="21"/>
                <w:lang w:val="en-US" w:eastAsia="zh-CN" w:bidi="ar-SA"/>
              </w:rPr>
              <w:t>7</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12</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b/>
                <w:bCs/>
                <w:sz w:val="21"/>
              </w:rPr>
              <w:t>影像分析：</w:t>
            </w:r>
            <w:r>
              <w:rPr>
                <w:rFonts w:hint="eastAsia"/>
                <w:sz w:val="21"/>
              </w:rPr>
              <w:t>通过2</w:t>
            </w:r>
            <w:r>
              <w:rPr>
                <w:sz w:val="21"/>
              </w:rPr>
              <w:t>0</w:t>
            </w:r>
            <w:r>
              <w:rPr>
                <w:rFonts w:hint="eastAsia"/>
                <w:sz w:val="21"/>
                <w:lang w:val="en-US" w:eastAsia="zh-CN"/>
              </w:rPr>
              <w:t>17</w:t>
            </w:r>
            <w:r>
              <w:rPr>
                <w:rFonts w:hint="eastAsia"/>
                <w:sz w:val="21"/>
              </w:rPr>
              <w:t>年的影像，对比2</w:t>
            </w:r>
            <w:r>
              <w:rPr>
                <w:sz w:val="21"/>
              </w:rPr>
              <w:t>0</w:t>
            </w:r>
            <w:r>
              <w:rPr>
                <w:rFonts w:hint="eastAsia"/>
                <w:sz w:val="21"/>
                <w:lang w:val="en-US" w:eastAsia="zh-CN"/>
              </w:rPr>
              <w:t>16</w:t>
            </w:r>
            <w:r>
              <w:rPr>
                <w:rFonts w:hint="eastAsia"/>
                <w:sz w:val="21"/>
              </w:rPr>
              <w:t>年的影像，地块内</w:t>
            </w:r>
            <w:r>
              <w:rPr>
                <w:rFonts w:hint="eastAsia"/>
                <w:sz w:val="21"/>
                <w:lang w:val="en-US" w:eastAsia="zh-CN"/>
              </w:rPr>
              <w:t>几户村民住宅</w:t>
            </w:r>
            <w:r>
              <w:rPr>
                <w:rFonts w:hint="eastAsia"/>
                <w:sz w:val="21"/>
              </w:rPr>
              <w:t>已拆除，为空地。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97152" behindDoc="0" locked="0" layoutInCell="1" allowOverlap="1">
                  <wp:simplePos x="0" y="0"/>
                  <wp:positionH relativeFrom="column">
                    <wp:posOffset>4857115</wp:posOffset>
                  </wp:positionH>
                  <wp:positionV relativeFrom="paragraph">
                    <wp:posOffset>40640</wp:posOffset>
                  </wp:positionV>
                  <wp:extent cx="396240" cy="408305"/>
                  <wp:effectExtent l="9525" t="9525" r="13335" b="20320"/>
                  <wp:wrapNone/>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5281930" cy="3202305"/>
                  <wp:effectExtent l="0" t="0" r="13970" b="1714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2"/>
                          <a:stretch>
                            <a:fillRect/>
                          </a:stretch>
                        </pic:blipFill>
                        <pic:spPr>
                          <a:xfrm>
                            <a:off x="0" y="0"/>
                            <a:ext cx="5281930" cy="3202305"/>
                          </a:xfrm>
                          <a:prstGeom prst="rect">
                            <a:avLst/>
                          </a:prstGeom>
                          <a:noFill/>
                          <a:ln>
                            <a:noFill/>
                          </a:ln>
                        </pic:spPr>
                      </pic:pic>
                    </a:graphicData>
                  </a:graphic>
                </wp:inline>
              </w:drawing>
            </w:r>
          </w:p>
          <w:p>
            <w:pPr>
              <w:widowControl w:val="0"/>
              <w:adjustRightInd w:val="0"/>
              <w:snapToGrid w:val="0"/>
              <w:spacing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ascii="Times New Roman" w:hAnsi="Times New Roman" w:eastAsia="宋体" w:cs="Times New Roman"/>
                <w:kern w:val="2"/>
                <w:sz w:val="21"/>
                <w:szCs w:val="21"/>
                <w:lang w:val="en-US" w:eastAsia="zh-CN" w:bidi="ar-SA"/>
              </w:rPr>
              <w:t>18年10月卫星影像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b/>
                <w:bCs/>
                <w:sz w:val="21"/>
              </w:rPr>
              <w:t>影像分析：</w:t>
            </w:r>
            <w:r>
              <w:rPr>
                <w:rFonts w:hint="eastAsia"/>
                <w:sz w:val="21"/>
              </w:rPr>
              <w:t>通过2</w:t>
            </w:r>
            <w:r>
              <w:rPr>
                <w:sz w:val="21"/>
              </w:rPr>
              <w:t>0</w:t>
            </w:r>
            <w:r>
              <w:rPr>
                <w:rFonts w:hint="eastAsia"/>
                <w:sz w:val="21"/>
                <w:lang w:val="en-US" w:eastAsia="zh-CN"/>
              </w:rPr>
              <w:t>18</w:t>
            </w:r>
            <w:r>
              <w:rPr>
                <w:rFonts w:hint="eastAsia"/>
                <w:sz w:val="21"/>
              </w:rPr>
              <w:t>年的影像，对比2</w:t>
            </w:r>
            <w:r>
              <w:rPr>
                <w:sz w:val="21"/>
              </w:rPr>
              <w:t>0</w:t>
            </w:r>
            <w:r>
              <w:rPr>
                <w:rFonts w:hint="eastAsia"/>
                <w:sz w:val="21"/>
                <w:lang w:val="en-US" w:eastAsia="zh-CN"/>
              </w:rPr>
              <w:t>17</w:t>
            </w:r>
            <w:r>
              <w:rPr>
                <w:rFonts w:hint="eastAsia"/>
                <w:sz w:val="21"/>
              </w:rPr>
              <w:t>年的影像，地块内</w:t>
            </w:r>
            <w:r>
              <w:rPr>
                <w:rFonts w:hint="eastAsia"/>
                <w:sz w:val="21"/>
                <w:lang w:val="en-US" w:eastAsia="zh-CN"/>
              </w:rPr>
              <w:t>村民住宅均</w:t>
            </w:r>
            <w:r>
              <w:rPr>
                <w:rFonts w:hint="eastAsia"/>
                <w:sz w:val="21"/>
              </w:rPr>
              <w:t>已拆除，为空地。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98176" behindDoc="0" locked="0" layoutInCell="1" allowOverlap="1">
                  <wp:simplePos x="0" y="0"/>
                  <wp:positionH relativeFrom="column">
                    <wp:posOffset>4846320</wp:posOffset>
                  </wp:positionH>
                  <wp:positionV relativeFrom="paragraph">
                    <wp:posOffset>95885</wp:posOffset>
                  </wp:positionV>
                  <wp:extent cx="396240" cy="408305"/>
                  <wp:effectExtent l="9525" t="9525" r="13335" b="20320"/>
                  <wp:wrapNone/>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5291455" cy="3171190"/>
                  <wp:effectExtent l="0" t="0" r="4445" b="1016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23"/>
                          <a:stretch>
                            <a:fillRect/>
                          </a:stretch>
                        </pic:blipFill>
                        <pic:spPr>
                          <a:xfrm>
                            <a:off x="0" y="0"/>
                            <a:ext cx="5291455" cy="317119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ascii="Times New Roman" w:hAnsi="Times New Roman" w:eastAsia="宋体" w:cs="Times New Roman"/>
                <w:kern w:val="2"/>
                <w:sz w:val="21"/>
                <w:szCs w:val="21"/>
                <w:lang w:val="en-US" w:eastAsia="zh-CN" w:bidi="ar-SA"/>
              </w:rPr>
              <w:t>21年2月卫星影像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b/>
                <w:bCs/>
                <w:sz w:val="21"/>
              </w:rPr>
              <w:t>影像分析：</w:t>
            </w:r>
            <w:r>
              <w:rPr>
                <w:rFonts w:hint="eastAsia"/>
                <w:sz w:val="21"/>
              </w:rPr>
              <w:t>通过2</w:t>
            </w:r>
            <w:r>
              <w:rPr>
                <w:sz w:val="21"/>
              </w:rPr>
              <w:t>0</w:t>
            </w:r>
            <w:r>
              <w:rPr>
                <w:rFonts w:hint="eastAsia"/>
                <w:sz w:val="21"/>
                <w:lang w:val="en-US" w:eastAsia="zh-CN"/>
              </w:rPr>
              <w:t>21</w:t>
            </w:r>
            <w:r>
              <w:rPr>
                <w:rFonts w:hint="eastAsia"/>
                <w:sz w:val="21"/>
              </w:rPr>
              <w:t>年的影像，对比2</w:t>
            </w:r>
            <w:r>
              <w:rPr>
                <w:sz w:val="21"/>
              </w:rPr>
              <w:t>0</w:t>
            </w:r>
            <w:r>
              <w:rPr>
                <w:rFonts w:hint="eastAsia"/>
                <w:sz w:val="21"/>
                <w:lang w:val="en-US" w:eastAsia="zh-CN"/>
              </w:rPr>
              <w:t>18</w:t>
            </w:r>
            <w:r>
              <w:rPr>
                <w:rFonts w:hint="eastAsia"/>
                <w:sz w:val="21"/>
              </w:rPr>
              <w:t>年的影像，地块</w:t>
            </w:r>
            <w:r>
              <w:rPr>
                <w:rFonts w:hint="eastAsia"/>
                <w:sz w:val="21"/>
                <w:lang w:val="en-US" w:eastAsia="zh-CN"/>
              </w:rPr>
              <w:t>A区已建成拌和站</w:t>
            </w:r>
            <w:r>
              <w:rPr>
                <w:rFonts w:hint="eastAsia"/>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709440" behindDoc="0" locked="0" layoutInCell="1" allowOverlap="1">
                  <wp:simplePos x="0" y="0"/>
                  <wp:positionH relativeFrom="column">
                    <wp:posOffset>4841240</wp:posOffset>
                  </wp:positionH>
                  <wp:positionV relativeFrom="paragraph">
                    <wp:posOffset>99060</wp:posOffset>
                  </wp:positionV>
                  <wp:extent cx="396240" cy="408305"/>
                  <wp:effectExtent l="9525" t="9525" r="13335" b="2032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5283835" cy="3178810"/>
                  <wp:effectExtent l="0" t="0" r="12065" b="254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4"/>
                          <a:stretch>
                            <a:fillRect/>
                          </a:stretch>
                        </pic:blipFill>
                        <pic:spPr>
                          <a:xfrm>
                            <a:off x="0" y="0"/>
                            <a:ext cx="5283835" cy="317881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ascii="Times New Roman" w:hAnsi="Times New Roman" w:eastAsia="宋体" w:cs="Times New Roman"/>
                <w:kern w:val="2"/>
                <w:sz w:val="21"/>
                <w:szCs w:val="21"/>
                <w:lang w:val="en-US" w:eastAsia="zh-CN" w:bidi="ar-SA"/>
              </w:rPr>
              <w:t>2</w:t>
            </w:r>
            <w:r>
              <w:rPr>
                <w:rFonts w:hint="eastAsia"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6</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pPr>
              <w:widowControl w:val="0"/>
              <w:adjustRightInd w:val="0"/>
              <w:snapToGrid w:val="0"/>
              <w:spacing w:before="97" w:beforeLines="30"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b/>
                <w:bCs/>
                <w:sz w:val="21"/>
              </w:rPr>
              <w:t>影像分析：</w:t>
            </w:r>
            <w:r>
              <w:rPr>
                <w:rFonts w:hint="eastAsia"/>
                <w:sz w:val="21"/>
              </w:rPr>
              <w:t>通过2</w:t>
            </w:r>
            <w:r>
              <w:rPr>
                <w:sz w:val="21"/>
              </w:rPr>
              <w:t>0</w:t>
            </w:r>
            <w:r>
              <w:rPr>
                <w:rFonts w:hint="eastAsia"/>
                <w:sz w:val="21"/>
                <w:lang w:val="en-US" w:eastAsia="zh-CN"/>
              </w:rPr>
              <w:t>22</w:t>
            </w:r>
            <w:r>
              <w:rPr>
                <w:rFonts w:hint="eastAsia"/>
                <w:sz w:val="21"/>
              </w:rPr>
              <w:t>年的影像，对比2</w:t>
            </w:r>
            <w:r>
              <w:rPr>
                <w:sz w:val="21"/>
              </w:rPr>
              <w:t>0</w:t>
            </w:r>
            <w:r>
              <w:rPr>
                <w:rFonts w:hint="eastAsia"/>
                <w:sz w:val="21"/>
                <w:lang w:val="en-US" w:eastAsia="zh-CN"/>
              </w:rPr>
              <w:t>21</w:t>
            </w:r>
            <w:r>
              <w:rPr>
                <w:rFonts w:hint="eastAsia"/>
                <w:sz w:val="21"/>
              </w:rPr>
              <w:t>年的影像，地块</w:t>
            </w:r>
            <w:r>
              <w:rPr>
                <w:rFonts w:hint="eastAsia"/>
                <w:sz w:val="21"/>
                <w:lang w:val="en-US" w:eastAsia="zh-CN"/>
              </w:rPr>
              <w:t>B区已建成拌和站砂石料场</w:t>
            </w:r>
            <w:r>
              <w:rPr>
                <w:rFonts w:hint="eastAsia"/>
                <w:sz w:val="21"/>
              </w:rPr>
              <w:t>。</w:t>
            </w:r>
          </w:p>
        </w:tc>
      </w:tr>
    </w:tbl>
    <w:p>
      <w:pPr>
        <w:adjustRightInd w:val="0"/>
        <w:snapToGrid w:val="0"/>
        <w:spacing w:before="97" w:beforeLines="30" w:after="97" w:afterLines="30" w:line="240" w:lineRule="auto"/>
        <w:jc w:val="center"/>
        <w:rPr>
          <w:rFonts w:hint="eastAsia"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 xml:space="preserve">图 </w:t>
      </w:r>
      <w:r>
        <w:rPr>
          <w:rFonts w:ascii="Times New Roman" w:hAnsi="Times New Roman" w:eastAsia="宋体" w:cs="Times New Roman"/>
          <w:b/>
          <w:sz w:val="21"/>
          <w:szCs w:val="21"/>
          <w:lang w:val="en-US" w:eastAsia="zh-CN" w:bidi="ar-SA"/>
        </w:rPr>
        <w:t>3.4-</w:t>
      </w:r>
      <w:r>
        <w:rPr>
          <w:rFonts w:hint="eastAsia" w:ascii="Times New Roman" w:hAnsi="Times New Roman" w:eastAsia="宋体" w:cs="Times New Roman"/>
          <w:b/>
          <w:sz w:val="21"/>
          <w:szCs w:val="21"/>
          <w:lang w:val="en-US" w:eastAsia="zh-CN" w:bidi="ar-SA"/>
        </w:rPr>
        <w:t>2</w:t>
      </w:r>
      <w:r>
        <w:rPr>
          <w:rFonts w:ascii="Times New Roman" w:hAnsi="Times New Roman" w:eastAsia="宋体" w:cs="Times New Roman"/>
          <w:b/>
          <w:sz w:val="21"/>
          <w:szCs w:val="21"/>
          <w:lang w:val="en-US" w:eastAsia="zh-CN" w:bidi="ar-SA"/>
        </w:rPr>
        <w:t xml:space="preserve">  </w:t>
      </w:r>
      <w:r>
        <w:rPr>
          <w:rFonts w:hint="eastAsia" w:cs="Times New Roman"/>
          <w:b/>
          <w:sz w:val="21"/>
          <w:szCs w:val="21"/>
          <w:lang w:val="en-US" w:eastAsia="zh-CN" w:bidi="ar-SA"/>
        </w:rPr>
        <w:t>本</w:t>
      </w:r>
      <w:r>
        <w:rPr>
          <w:rFonts w:hint="eastAsia" w:ascii="Times New Roman" w:hAnsi="Times New Roman" w:eastAsia="宋体" w:cs="Times New Roman"/>
          <w:b/>
          <w:sz w:val="21"/>
          <w:szCs w:val="21"/>
          <w:lang w:val="en-US" w:eastAsia="zh-CN" w:bidi="ar-SA"/>
        </w:rPr>
        <w:t>地块历史影像情况</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通过对地块内部历史卫星图片分析可知，该地块内部不涉及工矿用途、规模化养殖、有毒有害物质储存与输送、危险废物堆放、固废堆放与倾倒、固废填埋等可能影响土壤和地下水环境质量的利用方式或事件发生。</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20" w:name="_Toc31742"/>
      <w:r>
        <w:rPr>
          <w:rFonts w:hint="eastAsia" w:ascii="Times New Roman" w:hAnsi="Times New Roman" w:eastAsia="宋体" w:cs="Times New Roman"/>
          <w:b/>
          <w:bCs/>
          <w:sz w:val="28"/>
          <w:szCs w:val="32"/>
          <w:lang w:val="en-US" w:eastAsia="zh-CN" w:bidi="ar-SA"/>
        </w:rPr>
        <w:t>相邻地块的现状和历史</w:t>
      </w:r>
      <w:bookmarkEnd w:id="20"/>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ascii="Times New Roman" w:hAnsi="Times New Roman" w:eastAsia="宋体" w:cs="Times New Roman"/>
          <w:b/>
          <w:bCs/>
          <w:sz w:val="24"/>
          <w:szCs w:val="24"/>
          <w:lang w:val="en-US" w:eastAsia="zh-CN" w:bidi="ar-SA"/>
        </w:rPr>
        <w:t>相邻地块现状</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highlight w:val="yellow"/>
          <w:lang w:val="en-US" w:eastAsia="zh-CN" w:bidi="ar-SA"/>
        </w:rPr>
      </w:pPr>
      <w:r>
        <w:rPr>
          <w:rFonts w:hint="eastAsia" w:ascii="Times New Roman" w:hAnsi="Times New Roman" w:eastAsia="宋体" w:cs="Times New Roman"/>
          <w:kern w:val="2"/>
          <w:sz w:val="24"/>
          <w:szCs w:val="24"/>
          <w:lang w:val="en-US" w:eastAsia="zh-CN" w:bidi="ar-SA"/>
        </w:rPr>
        <w:t>经过实地勘察，</w:t>
      </w:r>
      <w:r>
        <w:rPr>
          <w:rFonts w:hint="eastAsia" w:cs="Times New Roman"/>
          <w:kern w:val="2"/>
          <w:sz w:val="24"/>
          <w:szCs w:val="24"/>
          <w:lang w:val="en-US" w:eastAsia="zh-CN" w:bidi="ar-SA"/>
        </w:rPr>
        <w:t>本地块</w:t>
      </w:r>
      <w:r>
        <w:rPr>
          <w:rFonts w:hint="eastAsia" w:ascii="Times New Roman" w:hAnsi="Times New Roman" w:eastAsia="宋体" w:cs="Times New Roman"/>
          <w:kern w:val="2"/>
          <w:sz w:val="24"/>
          <w:szCs w:val="24"/>
          <w:lang w:val="en-US" w:eastAsia="zh-CN" w:bidi="ar-SA"/>
        </w:rPr>
        <w:t>北侧为山体，山体以北为</w:t>
      </w:r>
      <w:r>
        <w:rPr>
          <w:rFonts w:hint="eastAsia" w:cs="Times New Roman"/>
          <w:kern w:val="2"/>
          <w:sz w:val="24"/>
          <w:szCs w:val="24"/>
          <w:lang w:val="en-US" w:eastAsia="zh-CN" w:bidi="ar-SA"/>
        </w:rPr>
        <w:t>合益路</w:t>
      </w:r>
      <w:r>
        <w:rPr>
          <w:rFonts w:hint="eastAsia" w:ascii="Times New Roman" w:hAnsi="Times New Roman" w:eastAsia="宋体" w:cs="Times New Roman"/>
          <w:kern w:val="2"/>
          <w:sz w:val="24"/>
          <w:szCs w:val="24"/>
          <w:lang w:val="en-US" w:eastAsia="zh-CN" w:bidi="ar-SA"/>
        </w:rPr>
        <w:t>；东侧为</w:t>
      </w:r>
      <w:r>
        <w:rPr>
          <w:rFonts w:hint="eastAsia" w:cs="Times New Roman"/>
          <w:kern w:val="2"/>
          <w:sz w:val="24"/>
          <w:szCs w:val="24"/>
          <w:lang w:val="en-US" w:eastAsia="zh-CN" w:bidi="ar-SA"/>
        </w:rPr>
        <w:t>安琪健康食品产业园</w:t>
      </w:r>
      <w:r>
        <w:rPr>
          <w:rFonts w:hint="eastAsia" w:ascii="Times New Roman" w:hAnsi="Times New Roman" w:eastAsia="宋体" w:cs="Times New Roman"/>
          <w:kern w:val="2"/>
          <w:sz w:val="24"/>
          <w:szCs w:val="24"/>
          <w:lang w:val="en-US" w:eastAsia="zh-CN" w:bidi="ar-SA"/>
        </w:rPr>
        <w:t>；南侧紧临</w:t>
      </w:r>
      <w:r>
        <w:rPr>
          <w:rFonts w:hint="eastAsia" w:cs="Times New Roman"/>
          <w:kern w:val="2"/>
          <w:sz w:val="24"/>
          <w:szCs w:val="24"/>
          <w:lang w:val="en-US" w:eastAsia="zh-CN" w:bidi="ar-SA"/>
        </w:rPr>
        <w:t>宜昌市统领傢俬有限公司</w:t>
      </w:r>
      <w:r>
        <w:rPr>
          <w:rFonts w:hint="eastAsia" w:ascii="Times New Roman" w:hAnsi="Times New Roman" w:eastAsia="宋体" w:cs="Times New Roman"/>
          <w:kern w:val="2"/>
          <w:sz w:val="24"/>
          <w:szCs w:val="24"/>
          <w:lang w:val="en-US" w:eastAsia="zh-CN" w:bidi="ar-SA"/>
        </w:rPr>
        <w:t>；西侧为</w:t>
      </w:r>
      <w:r>
        <w:rPr>
          <w:rFonts w:hint="eastAsia" w:cs="Times New Roman"/>
          <w:kern w:val="2"/>
          <w:sz w:val="24"/>
          <w:szCs w:val="24"/>
          <w:lang w:val="en-US" w:eastAsia="zh-CN" w:bidi="ar-SA"/>
        </w:rPr>
        <w:t>山体，山体西侧为峡州大道</w:t>
      </w:r>
      <w:r>
        <w:rPr>
          <w:rFonts w:hint="eastAsia" w:ascii="Times New Roman" w:hAnsi="Times New Roman" w:eastAsia="宋体" w:cs="Times New Roman"/>
          <w:kern w:val="2"/>
          <w:sz w:val="24"/>
          <w:szCs w:val="24"/>
          <w:lang w:val="en-US" w:eastAsia="zh-CN" w:bidi="ar-SA"/>
        </w:rPr>
        <w:t>。</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w:t>
      </w:r>
      <w:r>
        <w:rPr>
          <w:rFonts w:hint="eastAsia" w:cs="Times New Roman"/>
          <w:kern w:val="2"/>
          <w:sz w:val="24"/>
          <w:szCs w:val="24"/>
          <w:lang w:val="en-US" w:eastAsia="zh-CN" w:bidi="ar-SA"/>
        </w:rPr>
        <w:t>东侧安琪健康食品产业园</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项目用地60亩，新增建筑面积13230平方米，购置浆果清洗、杀菌、切片、压榨、糖浸、七级热风烘干设备和果汁真空浓缩、杀菌及无菌灌装等设备300余台（套），采用国际先进水平的智能制造技术，建设年产1万吨蔓越莓蜜饯和6000吨蔓越莓果汁生产线。</w:t>
      </w:r>
    </w:p>
    <w:p>
      <w:pPr>
        <w:widowControl w:val="0"/>
        <w:adjustRightInd w:val="0"/>
        <w:snapToGrid w:val="0"/>
        <w:spacing w:line="360" w:lineRule="auto"/>
        <w:ind w:firstLine="480" w:firstLineChars="200"/>
        <w:jc w:val="both"/>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项目不产生生产废水，生活污水经化粪池处理后接入市政污水管网。项目无土壤及地下水污染途径，对本地块影响较小。</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w:t>
      </w:r>
      <w:r>
        <w:rPr>
          <w:rFonts w:hint="eastAsia" w:cs="Times New Roman"/>
          <w:kern w:val="2"/>
          <w:sz w:val="24"/>
          <w:szCs w:val="24"/>
          <w:lang w:val="en-US" w:eastAsia="zh-CN" w:bidi="ar-SA"/>
        </w:rPr>
        <w:t>南侧宜昌市统领傢俬有限公司</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宜昌市统领傢俬有限公司于2003年10月15日成立，位于伍家岗区工业园区，公司经营范围包括：高档傢俬及木制品、全屋定制家具、酒店家具、办公家具及文教用品（不含音像制品、图书报刊）的生产、批发、零售（含医院用家具、课桌椅）等。占地面积27620m</w:t>
      </w:r>
      <w:r>
        <w:rPr>
          <w:rFonts w:hint="eastAsia" w:ascii="Times New Roman" w:hAnsi="Times New Roman" w:eastAsia="宋体" w:cs="Times New Roman"/>
          <w:kern w:val="2"/>
          <w:sz w:val="24"/>
          <w:szCs w:val="24"/>
          <w:vertAlign w:val="superscript"/>
          <w:lang w:val="en-US" w:eastAsia="zh-CN" w:bidi="ar-SA"/>
        </w:rPr>
        <w:t>2</w:t>
      </w:r>
      <w:r>
        <w:rPr>
          <w:rFonts w:hint="eastAsia" w:ascii="Times New Roman" w:hAnsi="Times New Roman" w:eastAsia="宋体" w:cs="Times New Roman"/>
          <w:kern w:val="2"/>
          <w:sz w:val="24"/>
          <w:szCs w:val="24"/>
          <w:lang w:val="en-US" w:eastAsia="zh-CN" w:bidi="ar-SA"/>
        </w:rPr>
        <w:t>，总建筑面积31158m</w:t>
      </w:r>
      <w:r>
        <w:rPr>
          <w:rFonts w:hint="eastAsia" w:ascii="Times New Roman" w:hAnsi="Times New Roman" w:eastAsia="宋体" w:cs="Times New Roman"/>
          <w:kern w:val="2"/>
          <w:sz w:val="24"/>
          <w:szCs w:val="24"/>
          <w:vertAlign w:val="superscript"/>
          <w:lang w:val="en-US" w:eastAsia="zh-CN" w:bidi="ar-SA"/>
        </w:rPr>
        <w:t>2</w:t>
      </w:r>
      <w:r>
        <w:rPr>
          <w:rFonts w:hint="eastAsia" w:ascii="Times New Roman" w:hAnsi="Times New Roman" w:eastAsia="宋体" w:cs="Times New Roman"/>
          <w:kern w:val="2"/>
          <w:sz w:val="24"/>
          <w:szCs w:val="24"/>
          <w:lang w:val="en-US" w:eastAsia="zh-CN" w:bidi="ar-SA"/>
        </w:rPr>
        <w:t>。企业现具备年产40000立方米家具的生产能力。</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企业产品生产涉有机废气排放的工序主要为喷漆工序，喷漆废气主要污染物为二甲苯、非甲烷总烃、漆雾。根据现场调查，喷漆工序均在密闭喷漆房（3个喷漆房）内进行，喷漆废气均采用水帘喷淋+UV光解催化+活性炭吸附装置（3套）处理，后经15m高排气筒排放至大气环境。</w:t>
      </w:r>
    </w:p>
    <w:p>
      <w:pPr>
        <w:widowControl w:val="0"/>
        <w:adjustRightInd w:val="0"/>
        <w:snapToGrid w:val="0"/>
        <w:spacing w:line="360" w:lineRule="auto"/>
        <w:ind w:firstLine="480" w:firstLineChars="200"/>
        <w:jc w:val="both"/>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该企业位于本地块正南侧，且与本地块相隔一个山头，对本地块影响较小。</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 xml:space="preserve"> 本地块相对厂区相邻地块现状详见图3.5-1。</w:t>
      </w:r>
    </w:p>
    <w:p>
      <w:pPr>
        <w:ind w:firstLine="400"/>
        <w:rPr>
          <w:sz w:val="24"/>
          <w:szCs w:val="24"/>
        </w:rPr>
        <w:sectPr>
          <w:headerReference r:id="rId6" w:type="default"/>
          <w:footerReference r:id="rId7" w:type="default"/>
          <w:pgSz w:w="11906" w:h="16838"/>
          <w:pgMar w:top="1440" w:right="1644" w:bottom="1440" w:left="1644" w:header="851" w:footer="907" w:gutter="284"/>
          <w:cols w:space="425" w:num="1"/>
          <w:docGrid w:type="lines" w:linePitch="326" w:charSpace="0"/>
        </w:sectPr>
      </w:pPr>
      <w:r>
        <w:rPr>
          <w:rFonts w:ascii="Times New Roman" w:hAnsi="Times New Roman" w:eastAsia="宋体" w:cs="Times New Roman"/>
          <w:kern w:val="2"/>
          <w:szCs w:val="21"/>
          <w:lang w:val="en-US" w:eastAsia="zh-CN" w:bidi="ar-SA"/>
        </w:rPr>
        <w:t xml:space="preserve"> </w:t>
      </w:r>
    </w:p>
    <w:p>
      <w:pPr>
        <w:widowControl w:val="0"/>
        <w:adjustRightInd w:val="0"/>
        <w:snapToGrid w:val="0"/>
        <w:spacing w:line="360" w:lineRule="auto"/>
        <w:ind w:firstLine="0" w:firstLineChars="0"/>
        <w:jc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6368" behindDoc="0" locked="0" layoutInCell="1" allowOverlap="1">
                <wp:simplePos x="0" y="0"/>
                <wp:positionH relativeFrom="column">
                  <wp:posOffset>939800</wp:posOffset>
                </wp:positionH>
                <wp:positionV relativeFrom="paragraph">
                  <wp:posOffset>3392170</wp:posOffset>
                </wp:positionV>
                <wp:extent cx="806450" cy="250190"/>
                <wp:effectExtent l="0" t="0" r="0" b="0"/>
                <wp:wrapNone/>
                <wp:docPr id="352" name="文本框 352"/>
                <wp:cNvGraphicFramePr/>
                <a:graphic xmlns:a="http://schemas.openxmlformats.org/drawingml/2006/main">
                  <a:graphicData uri="http://schemas.microsoft.com/office/word/2010/wordprocessingShape">
                    <wps:wsp>
                      <wps:cNvSpPr txBox="1"/>
                      <wps:spPr>
                        <a:xfrm>
                          <a:off x="0" y="0"/>
                          <a:ext cx="806450" cy="250166"/>
                        </a:xfrm>
                        <a:prstGeom prst="rect">
                          <a:avLst/>
                        </a:prstGeom>
                        <a:noFill/>
                        <a:ln w="6350">
                          <a:noFill/>
                        </a:ln>
                      </wps:spPr>
                      <wps:txbx>
                        <w:txbxContent>
                          <w:p>
                            <w:pPr>
                              <w:widowControl/>
                              <w:adjustRightInd w:val="0"/>
                              <w:snapToGrid w:val="0"/>
                              <w:spacing w:line="360" w:lineRule="auto"/>
                              <w:rPr>
                                <w:rFonts w:hint="default" w:eastAsia="宋体" w:cs="Times New Roman"/>
                                <w:b/>
                                <w:bCs/>
                                <w:color w:val="FF00FF"/>
                                <w:kern w:val="0"/>
                                <w:sz w:val="20"/>
                                <w:szCs w:val="20"/>
                                <w:lang w:val="en-US" w:eastAsia="zh-CN"/>
                              </w:rPr>
                            </w:pPr>
                            <w:r>
                              <w:rPr>
                                <w:rFonts w:hint="eastAsia" w:cs="Times New Roman"/>
                                <w:b/>
                                <w:bCs/>
                                <w:color w:val="FF00FF"/>
                                <w:kern w:val="0"/>
                                <w:sz w:val="20"/>
                                <w:szCs w:val="20"/>
                                <w:lang w:val="en-US" w:eastAsia="zh-CN"/>
                              </w:rPr>
                              <w:t>统领傢俬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pt;margin-top:267.1pt;height:19.7pt;width:63.5pt;z-index:251706368;mso-width-relative:page;mso-height-relative:page;" filled="f" stroked="f" coordsize="21600,21600" o:gfxdata="UEsDBAoAAAAAAIdO4kAAAAAAAAAAAAAAAAAEAAAAZHJzL1BLAwQUAAAACACHTuJAJFMTjNwAAAAL&#10;AQAADwAAAGRycy9kb3ducmV2LnhtbE2PzU7DMBCE70i8g7WVuFGnadNGIU6FIlVICA4tvXDbxNsk&#10;amyH2P2Bp2c5lePMjma/yddX04szjb5zVsFsGoEgWzvd2UbB/mPzmILwAa3G3llS8E0e1sX9XY6Z&#10;dhe7pfMuNIJLrM9QQRvCkEnp65YM+qkbyPLt4EaDgeXYSD3ihctNL+MoWkqDneUPLQ5UtlQfdyej&#10;4LXcvOO2ik3605cvb4fn4Wv/mSj1MJlFTyACXcMtDH/4jA4FM1XuZLUXPetFyluCgmS+iEFwIl4l&#10;7FTsrOZLkEUu/28ofgFQSwMEFAAAAAgAh07iQPDUFrU8AgAAaQQAAA4AAABkcnMvZTJvRG9jLnht&#10;bK1UwW4TMRC9I/EPlu90kzQJJeqmCo2CkCpaKSDOjtfbXcn2GNvpbvkA+IOeuHDnu/IdPO8mbSkc&#10;euDijGcmb/zezOzpWWs0u1E+1GRzPjwacKaspKK21zn/9HH16oSzEIUthCarcn6rAj+bv3xx2riZ&#10;GlFFulCeAcSGWeNyXsXoZlkWZKWMCEfklEWwJG9ExNVfZ4UXDdCNzkaDwTRryBfOk1QhwLvsg3yP&#10;6J8DSGVZS7UkuTXKxh7VKy0iKIWqdoHPu9eWpZLxsiyDikznHExjd6II7E06s/mpmF174apa7p8g&#10;nvOEJ5yMqC2K3kMtRRRs6+u/oEwtPQUq45Ekk/VEOkXAYjh4os26Ek51XCB1cPeih/8HKz/cXHlW&#10;Fzk/now4s8Kg5bu777sfv3Y/v7HkhESNCzNkrh1yY/uWWgzOwR/gTMzb0pv0C04McQh8ey+waiOT&#10;cJ4MpuMJIhKh0WQwnE4TSvbwZ+dDfKfIsGTk3KN/nazi5iLEPvWQkmpZWtVadz3UljU5nx4D/o8I&#10;wLVFjUShf2qyYrtp97w2VNyClqd+NoKTqxrFL0SIV8JjGPBerEu8xFFqQhHaW5xV5L/+y5/y0SNE&#10;OWswXDkPX7bCK870e4vuvRmOx4CN3WU8eT3CxT+ObB5H7NacE+Z3iMV0sjNTftQHs/RkPmOrFqkq&#10;QsJK1M55PJjnsR95bKVUi0WXhPlzIl7YtZMJuhdtsY1U1p3SSaZem716mMCuV/ttSSP++N5lPXwh&#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FMTjNwAAAALAQAADwAAAAAAAAABACAAAAAiAAAA&#10;ZHJzL2Rvd25yZXYueG1sUEsBAhQAFAAAAAgAh07iQPDUFrU8AgAAaQQAAA4AAAAAAAAAAQAgAAAA&#10;KwEAAGRycy9lMm9Eb2MueG1sUEsFBgAAAAAGAAYAWQEAANkFAAAAAA==&#10;">
                <v:fill on="f" focussize="0,0"/>
                <v:stroke on="f" weight="0.5pt"/>
                <v:imagedata o:title=""/>
                <o:lock v:ext="edit" aspectratio="f"/>
                <v:textbox>
                  <w:txbxContent>
                    <w:p>
                      <w:pPr>
                        <w:widowControl/>
                        <w:adjustRightInd w:val="0"/>
                        <w:snapToGrid w:val="0"/>
                        <w:spacing w:line="360" w:lineRule="auto"/>
                        <w:rPr>
                          <w:rFonts w:hint="default" w:eastAsia="宋体" w:cs="Times New Roman"/>
                          <w:b/>
                          <w:bCs/>
                          <w:color w:val="FF00FF"/>
                          <w:kern w:val="0"/>
                          <w:sz w:val="20"/>
                          <w:szCs w:val="20"/>
                          <w:lang w:val="en-US" w:eastAsia="zh-CN"/>
                        </w:rPr>
                      </w:pPr>
                      <w:r>
                        <w:rPr>
                          <w:rFonts w:hint="eastAsia" w:cs="Times New Roman"/>
                          <w:b/>
                          <w:bCs/>
                          <w:color w:val="FF00FF"/>
                          <w:kern w:val="0"/>
                          <w:sz w:val="20"/>
                          <w:szCs w:val="20"/>
                          <w:lang w:val="en-US" w:eastAsia="zh-CN"/>
                        </w:rPr>
                        <w:t>统领傢俬</w:t>
                      </w:r>
                    </w:p>
                  </w:txbxContent>
                </v:textbox>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7392" behindDoc="0" locked="0" layoutInCell="1" allowOverlap="1">
                <wp:simplePos x="0" y="0"/>
                <wp:positionH relativeFrom="column">
                  <wp:posOffset>7058660</wp:posOffset>
                </wp:positionH>
                <wp:positionV relativeFrom="paragraph">
                  <wp:posOffset>45720</wp:posOffset>
                </wp:positionV>
                <wp:extent cx="1345565" cy="250190"/>
                <wp:effectExtent l="0" t="0" r="0" b="0"/>
                <wp:wrapNone/>
                <wp:docPr id="353" name="文本框 353"/>
                <wp:cNvGraphicFramePr/>
                <a:graphic xmlns:a="http://schemas.openxmlformats.org/drawingml/2006/main">
                  <a:graphicData uri="http://schemas.microsoft.com/office/word/2010/wordprocessingShape">
                    <wps:wsp>
                      <wps:cNvSpPr txBox="1"/>
                      <wps:spPr>
                        <a:xfrm>
                          <a:off x="0" y="0"/>
                          <a:ext cx="1345565" cy="250166"/>
                        </a:xfrm>
                        <a:prstGeom prst="rect">
                          <a:avLst/>
                        </a:prstGeom>
                        <a:noFill/>
                        <a:ln w="6350">
                          <a:noFill/>
                        </a:ln>
                      </wps:spPr>
                      <wps:txbx>
                        <w:txbxContent>
                          <w:p>
                            <w:pPr>
                              <w:widowControl/>
                              <w:adjustRightInd w:val="0"/>
                              <w:snapToGrid w:val="0"/>
                              <w:spacing w:line="360" w:lineRule="auto"/>
                              <w:rPr>
                                <w:rFonts w:hint="default" w:cs="Times New Roman"/>
                                <w:b/>
                                <w:bCs/>
                                <w:color w:val="FF00FF"/>
                                <w:kern w:val="0"/>
                                <w:sz w:val="20"/>
                                <w:szCs w:val="20"/>
                                <w:lang w:val="en-US"/>
                              </w:rPr>
                            </w:pPr>
                            <w:r>
                              <w:rPr>
                                <w:rFonts w:hint="eastAsia" w:cs="Times New Roman"/>
                                <w:b/>
                                <w:bCs/>
                                <w:color w:val="FF00FF"/>
                                <w:kern w:val="0"/>
                                <w:sz w:val="20"/>
                                <w:szCs w:val="20"/>
                                <w:lang w:val="en-US" w:eastAsia="zh-CN"/>
                              </w:rPr>
                              <w:t>安琪健康食品产业园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5.8pt;margin-top:3.6pt;height:19.7pt;width:105.95pt;z-index:251707392;mso-width-relative:page;mso-height-relative:page;" filled="f" stroked="f" coordsize="21600,21600" o:gfxdata="UEsDBAoAAAAAAIdO4kAAAAAAAAAAAAAAAAAEAAAAZHJzL1BLAwQUAAAACACHTuJACgPeCtoAAAAK&#10;AQAADwAAAGRycy9kb3ducmV2LnhtbE2PTU/DMAyG70j8h8hI3Fi6jpWpazqhShMSgsPGLruljddW&#10;JE5psg/49Xgn8O2VH71+XKwuzooTjqH3pGA6SUAgNd701CrYfawfFiBC1GS09YQKvjHAqry9KXRu&#10;/Jk2eNrGVnAJhVwr6GIccilD06HTYeIHJN4d/Oh05Di20oz6zOXOyjRJMul0T3yh0wNWHTaf26NT&#10;8Fqt3/WmTt3ix1Yvb4fn4Wu3nyt1fzdNliAiXuIfDFd9VoeSnWp/JBOE5cyTMavgKQVxBWbpbA6i&#10;VvCYZSDLQv5/ofwFUEsDBBQAAAAIAIdO4kCOGEcAPQIAAGoEAAAOAAAAZHJzL2Uyb0RvYy54bWyt&#10;VM2O0zAQviPxDpbvNP1LgarpqmxVhFSxKxXE2XWcJpLtMbbbpDwAvMGeuHDnufocjJ20Wy0c9sDF&#10;GXvG3/j7Ziazm0ZJchDWVaAzOuj1KRGaQ17pXUY/f1q9ekOJ80znTIIWGT0KR2/mL1/MajMVQyhB&#10;5sISBNFuWpuMlt6baZI4XgrFXA+M0OgswCrmcWt3SW5ZjehKJsN+f5LUYHNjgQvn8HTZOmmHaJ8D&#10;CEVRcbEEvldC+xbVCsk8UnJlZRydx9cWheD+riic8ERmFJn6uGIStLdhTeYzNt1ZZsqKd09gz3nC&#10;E06KVRqTXqCWzDOyt9VfUKriFhwUvsdBJS2RqAiyGPSfaLMpmRGRC0rtzEV09/9g+cfDvSVVntFR&#10;OqJEM4UlPz38OP38ffr1nYRDlKg2boqRG4OxvnkHDTbO+dzhYWDeFFaFL3Ii6EeBjxeBReMJD5dG&#10;4zSdpJRw9A3T/mAyCTDJ421jnX8vQJFgZNRiAaOu7LB2vg09h4RkGlaVlLGIUpM6o5NR2o8XLh4E&#10;lxpzBA7tW4Plm23TEdtCfkReFtrmcIavKky+Zs7fM4vdgFRwXvwdLoUETAKdRUkJ9tu/zkM8Fgm9&#10;lNTYXRl1X/fMCkrkB43lezsYj0M7xs04fT3Ejb32bK89eq9uARt4gJNpeDRDvJdns7CgvuBYLUJW&#10;dDHNMXdG/dm89W3P41hysVjEIGxAw/xabwwP0K2ci72HoopKB5labTr1sAVjrbpxCT1+vY9Rj7+I&#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A94K2gAAAAoBAAAPAAAAAAAAAAEAIAAAACIAAABk&#10;cnMvZG93bnJldi54bWxQSwECFAAUAAAACACHTuJAjhhHAD0CAABqBAAADgAAAAAAAAABACAAAAAp&#10;AQAAZHJzL2Uyb0RvYy54bWxQSwUGAAAAAAYABgBZAQAA2AUAAAAA&#10;">
                <v:fill on="f" focussize="0,0"/>
                <v:stroke on="f" weight="0.5pt"/>
                <v:imagedata o:title=""/>
                <o:lock v:ext="edit" aspectratio="f"/>
                <v:textbox>
                  <w:txbxContent>
                    <w:p>
                      <w:pPr>
                        <w:widowControl/>
                        <w:adjustRightInd w:val="0"/>
                        <w:snapToGrid w:val="0"/>
                        <w:spacing w:line="360" w:lineRule="auto"/>
                        <w:rPr>
                          <w:rFonts w:hint="default" w:cs="Times New Roman"/>
                          <w:b/>
                          <w:bCs/>
                          <w:color w:val="FF00FF"/>
                          <w:kern w:val="0"/>
                          <w:sz w:val="20"/>
                          <w:szCs w:val="20"/>
                          <w:lang w:val="en-US"/>
                        </w:rPr>
                      </w:pPr>
                      <w:r>
                        <w:rPr>
                          <w:rFonts w:hint="eastAsia" w:cs="Times New Roman"/>
                          <w:b/>
                          <w:bCs/>
                          <w:color w:val="FF00FF"/>
                          <w:kern w:val="0"/>
                          <w:sz w:val="20"/>
                          <w:szCs w:val="20"/>
                          <w:lang w:val="en-US" w:eastAsia="zh-CN"/>
                        </w:rPr>
                        <w:t>安琪健康食品产业园</w:t>
                      </w:r>
                    </w:p>
                  </w:txbxContent>
                </v:textbox>
              </v:shape>
            </w:pict>
          </mc:Fallback>
        </mc:AlternateContent>
      </w: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6793865</wp:posOffset>
            </wp:positionH>
            <wp:positionV relativeFrom="paragraph">
              <wp:posOffset>28575</wp:posOffset>
            </wp:positionV>
            <wp:extent cx="1810385" cy="1209675"/>
            <wp:effectExtent l="0" t="0" r="18415" b="9525"/>
            <wp:wrapNone/>
            <wp:docPr id="49"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 descr="IMG_256"/>
                    <pic:cNvPicPr>
                      <a:picLocks noChangeAspect="1"/>
                    </pic:cNvPicPr>
                  </pic:nvPicPr>
                  <pic:blipFill>
                    <a:blip r:embed="rId25"/>
                    <a:stretch>
                      <a:fillRect/>
                    </a:stretch>
                  </pic:blipFill>
                  <pic:spPr>
                    <a:xfrm>
                      <a:off x="0" y="0"/>
                      <a:ext cx="1810385" cy="1209675"/>
                    </a:xfrm>
                    <a:prstGeom prst="rect">
                      <a:avLst/>
                    </a:prstGeom>
                    <a:noFill/>
                    <a:ln w="9525">
                      <a:noFill/>
                    </a:ln>
                  </pic:spPr>
                </pic:pic>
              </a:graphicData>
            </a:graphic>
          </wp:anchor>
        </w:drawing>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5344" behindDoc="0" locked="0" layoutInCell="1" allowOverlap="1">
                <wp:simplePos x="0" y="0"/>
                <wp:positionH relativeFrom="column">
                  <wp:posOffset>777875</wp:posOffset>
                </wp:positionH>
                <wp:positionV relativeFrom="paragraph">
                  <wp:posOffset>61595</wp:posOffset>
                </wp:positionV>
                <wp:extent cx="835025" cy="250190"/>
                <wp:effectExtent l="0" t="0" r="0" b="0"/>
                <wp:wrapNone/>
                <wp:docPr id="342" name="文本框 342"/>
                <wp:cNvGraphicFramePr/>
                <a:graphic xmlns:a="http://schemas.openxmlformats.org/drawingml/2006/main">
                  <a:graphicData uri="http://schemas.microsoft.com/office/word/2010/wordprocessingShape">
                    <wps:wsp>
                      <wps:cNvSpPr txBox="1"/>
                      <wps:spPr>
                        <a:xfrm>
                          <a:off x="0" y="0"/>
                          <a:ext cx="835025" cy="250166"/>
                        </a:xfrm>
                        <a:prstGeom prst="rect">
                          <a:avLst/>
                        </a:prstGeom>
                        <a:noFill/>
                        <a:ln w="6350">
                          <a:noFill/>
                        </a:ln>
                      </wps:spPr>
                      <wps:txbx>
                        <w:txbxContent>
                          <w:p>
                            <w:pPr>
                              <w:widowControl/>
                              <w:adjustRightInd w:val="0"/>
                              <w:snapToGrid w:val="0"/>
                              <w:spacing w:line="360" w:lineRule="auto"/>
                              <w:rPr>
                                <w:rFonts w:cs="Times New Roman"/>
                                <w:b/>
                                <w:bCs/>
                                <w:color w:val="FF00FF"/>
                                <w:kern w:val="0"/>
                                <w:sz w:val="20"/>
                                <w:szCs w:val="20"/>
                              </w:rPr>
                            </w:pPr>
                            <w:r>
                              <w:rPr>
                                <w:rFonts w:hint="eastAsia" w:cs="Times New Roman"/>
                                <w:b/>
                                <w:bCs/>
                                <w:color w:val="FF00FF"/>
                                <w:kern w:val="0"/>
                                <w:sz w:val="20"/>
                                <w:szCs w:val="20"/>
                                <w:lang w:val="en-US" w:eastAsia="zh-CN"/>
                              </w:rPr>
                              <w:t>西</w:t>
                            </w:r>
                            <w:r>
                              <w:rPr>
                                <w:rFonts w:hint="eastAsia" w:cs="Times New Roman"/>
                                <w:b/>
                                <w:bCs/>
                                <w:color w:val="FF00FF"/>
                                <w:kern w:val="0"/>
                                <w:sz w:val="20"/>
                                <w:szCs w:val="20"/>
                              </w:rPr>
                              <w:t>北侧山体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25pt;margin-top:4.85pt;height:19.7pt;width:65.75pt;z-index:251705344;mso-width-relative:page;mso-height-relative:page;" filled="f" stroked="f" coordsize="21600,21600" o:gfxdata="UEsDBAoAAAAAAIdO4kAAAAAAAAAAAAAAAAAEAAAAZHJzL1BLAwQUAAAACACHTuJA+IWObNkAAAAI&#10;AQAADwAAAGRycy9kb3ducmV2LnhtbE2PzU7DMBCE70i8g7VI3KgTq4E2xKlQpAoJwaGlF26b2E0i&#10;4nWI3R94epZTOY5mNPNNsTq7QRztFHpPGtJZAsJS401PrYbd+/puASJEJIODJ6vh2wZYlddXBebG&#10;n2hjj9vYCi6hkKOGLsYxlzI0nXUYZn60xN7eTw4jy6mVZsITl7tBqiS5lw574oUOR1t1tvncHpyG&#10;l2r9hptaucXPUD2/7p/Gr91HpvXtTZo8goj2HC9h+MNndCiZqfYHMkEMrJXKOKph+QCCfZXN+Vut&#10;Yb5MQZaF/H+g/AVQSwMEFAAAAAgAh07iQJPOV9o8AgAAaQQAAA4AAABkcnMvZTJvRG9jLnhtbK1U&#10;wY7TMBC9I/EPlu80abYtS9V0VbYqQlqxKxXE2XWcJpLtMbbbpHwA/AEnLtz5rn4HYyftVguHPXBx&#10;xzOTN35vZjq7aZUke2FdDTqnw0FKidAcilpvc/rp4+rVNSXOM10wCVrk9CAcvZm/fDFrzFRkUIEs&#10;hCUIot20MTmtvDfTJHG8Eoq5ARihMViCVczj1W6TwrIG0ZVMsjSdJA3Ywljgwjn0Lrsg7RHtcwCh&#10;LGsulsB3SmjfoVohmUdKrqqNo/P42rIU3N+XpROeyJwiUx9PLIL2JpzJfMamW8tMVfP+Cew5T3jC&#10;SbFaY9Ez1JJ5Rna2/gtK1dyCg9IPOKikIxIVQRbD9Ik264oZEbmg1M6cRXf/D5Z/2D9YUhc5vRpl&#10;lGimsOXHH9+PP38ff30jwYkSNcZNMXNtMNe3b6HFwTn5HToD87a0KvwiJ4JxFPhwFli0nnB0Xl+N&#10;02xMCcdQNk6Hk0lASR4/Ntb5dwIUCUZOLfYvysr2d853qaeUUEvDqpYy9lBq0uR0ggXiB+cIgkuN&#10;NQKF7qnB8u2m7XltoDggLQvdbDjDVzUWv2POPzCLw4BMcF38PR6lBCwCvUVJBfbrv/whH3uEUUoa&#10;HK6cui87ZgUl8r3G7r0ZjkZhGuNlNH6d4cVeRjaXEb1Tt4DzO8TFNDyaId/Lk1laUJ9xqxahKoaY&#10;5lg7p/5k3vpu5HEruVgsYhLOn2H+Tq8ND9CdnIudh7KOSgeZOm169XACY6/6bQkjfnmPWY//EP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IWObNkAAAAIAQAADwAAAAAAAAABACAAAAAiAAAAZHJz&#10;L2Rvd25yZXYueG1sUEsBAhQAFAAAAAgAh07iQJPOV9o8AgAAaQQAAA4AAAAAAAAAAQAgAAAAKAEA&#10;AGRycy9lMm9Eb2MueG1sUEsFBgAAAAAGAAYAWQEAANYFAAAAAA==&#10;">
                <v:fill on="f" focussize="0,0"/>
                <v:stroke on="f" weight="0.5pt"/>
                <v:imagedata o:title=""/>
                <o:lock v:ext="edit" aspectratio="f"/>
                <v:textbox>
                  <w:txbxContent>
                    <w:p>
                      <w:pPr>
                        <w:widowControl/>
                        <w:adjustRightInd w:val="0"/>
                        <w:snapToGrid w:val="0"/>
                        <w:spacing w:line="360" w:lineRule="auto"/>
                        <w:rPr>
                          <w:rFonts w:cs="Times New Roman"/>
                          <w:b/>
                          <w:bCs/>
                          <w:color w:val="FF00FF"/>
                          <w:kern w:val="0"/>
                          <w:sz w:val="20"/>
                          <w:szCs w:val="20"/>
                        </w:rPr>
                      </w:pPr>
                      <w:r>
                        <w:rPr>
                          <w:rFonts w:hint="eastAsia" w:cs="Times New Roman"/>
                          <w:b/>
                          <w:bCs/>
                          <w:color w:val="FF00FF"/>
                          <w:kern w:val="0"/>
                          <w:sz w:val="20"/>
                          <w:szCs w:val="20"/>
                          <w:lang w:val="en-US" w:eastAsia="zh-CN"/>
                        </w:rPr>
                        <w:t>西</w:t>
                      </w:r>
                      <w:r>
                        <w:rPr>
                          <w:rFonts w:hint="eastAsia" w:cs="Times New Roman"/>
                          <w:b/>
                          <w:bCs/>
                          <w:color w:val="FF00FF"/>
                          <w:kern w:val="0"/>
                          <w:sz w:val="20"/>
                          <w:szCs w:val="20"/>
                        </w:rPr>
                        <w:t>北侧山体</w:t>
                      </w:r>
                    </w:p>
                  </w:txbxContent>
                </v:textbox>
              </v:shape>
            </w:pict>
          </mc:Fallback>
        </mc:AlternateContent>
      </w:r>
      <w:r>
        <w:rPr>
          <w:rFonts w:ascii="Times New Roman" w:hAnsi="Times New Roman" w:eastAsia="宋体" w:cs="Times New Roman"/>
          <w:kern w:val="2"/>
          <w:szCs w:val="21"/>
          <w:lang w:val="en-US" w:eastAsia="zh-CN" w:bidi="ar-SA"/>
        </w:rPr>
        <w:drawing>
          <wp:anchor distT="0" distB="0" distL="114300" distR="114300" simplePos="0" relativeHeight="251661312" behindDoc="0" locked="0" layoutInCell="1" allowOverlap="1">
            <wp:simplePos x="0" y="0"/>
            <wp:positionH relativeFrom="column">
              <wp:posOffset>276225</wp:posOffset>
            </wp:positionH>
            <wp:positionV relativeFrom="paragraph">
              <wp:posOffset>50165</wp:posOffset>
            </wp:positionV>
            <wp:extent cx="1825625" cy="1369060"/>
            <wp:effectExtent l="0" t="0" r="3175" b="2540"/>
            <wp:wrapNone/>
            <wp:docPr id="47" name="图片 47" descr="716a5c6ec391da329e3521e7619c1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716a5c6ec391da329e3521e7619c1fd"/>
                    <pic:cNvPicPr>
                      <a:picLocks noChangeAspect="1"/>
                    </pic:cNvPicPr>
                  </pic:nvPicPr>
                  <pic:blipFill>
                    <a:blip r:embed="rId26"/>
                    <a:stretch>
                      <a:fillRect/>
                    </a:stretch>
                  </pic:blipFill>
                  <pic:spPr>
                    <a:xfrm>
                      <a:off x="0" y="0"/>
                      <a:ext cx="1825625" cy="1369060"/>
                    </a:xfrm>
                    <a:prstGeom prst="rect">
                      <a:avLst/>
                    </a:prstGeom>
                  </pic:spPr>
                </pic:pic>
              </a:graphicData>
            </a:graphic>
          </wp:anchor>
        </w:drawing>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2272" behindDoc="0" locked="0" layoutInCell="1" allowOverlap="1">
                <wp:simplePos x="0" y="0"/>
                <wp:positionH relativeFrom="column">
                  <wp:posOffset>3806190</wp:posOffset>
                </wp:positionH>
                <wp:positionV relativeFrom="paragraph">
                  <wp:posOffset>2008505</wp:posOffset>
                </wp:positionV>
                <wp:extent cx="60960" cy="52070"/>
                <wp:effectExtent l="12700" t="12700" r="21590" b="30480"/>
                <wp:wrapNone/>
                <wp:docPr id="325" name="椭圆 325"/>
                <wp:cNvGraphicFramePr/>
                <a:graphic xmlns:a="http://schemas.openxmlformats.org/drawingml/2006/main">
                  <a:graphicData uri="http://schemas.microsoft.com/office/word/2010/wordprocessingShape">
                    <wps:wsp>
                      <wps:cNvSpPr/>
                      <wps:spPr>
                        <a:xfrm>
                          <a:off x="0" y="0"/>
                          <a:ext cx="60769" cy="52190"/>
                        </a:xfrm>
                        <a:prstGeom prst="ellipse">
                          <a:avLst/>
                        </a:prstGeom>
                        <a:solidFill>
                          <a:srgbClr val="FFFF00"/>
                        </a:solidFill>
                        <a:ln w="25400" cap="flat" cmpd="sng" algn="ctr">
                          <a:solidFill>
                            <a:srgbClr val="FFFF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9.7pt;margin-top:158.15pt;height:4.1pt;width:4.8pt;z-index:251702272;v-text-anchor:middle;mso-width-relative:page;mso-height-relative:page;" fillcolor="#FFFF00" filled="t" stroked="t" coordsize="21600,21600" o:gfxdata="UEsDBAoAAAAAAIdO4kAAAAAAAAAAAAAAAAAEAAAAZHJzL1BLAwQUAAAACACHTuJAsnM6tNgAAAAL&#10;AQAADwAAAGRycy9kb3ducmV2LnhtbE2Py07DMBBF90j8gzVI7KiTPiKSxumiiC1SA0Lqzo2H2CUe&#10;R7H7+nuGFSxn5ujOufXm6gdxxim6QAryWQYCqQvGUa/g4/316RlETJqMHgKhghtG2DT3d7WuTLjQ&#10;Ds9t6gWHUKy0ApvSWEkZO4tex1kYkfj2FSavE49TL82kLxzuBznPskJ67Yg/WD3i1mL33Z68gljQ&#10;m9ujSfbz6Fx4afe77W1U6vEhz9YgEl7THwy/+qwODTsdwolMFIOCVVkuGVWwyIsFCCaKrOR2B97M&#10;lyuQTS3/d2h+AFBLAwQUAAAACACHTuJAsKNujnMCAAAGBQAADgAAAGRycy9lMm9Eb2MueG1srVTL&#10;jtMwFN0j8Q+W90zS0s6jmnRUTVWENGIqDYi16ziNJb+w3abDB/AVLNnyWfAdHDuZJyxmQRbOffle&#10;n+N7fX5x0IrshQ/SmoqOjkpKhOG2lmZb0U8fV29OKQmRmZopa0RFb0WgF/PXr847NxNj21pVC0+Q&#10;xIRZ5yraxuhmRRF4KzQLR9YJA2djvWYRqt8WtWcdsmtVjMvyuOisr523XIQA67J30iGjf0lC2zSS&#10;i6XlOy1M7LN6oVgEpNBKF+g8n7ZpBI/XTRNEJKqiQBrziiKQN2kt5udstvXMtZIPR2AvOcIzTJpJ&#10;g6L3qZYsMrLz8q9UWnJvg23iEbe66IFkRoBiVD7j5qZlTmQsoDq4e9LD/0vLP+zXnsi6om/HU0oM&#10;07jy3z9+/vr+jSQL+OlcmCHsxq39oAWICeyh8Tr9AYMcMqe395yKQyQcxuPy5PiMEg7PdDw6y4wX&#10;D1udD/GdsJokoaJCKVxfwsxmbH8VIioi+i4qmYNVsl5JpbLit5tL5cme4X5X+Mq7Ak/ClCFdRcfT&#10;CdyEM3Rtg26BqB2QB7OlhKktxoFHn2s/2R1eViQdcslC2x8mZ+jbS8uIiVFSV/S0TF8yA5UyCYLI&#10;XTpATVz37CZpY+tb3I63fdsGx1cSRa5YiGvm0adAg0mO11gaZQHRDhIlrfVf/2VP8WgfeCnp0PeA&#10;/2XHvKBEvTdorLPRZJIGJSuT6ckYin/s2Tz2mJ2+tKB+hDfD8Sym+KjuxMZb/RkDv0hV4WKGo3ZP&#10;9KBcxn4e8WRwsVjkMAyHY/HK3DiekieejF3som1kbokHdsBkUjAemdNhlNP8PdZz1MPzNf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nM6tNgAAAALAQAADwAAAAAAAAABACAAAAAiAAAAZHJzL2Rv&#10;d25yZXYueG1sUEsBAhQAFAAAAAgAh07iQLCjbo5zAgAABgUAAA4AAAAAAAAAAQAgAAAAJwEAAGRy&#10;cy9lMm9Eb2MueG1sUEsFBgAAAAAGAAYAWQEAAAwGAAAAAA==&#10;">
                <v:fill on="t" focussize="0,0"/>
                <v:stroke weight="2pt" color="#FFFF00 [3204]" miterlimit="8" joinstyle="miter"/>
                <v:imagedata o:title=""/>
                <o:lock v:ext="edit" aspectratio="f"/>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3296" behindDoc="0" locked="0" layoutInCell="1" allowOverlap="1">
                <wp:simplePos x="0" y="0"/>
                <wp:positionH relativeFrom="column">
                  <wp:posOffset>3524885</wp:posOffset>
                </wp:positionH>
                <wp:positionV relativeFrom="paragraph">
                  <wp:posOffset>3134995</wp:posOffset>
                </wp:positionV>
                <wp:extent cx="60960" cy="52070"/>
                <wp:effectExtent l="12700" t="12700" r="21590" b="30480"/>
                <wp:wrapNone/>
                <wp:docPr id="330" name="椭圆 330"/>
                <wp:cNvGraphicFramePr/>
                <a:graphic xmlns:a="http://schemas.openxmlformats.org/drawingml/2006/main">
                  <a:graphicData uri="http://schemas.microsoft.com/office/word/2010/wordprocessingShape">
                    <wps:wsp>
                      <wps:cNvSpPr/>
                      <wps:spPr>
                        <a:xfrm>
                          <a:off x="0" y="0"/>
                          <a:ext cx="60769" cy="52190"/>
                        </a:xfrm>
                        <a:prstGeom prst="ellipse">
                          <a:avLst/>
                        </a:prstGeom>
                        <a:solidFill>
                          <a:srgbClr val="FFFF00"/>
                        </a:solidFill>
                        <a:ln w="25400" cap="flat" cmpd="sng" algn="ctr">
                          <a:solidFill>
                            <a:srgbClr val="FFFF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7.55pt;margin-top:246.85pt;height:4.1pt;width:4.8pt;z-index:251703296;v-text-anchor:middle;mso-width-relative:page;mso-height-relative:page;" fillcolor="#FFFF00" filled="t" stroked="t" coordsize="21600,21600" o:gfxdata="UEsDBAoAAAAAAIdO4kAAAAAAAAAAAAAAAAAEAAAAZHJzL1BLAwQUAAAACACHTuJAirgPrtcAAAAL&#10;AQAADwAAAGRycy9kb3ducmV2LnhtbE2PTU/DMAyG70j8h8hI3FhSWAvrmu4wxBVpHULaLWu8NtA4&#10;VZN9/XvMCW6v5UevH1erix/ECafoAmnIZgoEUhuso07Dx/bt4QVETIasGQKhhitGWNW3N5UpbTjT&#10;Bk9N6gSXUCyNhj6lsZQytj16E2dhROLdIUzeJB6nTtrJnLncD/JRqUJ644gv9GbEdY/td3P0GmJB&#10;726HNvWfX86F12a3WV9Hre/vMrUEkfCS/mD41Wd1qNlpH45koxg05HmeMaphvnh6BsFEXsw57Dmo&#10;bAGyruT/H+ofUEsDBBQAAAAIAIdO4kDkeiSwcwIAAAYFAAAOAAAAZHJzL2Uyb0RvYy54bWytVEtu&#10;2zAQ3RfoHQjuG8mO8zMiB0YMFwWCxkBadE1TlEWAv5K05fQAPUWX3eZY7Tn6SCnfdpFFtZBmOKM3&#10;fI8zPL/Ya0V2wgdpTUVHByUlwnBbS7Op6OdPy3enlITITM2UNaKityLQi9nbN+edm4qxba2qhScA&#10;MWHauYq2MbppUQTeCs3CgXXCINhYr1mE6zdF7VkHdK2KcVkeF531tfOWixCwuuiDdED0rwG0TSO5&#10;WFi+1cLEHtULxSIohVa6QGd5t00jeLxumiAiURUF05jfKAJ7nd7F7JxNN565VvJhC+w1W3jBSTNp&#10;UPQBasEiI1sv/4LSknsbbBMPuNVFTyQrAhaj8oU2Ny1zInOB1ME9iB7+Hyz/uFt5IuuKHh5CE8M0&#10;jvz3z7tfP76TtAJ9OhemSLtxKz94AWYiu2+8Tl/QIPus6e2DpmIfCcficXlyfEYJR+RoPDrLiMXj&#10;r86H+F5YTZJRUaEUji9xZlO2uwoRFZF9n5WWg1WyXkqlsuM360vlyY7hfJd4yvsCz9KUIV1Fx0cT&#10;hAln6NoG3QJTOzAPZkMJUxuMA48+1372d3hdkbTJBQttv5mM0LeXlhETo6Su6GmZnrQMVsokCiJ3&#10;6UA1ad2rm6y1rW9xOt72bRscX0oUuWIhrphHn4INJjle49UoC4p2sChprf/2r/WUj/ZBlJIOfQ/6&#10;X7fMC0rUB4PGOhtNJoCN2ZkcnYzh+KeR9dOI2epLC+lHuDMcz2bKj+rebLzVXzDw81QVIWY4avdC&#10;D85l7OcRVwYX83lOw3A4Fq/MjeMJPOlk7HwbbSNzSzyqAyWTg/HImg6jnObvqZ+zHq+v2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KuA+u1wAAAAsBAAAPAAAAAAAAAAEAIAAAACIAAABkcnMvZG93&#10;bnJldi54bWxQSwECFAAUAAAACACHTuJA5HoksHMCAAAGBQAADgAAAAAAAAABACAAAAAmAQAAZHJz&#10;L2Uyb0RvYy54bWxQSwUGAAAAAAYABgBZAQAACwYAAAAA&#10;">
                <v:fill on="t" focussize="0,0"/>
                <v:stroke weight="2pt" color="#FFFF00 [3204]" miterlimit="8" joinstyle="miter"/>
                <v:imagedata o:title=""/>
                <o:lock v:ext="edit" aspectratio="f"/>
              </v:shape>
            </w:pict>
          </mc:Fallback>
        </mc:AlternateContent>
      </w:r>
      <w:r>
        <w:rPr>
          <w:rFonts w:hint="eastAsia"/>
          <w:lang w:val="en-US" w:eastAsia="zh-CN"/>
        </w:rPr>
        <w:drawing>
          <wp:anchor distT="0" distB="0" distL="114300" distR="114300" simplePos="0" relativeHeight="251660288" behindDoc="0" locked="0" layoutInCell="1" allowOverlap="1">
            <wp:simplePos x="0" y="0"/>
            <wp:positionH relativeFrom="column">
              <wp:posOffset>252730</wp:posOffset>
            </wp:positionH>
            <wp:positionV relativeFrom="paragraph">
              <wp:posOffset>3381375</wp:posOffset>
            </wp:positionV>
            <wp:extent cx="1932940" cy="1301115"/>
            <wp:effectExtent l="0" t="0" r="10160" b="13335"/>
            <wp:wrapNone/>
            <wp:docPr id="48" name="图片 23" descr="fa8dfa246eaf2e7fd70702246ad7f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3" descr="fa8dfa246eaf2e7fd70702246ad7f79"/>
                    <pic:cNvPicPr>
                      <a:picLocks noChangeAspect="1"/>
                    </pic:cNvPicPr>
                  </pic:nvPicPr>
                  <pic:blipFill>
                    <a:blip r:embed="rId27"/>
                    <a:srcRect t="10262"/>
                    <a:stretch>
                      <a:fillRect/>
                    </a:stretch>
                  </pic:blipFill>
                  <pic:spPr>
                    <a:xfrm>
                      <a:off x="0" y="0"/>
                      <a:ext cx="1932940" cy="1301115"/>
                    </a:xfrm>
                    <a:prstGeom prst="rect">
                      <a:avLst/>
                    </a:prstGeom>
                    <a:noFill/>
                    <a:ln>
                      <a:noFill/>
                    </a:ln>
                  </pic:spPr>
                </pic:pic>
              </a:graphicData>
            </a:graphic>
          </wp:anchor>
        </w:drawing>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8416" behindDoc="0" locked="0" layoutInCell="1" allowOverlap="1">
                <wp:simplePos x="0" y="0"/>
                <wp:positionH relativeFrom="column">
                  <wp:posOffset>3869690</wp:posOffset>
                </wp:positionH>
                <wp:positionV relativeFrom="paragraph">
                  <wp:posOffset>2679700</wp:posOffset>
                </wp:positionV>
                <wp:extent cx="654685" cy="250190"/>
                <wp:effectExtent l="0" t="0" r="0" b="0"/>
                <wp:wrapNone/>
                <wp:docPr id="359" name="文本框 359"/>
                <wp:cNvGraphicFramePr/>
                <a:graphic xmlns:a="http://schemas.openxmlformats.org/drawingml/2006/main">
                  <a:graphicData uri="http://schemas.microsoft.com/office/word/2010/wordprocessingShape">
                    <wps:wsp>
                      <wps:cNvSpPr txBox="1"/>
                      <wps:spPr>
                        <a:xfrm>
                          <a:off x="0" y="0"/>
                          <a:ext cx="654685" cy="250166"/>
                        </a:xfrm>
                        <a:prstGeom prst="rect">
                          <a:avLst/>
                        </a:prstGeom>
                        <a:noFill/>
                        <a:ln w="6350">
                          <a:noFill/>
                        </a:ln>
                      </wps:spPr>
                      <wps:txbx>
                        <w:txbxContent>
                          <w:p>
                            <w:pPr>
                              <w:widowControl/>
                              <w:adjustRightInd w:val="0"/>
                              <w:snapToGrid w:val="0"/>
                              <w:spacing w:line="360" w:lineRule="auto"/>
                              <w:rPr>
                                <w:rFonts w:cs="Times New Roman"/>
                                <w:b/>
                                <w:bCs/>
                                <w:color w:val="FF0000"/>
                                <w:kern w:val="0"/>
                                <w:sz w:val="20"/>
                                <w:szCs w:val="20"/>
                              </w:rPr>
                            </w:pPr>
                            <w:r>
                              <w:rPr>
                                <w:rFonts w:hint="eastAsia" w:cs="Times New Roman"/>
                                <w:b/>
                                <w:bCs/>
                                <w:color w:val="FF0000"/>
                                <w:kern w:val="0"/>
                                <w:sz w:val="20"/>
                                <w:szCs w:val="20"/>
                              </w:rPr>
                              <w:t>本地块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7pt;margin-top:211pt;height:19.7pt;width:51.55pt;z-index:251708416;mso-width-relative:page;mso-height-relative:page;" filled="f" stroked="f" coordsize="21600,21600" o:gfxdata="UEsDBAoAAAAAAIdO4kAAAAAAAAAAAAAAAAAEAAAAZHJzL1BLAwQUAAAACACHTuJAymWq8twAAAAL&#10;AQAADwAAAGRycy9kb3ducmV2LnhtbE2Py07DMBBF90j8gzVI7KidKA1tGqdCkSokBIuWbthNYjeJ&#10;8CPE7gO+nmFVljNzdOfccn2xhp30FAbvJCQzAUy71qvBdRL275uHBbAQ0Sk03mkJ3zrAurq9KbFQ&#10;/uy2+rSLHaMQFwqU0Mc4FpyHttcWw8yP2tHt4CeLkcap42rCM4Vbw1Mhcm5xcPShx1HXvW4/d0cr&#10;4aXevOG2Se3ix9TPr4en8Wv/MZfy/i4RK2BRX+IVhj99UoeKnBp/dCowIyEXy4xQCVmaUikiHpN0&#10;DqyhTZ5kwKuS/+9Q/QJQSwMEFAAAAAgAh07iQBvhIEo9AgAAaQQAAA4AAABkcnMvZTJvRG9jLnht&#10;bK1UwY7aMBC9V+o/WL6XBJbQXURY0UVUlVB3JVr1bByHRLI9rm1I6Ae0f7CnXnrvd/EdHTvAom0P&#10;e+jFjGcmb/zezDC5bZUkO2FdDTqn/V5KidAcilpvcvr50+LNNSXOM10wCVrkdC8cvZ2+fjVpzFgM&#10;oAJZCEsQRLtxY3JaeW/GSeJ4JRRzPTBCY7AEq5jHq90khWUNoiuZDNJ0lDRgC2OBC+fQO++C9Iho&#10;XwIIZVlzMQe+VUL7DtUKyTxSclVtHJ3G15al4P6+LJ3wROYUmfp4YhG01+FMphM23lhmqpofn8Be&#10;8oRnnBSrNRY9Q82ZZ2Rr67+gVM0tOCh9j4NKOiJREWTRT59ps6qYEZELSu3MWXT3/2D5x92DJXWR&#10;06vshhLNFLb88Pjj8PP34dd3EpwoUWPcGDNXBnN9+w5aHJyT36EzMG9Lq8IvciIYR4H3Z4FF6wlH&#10;5ygbjq4zSjiGBlnaH40CSvL0sbHOvxegSDByarF/UVa2WzrfpZ5SQi0Ni1rK2EOpSYMFrrI0fnCO&#10;ILjUWCNQ6J4aLN+u2yOvNRR7pGWhmw1n+KLG4kvm/AOzOAzIBNfF3+NRSsAicLQoqcB++5c/5GOP&#10;MEpJg8OVU/d1y6ygRH7Q2L2b/nAYpjFehtnbAV7sZWR9GdFbdQc4v31cTMOjGfK9PJmlBfUFt2oW&#10;qmKIaY61c+pP5p3vRh63kovZLCbh/Bnml3pleIDu5JxtPZR1VDrI1GlzVA8nMPbquC1hxC/vMevp&#10;H2L6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plqvLcAAAACwEAAA8AAAAAAAAAAQAgAAAAIgAA&#10;AGRycy9kb3ducmV2LnhtbFBLAQIUABQAAAAIAIdO4kAb4SBKPQIAAGkEAAAOAAAAAAAAAAEAIAAA&#10;ACsBAABkcnMvZTJvRG9jLnhtbFBLBQYAAAAABgAGAFkBAADaBQAAAAA=&#10;">
                <v:fill on="f" focussize="0,0"/>
                <v:stroke on="f" weight="0.5pt"/>
                <v:imagedata o:title=""/>
                <o:lock v:ext="edit" aspectratio="f"/>
                <v:textbox>
                  <w:txbxContent>
                    <w:p>
                      <w:pPr>
                        <w:widowControl/>
                        <w:adjustRightInd w:val="0"/>
                        <w:snapToGrid w:val="0"/>
                        <w:spacing w:line="360" w:lineRule="auto"/>
                        <w:rPr>
                          <w:rFonts w:cs="Times New Roman"/>
                          <w:b/>
                          <w:bCs/>
                          <w:color w:val="FF0000"/>
                          <w:kern w:val="0"/>
                          <w:sz w:val="20"/>
                          <w:szCs w:val="20"/>
                        </w:rPr>
                      </w:pPr>
                      <w:r>
                        <w:rPr>
                          <w:rFonts w:hint="eastAsia" w:cs="Times New Roman"/>
                          <w:b/>
                          <w:bCs/>
                          <w:color w:val="FF0000"/>
                          <w:kern w:val="0"/>
                          <w:sz w:val="20"/>
                          <w:szCs w:val="20"/>
                        </w:rPr>
                        <w:t>本地块</w:t>
                      </w:r>
                    </w:p>
                  </w:txbxContent>
                </v:textbox>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699200" behindDoc="0" locked="0" layoutInCell="1" allowOverlap="1">
                <wp:simplePos x="0" y="0"/>
                <wp:positionH relativeFrom="column">
                  <wp:posOffset>2018030</wp:posOffset>
                </wp:positionH>
                <wp:positionV relativeFrom="paragraph">
                  <wp:posOffset>1151890</wp:posOffset>
                </wp:positionV>
                <wp:extent cx="1797050" cy="864235"/>
                <wp:effectExtent l="4445" t="8890" r="8255" b="3175"/>
                <wp:wrapNone/>
                <wp:docPr id="105" name="直接箭头连接符 105"/>
                <wp:cNvGraphicFramePr/>
                <a:graphic xmlns:a="http://schemas.openxmlformats.org/drawingml/2006/main">
                  <a:graphicData uri="http://schemas.microsoft.com/office/word/2010/wordprocessingShape">
                    <wps:wsp>
                      <wps:cNvCnPr>
                        <a:endCxn id="325" idx="1"/>
                      </wps:cNvCnPr>
                      <wps:spPr>
                        <a:xfrm>
                          <a:off x="0" y="0"/>
                          <a:ext cx="1797050" cy="864235"/>
                        </a:xfrm>
                        <a:prstGeom prst="straightConnector1">
                          <a:avLst/>
                        </a:prstGeom>
                        <a:noFill/>
                        <a:ln w="19050" cap="flat" cmpd="sng" algn="ctr">
                          <a:solidFill>
                            <a:srgbClr val="FFFF00"/>
                          </a:solidFill>
                          <a:prstDash val="solid"/>
                          <a:tailEnd type="triangle"/>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8.9pt;margin-top:90.7pt;height:68.05pt;width:141.5pt;z-index:251699200;mso-width-relative:page;mso-height-relative:page;" filled="f" stroked="t" coordsize="21600,21600" o:gfxdata="UEsDBAoAAAAAAIdO4kAAAAAAAAAAAAAAAAAEAAAAZHJzL1BLAwQUAAAACACHTuJAx7iuCtoAAAAL&#10;AQAADwAAAGRycy9kb3ducmV2LnhtbE2Py07DMBBF90j8gzVI7Kid0kcU4nQBggUSEk2RynIamyQk&#10;Hkex+6Bfz8AGljPn6s6ZfHVyvTjYMbSeNCQTBcJS5U1LtYa3zeNNCiJEJIO9J6vhywZYFZcXOWbG&#10;H2ltD2WsBZdQyFBDE+OQSRmqxjoMEz9YYvbhR4eRx7GWZsQjl7teTpVaSIct8YUGB3vf2Kor907D&#10;PC3fH6bdTD11ry943oTP7XN61vr6KlF3IKI9xb8w/OizOhTstPN7MkH0Gm6TJatHBmkyA8GJhVK8&#10;2f2iOcgil/9/KL4BUEsDBBQAAAAIAIdO4kDk4z81JQIAACIEAAAOAAAAZHJzL2Uyb0RvYy54bWyt&#10;U0uOEzEQ3SNxB8t70p0M82ulM4uEsEEwEnCAiu3utuSfbE86uQQXQGIFrBhWs+c0MByDsjvJMMNm&#10;FvSiZbuq3vOrep5ebLQia+GDtKam41FJiTDMcmnamr5/t3x2RkmIYDgoa0RNtyLQi9nTJ9PeVWJi&#10;O6u48ARBTKh6V9MuRlcVRWCd0BBG1gmDwcZ6DRG3vi24hx7RtSomZXlS9NZz5y0TIeDpYgjSHaJ/&#10;DKBtGsnEwrIrLUwcUL1QEFFS6KQLdJZv2zSCxTdNE0QkqqaoNOY/kuB6lf7FbApV68F1ku2uAI+5&#10;wgNNGqRB0gPUAiKQKy//gdKSeRtsE0fM6mIQkjuCKsblg9687cCJrAVbHdyh6eH/wbLX60tPJEcn&#10;lMeUGNA48tuPN78+fLn9fv3z883vH5/S+ttXkhKwXb0LFVbNzaVPgoXh843JCEcTRJB8g1gpsbiX&#10;mTbBDTWbxutUi/IJZuMstodZiE0kLEGcnp+WxxhiGDs7eT45yuwFVPtq50N8KawmaVHTED3Itotz&#10;awyO3fpxHgisX4WYbgPVviBRG7uUSuXpK0N65Dsf2AAt3aCVkFg7bEswLSWgWnwrLPoMGaySPJUn&#10;oODb1Vx5sgZ02BK/MpsK6e6lJe4FhG7Iy6HBe1pGfE5KalRZpm84jiDVC8NJ3DocSPQSTKtEbitU&#10;yuTOZ3vv1N21N61Wlm8v/X4GaJ2sf2fz5M2/93lSd0979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HuK4K2gAAAAsBAAAPAAAAAAAAAAEAIAAAACIAAABkcnMvZG93bnJldi54bWxQSwECFAAUAAAA&#10;CACHTuJA5OM/NSUCAAAiBAAADgAAAAAAAAABACAAAAApAQAAZHJzL2Uyb0RvYy54bWxQSwUGAAAA&#10;AAYABgBZAQAAwAUAAAAA&#10;">
                <v:fill on="f" focussize="0,0"/>
                <v:stroke weight="1.5pt" color="#FFFF00 [3204]" miterlimit="8" joinstyle="miter" endarrow="block"/>
                <v:imagedata o:title=""/>
                <o:lock v:ext="edit" aspectratio="f"/>
              </v:shape>
            </w:pict>
          </mc:Fallback>
        </mc:AlternateContent>
      </w:r>
      <w:r>
        <w:drawing>
          <wp:inline distT="0" distB="0" distL="114300" distR="114300">
            <wp:extent cx="8433435" cy="4827270"/>
            <wp:effectExtent l="0" t="0" r="5715" b="11430"/>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28"/>
                    <a:stretch>
                      <a:fillRect/>
                    </a:stretch>
                  </pic:blipFill>
                  <pic:spPr>
                    <a:xfrm>
                      <a:off x="0" y="0"/>
                      <a:ext cx="8433435" cy="4827270"/>
                    </a:xfrm>
                    <a:prstGeom prst="rect">
                      <a:avLst/>
                    </a:prstGeom>
                    <a:noFill/>
                    <a:ln>
                      <a:noFill/>
                    </a:ln>
                  </pic:spPr>
                </pic:pic>
              </a:graphicData>
            </a:graphic>
          </wp:inline>
        </w:drawing>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4320" behindDoc="0" locked="0" layoutInCell="1" allowOverlap="1">
                <wp:simplePos x="0" y="0"/>
                <wp:positionH relativeFrom="column">
                  <wp:posOffset>5527675</wp:posOffset>
                </wp:positionH>
                <wp:positionV relativeFrom="paragraph">
                  <wp:posOffset>3576320</wp:posOffset>
                </wp:positionV>
                <wp:extent cx="60960" cy="52070"/>
                <wp:effectExtent l="12700" t="12700" r="21590" b="30480"/>
                <wp:wrapNone/>
                <wp:docPr id="333" name="椭圆 333"/>
                <wp:cNvGraphicFramePr/>
                <a:graphic xmlns:a="http://schemas.openxmlformats.org/drawingml/2006/main">
                  <a:graphicData uri="http://schemas.microsoft.com/office/word/2010/wordprocessingShape">
                    <wps:wsp>
                      <wps:cNvSpPr/>
                      <wps:spPr>
                        <a:xfrm>
                          <a:off x="0" y="0"/>
                          <a:ext cx="60769" cy="52190"/>
                        </a:xfrm>
                        <a:prstGeom prst="ellipse">
                          <a:avLst/>
                        </a:prstGeom>
                        <a:solidFill>
                          <a:srgbClr val="FFFF00"/>
                        </a:solidFill>
                        <a:ln w="25400" cap="flat" cmpd="sng" algn="ctr">
                          <a:solidFill>
                            <a:srgbClr val="FFFF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35.25pt;margin-top:281.6pt;height:4.1pt;width:4.8pt;z-index:251704320;v-text-anchor:middle;mso-width-relative:page;mso-height-relative:page;" fillcolor="#FFFF00" filled="t" stroked="t" coordsize="21600,21600" o:gfxdata="UEsDBAoAAAAAAIdO4kAAAAAAAAAAAAAAAAAEAAAAZHJzL1BLAwQUAAAACACHTuJAq04EDdgAAAAL&#10;AQAADwAAAGRycy9kb3ducmV2LnhtbE2PTU/DMAyG70j8h8hI3FjSwbqqa7rDEFeklQlpt6wxbUbj&#10;VE329e8xJzjafvT6eav11Q/ijFN0gTRkMwUCqQ3WUadh9/H2VICIyZA1QyDUcMMI6/r+rjKlDRfa&#10;4rlJneAQiqXR0Kc0llLGtkdv4iyMSHz7CpM3icepk3YyFw73g5wrlUtvHPGH3oy46bH9bk5eQ8zp&#10;3e3Rpv7z6Fx4bfbbzW3U+vEhUysQCa/pD4ZffVaHmp0O4UQ2ikFDsVQLRjUs8uc5CCaKQmUgDrxZ&#10;Zi8g60r+71D/AFBLAwQUAAAACACHTuJAZgA9pXMCAAAGBQAADgAAAGRycy9lMm9Eb2MueG1srVRL&#10;btswEN0X6B0I7hvJjvMzIgdGDBcFgsZAWnRNU5RFgL+StOX0AD1Fl93mWO05+kgp33aRRbWg5scZ&#10;vscZnl/stSI74YO0pqKjg5ISYbitpdlU9POn5btTSkJkpmbKGlHRWxHoxeztm/POTcXYtlbVwhMk&#10;MWHauYq2MbppUQTeCs3CgXXCwNlYr1mE6jdF7VmH7FoV47I8Ljrra+ctFyHAuuiddMjoX5PQNo3k&#10;YmH5VgsT+6xeKBYBKbTSBTrLp20aweN10wQRiaookMa8ogjkdVqL2TmbbjxzreTDEdhrjvACk2bS&#10;oOhDqgWLjGy9/CuVltzbYJt4wK0ueiCZEaAYlS+4uWmZExkLqA7ugfTw/9Lyj7uVJ7Ku6OHhISWG&#10;aVz57593v358J8kCfjoXpgi7cSs/aAFiArtvvE5/wCD7zOntA6diHwmH8bg8OT6jhMNzNB6dZcaL&#10;x63Oh/heWE2SUFGhFK4vYWZTtrsKERURfR+VzMEqWS+lUlnxm/Wl8mTHcL9LfOV9gWdhypCuouOj&#10;CdyEM3Rtg26BqB2QB7OhhKkNxoFHn2s/2x1eVyQdcsFC2x8mZ+jbS8uIiVFSV/S0TF8yA5UyCYLI&#10;XTpATVz37CZpbetb3I63fdsGx5cSRa5YiCvm0adAg0mO11gaZQHRDhIlrfXf/mVP8WgfeCnp0PeA&#10;/3XLvKBEfTBorLPRZJIGJSuTo5MxFP/Us37qMVt9aUH9CG+G41lM8VHdi423+gsGfp6qwsUMR+2e&#10;6EG5jP084sngYj7PYRgOx+KVuXE8JU88GTvfRtvI3BKP7IDJpGA8MqfDKKf5e6rnqMfna/Y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q04EDdgAAAALAQAADwAAAAAAAAABACAAAAAiAAAAZHJzL2Rv&#10;d25yZXYueG1sUEsBAhQAFAAAAAgAh07iQGYAPaVzAgAABgUAAA4AAAAAAAAAAQAgAAAAJwEAAGRy&#10;cy9lMm9Eb2MueG1sUEsFBgAAAAAGAAYAWQEAAAwGAAAAAA==&#10;">
                <v:fill on="t" focussize="0,0"/>
                <v:stroke weight="2pt" color="#FFFF00 [3204]" miterlimit="8" joinstyle="miter"/>
                <v:imagedata o:title=""/>
                <o:lock v:ext="edit" aspectratio="f"/>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1248" behindDoc="0" locked="0" layoutInCell="1" allowOverlap="1">
                <wp:simplePos x="0" y="0"/>
                <wp:positionH relativeFrom="column">
                  <wp:posOffset>5628005</wp:posOffset>
                </wp:positionH>
                <wp:positionV relativeFrom="paragraph">
                  <wp:posOffset>1143000</wp:posOffset>
                </wp:positionV>
                <wp:extent cx="1257300" cy="2381250"/>
                <wp:effectExtent l="0" t="4445" r="19050" b="14605"/>
                <wp:wrapNone/>
                <wp:docPr id="120" name="直接箭头连接符 120"/>
                <wp:cNvGraphicFramePr/>
                <a:graphic xmlns:a="http://schemas.openxmlformats.org/drawingml/2006/main">
                  <a:graphicData uri="http://schemas.microsoft.com/office/word/2010/wordprocessingShape">
                    <wps:wsp>
                      <wps:cNvCnPr/>
                      <wps:spPr>
                        <a:xfrm flipH="1">
                          <a:off x="0" y="0"/>
                          <a:ext cx="1257300" cy="2381250"/>
                        </a:xfrm>
                        <a:prstGeom prst="straightConnector1">
                          <a:avLst/>
                        </a:prstGeom>
                        <a:noFill/>
                        <a:ln w="19050" cap="flat" cmpd="sng" algn="ctr">
                          <a:solidFill>
                            <a:srgbClr val="FFFF00"/>
                          </a:solidFill>
                          <a:prstDash val="solid"/>
                          <a:tailEnd type="triangle"/>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43.15pt;margin-top:90pt;height:187.5pt;width:99pt;z-index:251701248;mso-width-relative:page;mso-height-relative:page;" filled="f" stroked="t" coordsize="21600,21600" o:gfxdata="UEsDBAoAAAAAAIdO4kAAAAAAAAAAAAAAAAAEAAAAZHJzL1BLAwQUAAAACACHTuJAai3U8NkAAAAM&#10;AQAADwAAAGRycy9kb3ducmV2LnhtbE2PwU7DMBBE70j8g7VI3KhdIJUJcSoVqUKIC4R+gBMvSUS8&#10;LrGblnw92xMcd+ZpdqZYn/wgJhxjH8jAcqFAIDXB9dQa2H1sbzSImCw5OwRCAz8YYV1eXhQ2d+FI&#10;7zhVqRUcQjG3BrqU9rmUsenQ27gIeyT2PsPobeJzbKUb7ZHD/SBvlVpJb3viD53d41OHzVd18AZe&#10;+4dq2oXk9PPL2/e8nTdzPW+Mub5aqkcQCU/pD4Zzfa4OJXeqw4FcFIMBrVd3jLKhFY86E0rfs1Qb&#10;yLJMgSwL+X9E+QtQSwMEFAAAAAgAh07iQIqxGr0YAgAABAQAAA4AAABkcnMvZTJvRG9jLnhtbK1T&#10;zY7TMBC+I/EOlu80aVdAqZruoaVwQLAS8ACu4ySW/KcZb9O+BC+AxAk4Aae98zSwPAZjJ1TLctkD&#10;OUQztueb+T5/Xp4frGF7Bai9q/h0UnKmnPS1dm3F377ZPphzhlG4WhjvVMWPCvn56v69ZR8WauY7&#10;b2oFjEAcLvpQ8S7GsCgKlJ2yAic+KEebjQcrIqXQFjWIntCtKWZl+ajoPdQBvFSItLoZNvmICHcB&#10;9E2jpdp4eWmViwMqKCMiUcJOB+SrPG3TKBlfNQ2qyEzFiWnMf2pC8S79i9VSLFoQodNyHEHcZYRb&#10;nKzQjpqeoDYiCnYJ+h8oqyV49E2cSG+LgUhWhFhMy1vavO5EUJkLSY3hJDr+P1j5cn8BTNfkhBlp&#10;4oSlK79+f/Xz3afrb19/fLz69f1Dir98ZukAydUHXFDV2l3AmGG4gMT90IBljdHhOaFlNYgfO2Sx&#10;jyex1SEySYvT2cPHZyX1lLQ3O5tTnvGLASgBBsD4THnLUlBxjCB028W1d44u1sPQROxfYKRRqPBP&#10;QSp2fquNyfdrHOup4ZOSOjApyLQNmYVCG4g4upYzYVp6DTJCnhu90XUqT0AI7W5tgO0FeWhLHw09&#10;tPvrWOq9EdgN5/LW4C6rIz0Yo23F52X6huUotHnqahaPgSSPoIVrjRqRjUudVTbwyC7pPiidop2v&#10;j/kCipSROTL/0cjJfTdzim8+3t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i3U8NkAAAAMAQAA&#10;DwAAAAAAAAABACAAAAAiAAAAZHJzL2Rvd25yZXYueG1sUEsBAhQAFAAAAAgAh07iQIqxGr0YAgAA&#10;BAQAAA4AAAAAAAAAAQAgAAAAKAEAAGRycy9lMm9Eb2MueG1sUEsFBgAAAAAGAAYAWQEAALIFAAAA&#10;AA==&#10;">
                <v:fill on="f" focussize="0,0"/>
                <v:stroke weight="1.5pt" color="#FFFF00 [3204]" miterlimit="8" joinstyle="miter" endarrow="block"/>
                <v:imagedata o:title=""/>
                <o:lock v:ext="edit" aspectratio="f"/>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700224" behindDoc="0" locked="0" layoutInCell="1" allowOverlap="1">
                <wp:simplePos x="0" y="0"/>
                <wp:positionH relativeFrom="column">
                  <wp:posOffset>2065655</wp:posOffset>
                </wp:positionH>
                <wp:positionV relativeFrom="paragraph">
                  <wp:posOffset>3152140</wp:posOffset>
                </wp:positionV>
                <wp:extent cx="1428750" cy="685800"/>
                <wp:effectExtent l="3810" t="1270" r="15240" b="17780"/>
                <wp:wrapNone/>
                <wp:docPr id="108" name="直接箭头连接符 108"/>
                <wp:cNvGraphicFramePr/>
                <a:graphic xmlns:a="http://schemas.openxmlformats.org/drawingml/2006/main">
                  <a:graphicData uri="http://schemas.microsoft.com/office/word/2010/wordprocessingShape">
                    <wps:wsp>
                      <wps:cNvCnPr/>
                      <wps:spPr>
                        <a:xfrm flipV="1">
                          <a:off x="0" y="0"/>
                          <a:ext cx="1428750" cy="685800"/>
                        </a:xfrm>
                        <a:prstGeom prst="straightConnector1">
                          <a:avLst/>
                        </a:prstGeom>
                        <a:noFill/>
                        <a:ln w="19050" cap="flat" cmpd="sng" algn="ctr">
                          <a:solidFill>
                            <a:srgbClr val="FFFF00"/>
                          </a:solidFill>
                          <a:prstDash val="solid"/>
                          <a:tailEnd type="triangle"/>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62.65pt;margin-top:248.2pt;height:54pt;width:112.5pt;z-index:251700224;mso-width-relative:page;mso-height-relative:page;" filled="f" stroked="t" coordsize="21600,21600" o:gfxdata="UEsDBAoAAAAAAIdO4kAAAAAAAAAAAAAAAAAEAAAAZHJzL1BLAwQUAAAACACHTuJAZmPcv9sAAAAL&#10;AQAADwAAAGRycy9kb3ducmV2LnhtbE2PQW7CMBBF95W4gzVI3RUbSCJI4yCBhKqqmzblAE7sJlHj&#10;cYhNoDl9pyu6nJmnP+9nu5vt2GgG3zqUsFwIYAYrp1usJZw+j08bYD4o1KpzaCT8GA+7fPaQqVS7&#10;K36YsQg1oxD0qZLQhNCnnPuqMVb5hesN0u3LDVYFGoea60FdKdx2fCVEwq1qkT40qjeHxlTfxcVK&#10;eGu3xXhyQW9eXt/P03HaT+W0l/JxvhTPwIK5hTsMf/qkDjk5le6C2rNOwnoVrwmVEG2TCBgRcSxo&#10;U0pIRBQBzzP+v0P+C1BLAwQUAAAACACHTuJAEjg2wxgCAAADBAAADgAAAGRycy9lMm9Eb2MueG1s&#10;rVO9jhMxEO6ReAfLPdlNxB0hyuaKhNAgiMRP73i9u5b8pxlfNnkJXgCJCqg4qut5Gjgeg7E3RMfR&#10;XIELa+zxfDPfN+P5xd4atlOA2ruKj0clZ8pJX2vXVvztm/WjKWcYhauF8U5V/KCQXywePpj3YaYm&#10;vvOmVsAIxOGsDxXvYgyzokDZKStw5INy5Gw8WBHpCG1Rg+gJ3ZpiUpbnRe+hDuClQqTb1eDkR0S4&#10;D6BvGi3VystLq1wcUEEZEYkSdjogX+Rqm0bJ+KppUEVmKk5MY94pCdnbtBeLuZi1IEKn5bEEcZ8S&#10;7nCyQjtKeoJaiSjYJeh/oKyW4NE3cSS9LQYiWRFiMS7vaPO6E0FlLiQ1hpPo+P9g5cvdBpiuaRJK&#10;arwTllp+8+H65/vPN9+ufny6/vX9Y7K/fmHpAcnVB5xR1NJt4HjCsIHEfd+AZY3R4R2hZTWIH9tn&#10;sQ8nsdU+MkmX48eT6ZMz6oMk3/n0bFrmbhQDTsILgPG58pYlo+IYQei2i0vvHPXVw5BD7F5gpEoo&#10;8E9ACnZ+rY3J7TWO9ZTvaZmzCZrZhmaFEttAvNG1nAnT0meQEXLZ6I2uU3gCQmi3SwNsJ2iE1rRO&#10;df71LOVeCeyGd9k1DJfVkf6L0bbiRJHWcB2FNs9czeIhkOIRtHCtUclHRIxLmVWe3yO7JPsgdLK2&#10;vj5k/Yt0otnIYcc5TsN3+0z27b+7+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mY9y/2wAAAAsB&#10;AAAPAAAAAAAAAAEAIAAAACIAAABkcnMvZG93bnJldi54bWxQSwECFAAUAAAACACHTuJAEjg2wxgC&#10;AAADBAAADgAAAAAAAAABACAAAAAqAQAAZHJzL2Uyb0RvYy54bWxQSwUGAAAAAAYABgBZAQAAtAUA&#10;AAAA&#10;">
                <v:fill on="f" focussize="0,0"/>
                <v:stroke weight="1.5pt" color="#FFFF00 [3204]" miterlimit="8" joinstyle="miter" endarrow="block"/>
                <v:imagedata o:title=""/>
                <o:lock v:ext="edit" aspectratio="f"/>
              </v:shape>
            </w:pict>
          </mc:Fallback>
        </mc:AlternateContent>
      </w:r>
    </w:p>
    <w:p>
      <w:pPr>
        <w:adjustRightInd w:val="0"/>
        <w:snapToGrid w:val="0"/>
        <w:spacing w:before="0" w:beforeLines="0" w:after="0" w:afterLines="0" w:line="240" w:lineRule="auto"/>
        <w:jc w:val="center"/>
        <w:rPr>
          <w:rFonts w:ascii="Times New Roman" w:hAnsi="Times New Roman" w:eastAsia="宋体" w:cs="Times New Roman"/>
          <w:b/>
          <w:sz w:val="21"/>
          <w:szCs w:val="21"/>
          <w:lang w:val="en-US" w:eastAsia="zh-CN" w:bidi="ar-SA"/>
        </w:rPr>
      </w:pPr>
      <w:bookmarkStart w:id="21" w:name="_Ref62483526"/>
      <w:bookmarkStart w:id="22" w:name="_Ref62483518"/>
      <w:r>
        <w:rPr>
          <w:rFonts w:hint="eastAsia" w:ascii="Times New Roman" w:hAnsi="Times New Roman" w:eastAsia="宋体" w:cs="Times New Roman"/>
          <w:b/>
          <w:sz w:val="21"/>
          <w:szCs w:val="21"/>
          <w:lang w:val="en-US" w:eastAsia="zh-CN" w:bidi="ar-SA"/>
        </w:rPr>
        <w:t xml:space="preserve">图 </w:t>
      </w:r>
      <w:bookmarkEnd w:id="21"/>
      <w:r>
        <w:rPr>
          <w:rFonts w:hint="eastAsia" w:ascii="Times New Roman" w:hAnsi="Times New Roman" w:eastAsia="宋体" w:cs="Times New Roman"/>
          <w:b/>
          <w:sz w:val="21"/>
          <w:szCs w:val="21"/>
          <w:lang w:val="en-US" w:eastAsia="zh-CN" w:bidi="ar-SA"/>
        </w:rPr>
        <w:t>3.5-1</w:t>
      </w:r>
      <w:r>
        <w:rPr>
          <w:rFonts w:ascii="Times New Roman" w:hAnsi="Times New Roman" w:eastAsia="宋体" w:cs="Times New Roman"/>
          <w:b/>
          <w:sz w:val="21"/>
          <w:szCs w:val="21"/>
          <w:lang w:val="en-US" w:eastAsia="zh-CN" w:bidi="ar-SA"/>
        </w:rPr>
        <w:t xml:space="preserve">  </w:t>
      </w:r>
      <w:r>
        <w:rPr>
          <w:rFonts w:hint="eastAsia" w:ascii="Times New Roman" w:hAnsi="Times New Roman" w:eastAsia="宋体" w:cs="Times New Roman"/>
          <w:b/>
          <w:sz w:val="21"/>
          <w:szCs w:val="21"/>
          <w:lang w:val="en-US" w:eastAsia="zh-CN" w:bidi="ar-SA"/>
        </w:rPr>
        <w:t>相邻地块现状情况示意图</w:t>
      </w:r>
      <w:bookmarkEnd w:id="22"/>
    </w:p>
    <w:p>
      <w:pPr>
        <w:ind w:firstLine="480"/>
        <w:rPr>
          <w:sz w:val="24"/>
          <w:szCs w:val="24"/>
        </w:rPr>
        <w:sectPr>
          <w:pgSz w:w="16838" w:h="11906" w:orient="landscape"/>
          <w:pgMar w:top="1644" w:right="1440" w:bottom="1644" w:left="1440" w:header="851" w:footer="907" w:gutter="284"/>
          <w:cols w:space="425" w:num="1"/>
          <w:docGrid w:type="lines" w:linePitch="326" w:charSpace="0"/>
        </w:sectPr>
      </w:pPr>
    </w:p>
    <w:p>
      <w:pPr>
        <w:keepNext/>
        <w:keepLines/>
        <w:numPr>
          <w:ilvl w:val="2"/>
          <w:numId w:val="1"/>
        </w:numPr>
        <w:adjustRightInd w:val="0"/>
        <w:snapToGrid w:val="0"/>
        <w:spacing w:line="360" w:lineRule="auto"/>
        <w:jc w:val="both"/>
        <w:outlineLvl w:val="2"/>
        <w:rPr>
          <w:rFonts w:ascii="Times New Roman" w:hAnsi="Times New Roman" w:eastAsia="宋体" w:cs="Times New Roman"/>
          <w:b/>
          <w:bCs/>
          <w:sz w:val="24"/>
          <w:szCs w:val="24"/>
          <w:lang w:val="en-US" w:eastAsia="zh-CN" w:bidi="ar-SA"/>
        </w:rPr>
      </w:pPr>
      <w:r>
        <w:rPr>
          <w:rFonts w:hint="eastAsia" w:ascii="Times New Roman" w:hAnsi="Times New Roman" w:eastAsia="宋体" w:cs="Times New Roman"/>
          <w:b/>
          <w:bCs/>
          <w:sz w:val="24"/>
          <w:szCs w:val="24"/>
          <w:lang w:val="en-US" w:eastAsia="zh-CN" w:bidi="ar-SA"/>
        </w:rPr>
        <w:t>相邻地块历史概况</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通过核对企业资料和卫星影像初步筛查，项目相邻地块建设期集中在2</w:t>
      </w:r>
      <w:r>
        <w:rPr>
          <w:rFonts w:ascii="Times New Roman" w:hAnsi="Times New Roman" w:eastAsia="宋体" w:cs="Times New Roman"/>
          <w:kern w:val="2"/>
          <w:sz w:val="24"/>
          <w:szCs w:val="24"/>
          <w:lang w:val="en-US" w:eastAsia="zh-CN" w:bidi="ar-SA"/>
        </w:rPr>
        <w:t>0</w:t>
      </w:r>
      <w:r>
        <w:rPr>
          <w:rFonts w:hint="eastAsia" w:cs="Times New Roman"/>
          <w:kern w:val="2"/>
          <w:sz w:val="24"/>
          <w:szCs w:val="24"/>
          <w:lang w:val="en-US" w:eastAsia="zh-CN" w:bidi="ar-SA"/>
        </w:rPr>
        <w:t>16</w:t>
      </w:r>
      <w:r>
        <w:rPr>
          <w:rFonts w:hint="eastAsia" w:ascii="Times New Roman" w:hAnsi="Times New Roman" w:eastAsia="宋体" w:cs="Times New Roman"/>
          <w:kern w:val="2"/>
          <w:sz w:val="24"/>
          <w:szCs w:val="24"/>
          <w:lang w:val="en-US" w:eastAsia="zh-CN" w:bidi="ar-SA"/>
        </w:rPr>
        <w:t>年~</w:t>
      </w:r>
      <w:r>
        <w:rPr>
          <w:rFonts w:ascii="Times New Roman" w:hAnsi="Times New Roman" w:eastAsia="宋体" w:cs="Times New Roman"/>
          <w:kern w:val="2"/>
          <w:sz w:val="24"/>
          <w:szCs w:val="24"/>
          <w:lang w:val="en-US" w:eastAsia="zh-CN" w:bidi="ar-SA"/>
        </w:rPr>
        <w:t>201</w:t>
      </w:r>
      <w:r>
        <w:rPr>
          <w:rFonts w:hint="eastAsia" w:cs="Times New Roman"/>
          <w:kern w:val="2"/>
          <w:sz w:val="24"/>
          <w:szCs w:val="24"/>
          <w:lang w:val="en-US" w:eastAsia="zh-CN" w:bidi="ar-SA"/>
        </w:rPr>
        <w:t>8</w:t>
      </w:r>
      <w:r>
        <w:rPr>
          <w:rFonts w:hint="eastAsia" w:ascii="Times New Roman" w:hAnsi="Times New Roman" w:eastAsia="宋体" w:cs="Times New Roman"/>
          <w:kern w:val="2"/>
          <w:sz w:val="24"/>
          <w:szCs w:val="24"/>
          <w:lang w:val="en-US" w:eastAsia="zh-CN" w:bidi="ar-SA"/>
        </w:rPr>
        <w:t>年，20</w:t>
      </w:r>
      <w:r>
        <w:rPr>
          <w:rFonts w:hint="eastAsia" w:cs="Times New Roman"/>
          <w:kern w:val="2"/>
          <w:sz w:val="24"/>
          <w:szCs w:val="24"/>
          <w:lang w:val="en-US" w:eastAsia="zh-CN" w:bidi="ar-SA"/>
        </w:rPr>
        <w:t>20</w:t>
      </w:r>
      <w:r>
        <w:rPr>
          <w:rFonts w:hint="eastAsia" w:ascii="Times New Roman" w:hAnsi="Times New Roman" w:eastAsia="宋体" w:cs="Times New Roman"/>
          <w:kern w:val="2"/>
          <w:sz w:val="24"/>
          <w:szCs w:val="24"/>
          <w:lang w:val="en-US" w:eastAsia="zh-CN" w:bidi="ar-SA"/>
        </w:rPr>
        <w:t>年~20</w:t>
      </w:r>
      <w:r>
        <w:rPr>
          <w:rFonts w:hint="eastAsia" w:cs="Times New Roman"/>
          <w:kern w:val="2"/>
          <w:sz w:val="24"/>
          <w:szCs w:val="24"/>
          <w:lang w:val="en-US" w:eastAsia="zh-CN" w:bidi="ar-SA"/>
        </w:rPr>
        <w:t>22</w:t>
      </w:r>
      <w:r>
        <w:rPr>
          <w:rFonts w:hint="eastAsia" w:ascii="Times New Roman" w:hAnsi="Times New Roman" w:eastAsia="宋体" w:cs="Times New Roman"/>
          <w:kern w:val="2"/>
          <w:sz w:val="24"/>
          <w:szCs w:val="24"/>
          <w:lang w:val="en-US" w:eastAsia="zh-CN" w:bidi="ar-SA"/>
        </w:rPr>
        <w:t>年，均以工业厂房开发为主，为此以2</w:t>
      </w:r>
      <w:r>
        <w:rPr>
          <w:rFonts w:ascii="Times New Roman" w:hAnsi="Times New Roman" w:eastAsia="宋体" w:cs="Times New Roman"/>
          <w:kern w:val="2"/>
          <w:sz w:val="24"/>
          <w:szCs w:val="24"/>
          <w:lang w:val="en-US" w:eastAsia="zh-CN" w:bidi="ar-SA"/>
        </w:rPr>
        <w:t>0</w:t>
      </w:r>
      <w:r>
        <w:rPr>
          <w:rFonts w:hint="eastAsia" w:cs="Times New Roman"/>
          <w:kern w:val="2"/>
          <w:sz w:val="24"/>
          <w:szCs w:val="24"/>
          <w:lang w:val="en-US" w:eastAsia="zh-CN" w:bidi="ar-SA"/>
        </w:rPr>
        <w:t>16</w:t>
      </w:r>
      <w:r>
        <w:rPr>
          <w:rFonts w:hint="eastAsia" w:ascii="Times New Roman" w:hAnsi="Times New Roman" w:eastAsia="宋体" w:cs="Times New Roman"/>
          <w:kern w:val="2"/>
          <w:sz w:val="24"/>
          <w:szCs w:val="24"/>
          <w:lang w:val="en-US" w:eastAsia="zh-CN" w:bidi="ar-SA"/>
        </w:rPr>
        <w:t>年~2</w:t>
      </w:r>
      <w:r>
        <w:rPr>
          <w:rFonts w:ascii="Times New Roman" w:hAnsi="Times New Roman" w:eastAsia="宋体" w:cs="Times New Roman"/>
          <w:kern w:val="2"/>
          <w:sz w:val="24"/>
          <w:szCs w:val="24"/>
          <w:lang w:val="en-US" w:eastAsia="zh-CN" w:bidi="ar-SA"/>
        </w:rPr>
        <w:t>0</w:t>
      </w:r>
      <w:r>
        <w:rPr>
          <w:rFonts w:hint="eastAsia" w:cs="Times New Roman"/>
          <w:kern w:val="2"/>
          <w:sz w:val="24"/>
          <w:szCs w:val="24"/>
          <w:lang w:val="en-US" w:eastAsia="zh-CN" w:bidi="ar-SA"/>
        </w:rPr>
        <w:t>18</w:t>
      </w:r>
      <w:r>
        <w:rPr>
          <w:rFonts w:hint="eastAsia" w:ascii="Times New Roman" w:hAnsi="Times New Roman" w:eastAsia="宋体" w:cs="Times New Roman"/>
          <w:kern w:val="2"/>
          <w:sz w:val="24"/>
          <w:szCs w:val="24"/>
          <w:lang w:val="en-US" w:eastAsia="zh-CN" w:bidi="ar-SA"/>
        </w:rPr>
        <w:t>年、2</w:t>
      </w:r>
      <w:r>
        <w:rPr>
          <w:rFonts w:hint="eastAsia" w:cs="Times New Roman"/>
          <w:kern w:val="2"/>
          <w:sz w:val="24"/>
          <w:szCs w:val="24"/>
          <w:lang w:val="en-US" w:eastAsia="zh-CN" w:bidi="ar-SA"/>
        </w:rPr>
        <w:t>020</w:t>
      </w:r>
      <w:r>
        <w:rPr>
          <w:rFonts w:hint="eastAsia" w:ascii="Times New Roman" w:hAnsi="Times New Roman" w:eastAsia="宋体" w:cs="Times New Roman"/>
          <w:kern w:val="2"/>
          <w:sz w:val="24"/>
          <w:szCs w:val="24"/>
          <w:lang w:val="en-US" w:eastAsia="zh-CN" w:bidi="ar-SA"/>
        </w:rPr>
        <w:t>年~202</w:t>
      </w:r>
      <w:r>
        <w:rPr>
          <w:rFonts w:hint="eastAsia"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年卫星影像图为基础，通过对周边信息调查，还原出</w:t>
      </w:r>
      <w:r>
        <w:rPr>
          <w:rFonts w:hint="eastAsia" w:cs="Times New Roman"/>
          <w:kern w:val="2"/>
          <w:sz w:val="24"/>
          <w:szCs w:val="24"/>
          <w:lang w:val="en-US" w:eastAsia="zh-CN" w:bidi="ar-SA"/>
        </w:rPr>
        <w:t>高新区</w:t>
      </w:r>
      <w:r>
        <w:rPr>
          <w:rFonts w:hint="eastAsia" w:ascii="Times New Roman" w:hAnsi="Times New Roman" w:eastAsia="宋体" w:cs="Times New Roman"/>
          <w:kern w:val="2"/>
          <w:sz w:val="24"/>
          <w:szCs w:val="24"/>
          <w:lang w:val="en-US" w:eastAsia="zh-CN" w:bidi="ar-SA"/>
        </w:rPr>
        <w:t>生物产业园峡州大道与合益路交会处东侧地块（3号地块）相邻地块开发利用情况如下。</w:t>
      </w:r>
    </w:p>
    <w:p>
      <w:pPr>
        <w:keepNext/>
        <w:adjustRightInd w:val="0"/>
        <w:snapToGrid w:val="0"/>
        <w:spacing w:before="97" w:beforeLines="30" w:after="97" w:afterLines="30" w:line="240" w:lineRule="auto"/>
        <w:jc w:val="center"/>
        <w:rPr>
          <w:rFonts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表 3.5-</w:t>
      </w:r>
      <w:r>
        <w:rPr>
          <w:rFonts w:ascii="Times New Roman" w:hAnsi="Times New Roman" w:eastAsia="宋体" w:cs="Times New Roman"/>
          <w:b/>
          <w:sz w:val="21"/>
          <w:szCs w:val="21"/>
          <w:lang w:val="en-US" w:eastAsia="zh-CN" w:bidi="ar-SA"/>
        </w:rPr>
        <w:t>1  20</w:t>
      </w:r>
      <w:r>
        <w:rPr>
          <w:rFonts w:hint="eastAsia" w:cs="Times New Roman"/>
          <w:b/>
          <w:sz w:val="21"/>
          <w:szCs w:val="21"/>
          <w:lang w:val="en-US" w:eastAsia="zh-CN" w:bidi="ar-SA"/>
        </w:rPr>
        <w:t>16</w:t>
      </w:r>
      <w:r>
        <w:rPr>
          <w:rFonts w:hint="eastAsia" w:ascii="Times New Roman" w:hAnsi="Times New Roman" w:eastAsia="宋体" w:cs="Times New Roman"/>
          <w:b/>
          <w:sz w:val="21"/>
          <w:szCs w:val="21"/>
          <w:lang w:val="en-US" w:eastAsia="zh-CN" w:bidi="ar-SA"/>
        </w:rPr>
        <w:t>年至2</w:t>
      </w:r>
      <w:r>
        <w:rPr>
          <w:rFonts w:ascii="Times New Roman" w:hAnsi="Times New Roman" w:eastAsia="宋体" w:cs="Times New Roman"/>
          <w:b/>
          <w:sz w:val="21"/>
          <w:szCs w:val="21"/>
          <w:lang w:val="en-US" w:eastAsia="zh-CN" w:bidi="ar-SA"/>
        </w:rPr>
        <w:t>0</w:t>
      </w:r>
      <w:r>
        <w:rPr>
          <w:rFonts w:hint="eastAsia" w:cs="Times New Roman"/>
          <w:b/>
          <w:sz w:val="21"/>
          <w:szCs w:val="21"/>
          <w:lang w:val="en-US" w:eastAsia="zh-CN" w:bidi="ar-SA"/>
        </w:rPr>
        <w:t>18</w:t>
      </w:r>
      <w:r>
        <w:rPr>
          <w:rFonts w:hint="eastAsia" w:ascii="Times New Roman" w:hAnsi="Times New Roman" w:eastAsia="宋体" w:cs="Times New Roman"/>
          <w:b/>
          <w:sz w:val="21"/>
          <w:szCs w:val="21"/>
          <w:lang w:val="en-US" w:eastAsia="zh-CN" w:bidi="ar-SA"/>
        </w:rPr>
        <w:t>年相邻地块变化情况对照表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2"/>
        <w:gridCol w:w="217"/>
        <w:gridCol w:w="2561"/>
        <w:gridCol w:w="45"/>
        <w:gridCol w:w="4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79" w:type="dxa"/>
            <w:gridSpan w:val="3"/>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82816" behindDoc="0" locked="0" layoutInCell="1" allowOverlap="1">
                  <wp:simplePos x="0" y="0"/>
                  <wp:positionH relativeFrom="column">
                    <wp:posOffset>2156460</wp:posOffset>
                  </wp:positionH>
                  <wp:positionV relativeFrom="paragraph">
                    <wp:posOffset>77470</wp:posOffset>
                  </wp:positionV>
                  <wp:extent cx="396240" cy="408305"/>
                  <wp:effectExtent l="9525" t="9525" r="13335" b="20320"/>
                  <wp:wrapNone/>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1356995</wp:posOffset>
                      </wp:positionH>
                      <wp:positionV relativeFrom="paragraph">
                        <wp:posOffset>1083310</wp:posOffset>
                      </wp:positionV>
                      <wp:extent cx="691515" cy="247015"/>
                      <wp:effectExtent l="0" t="0" r="0" b="0"/>
                      <wp:wrapNone/>
                      <wp:docPr id="169" name="文本框 169"/>
                      <wp:cNvGraphicFramePr/>
                      <a:graphic xmlns:a="http://schemas.openxmlformats.org/drawingml/2006/main">
                        <a:graphicData uri="http://schemas.microsoft.com/office/word/2010/wordprocessingShape">
                          <wps:wsp>
                            <wps:cNvSpPr txBox="1"/>
                            <wps:spPr>
                              <a:xfrm>
                                <a:off x="0" y="0"/>
                                <a:ext cx="691515" cy="247015"/>
                              </a:xfrm>
                              <a:prstGeom prst="rect">
                                <a:avLst/>
                              </a:prstGeom>
                              <a:noFill/>
                              <a:ln w="6350">
                                <a:noFill/>
                              </a:ln>
                            </wps:spPr>
                            <wps:txbx>
                              <w:txbxContent>
                                <w:p>
                                  <w:pPr>
                                    <w:widowControl/>
                                    <w:adjustRightInd w:val="0"/>
                                    <w:snapToGrid w:val="0"/>
                                    <w:spacing w:line="360" w:lineRule="auto"/>
                                    <w:rPr>
                                      <w:rFonts w:hint="eastAsia" w:ascii="黑体" w:hAnsi="黑体" w:eastAsia="黑体" w:cs="Times New Roman"/>
                                      <w:b/>
                                      <w:color w:val="FF0000"/>
                                      <w:kern w:val="0"/>
                                      <w:sz w:val="15"/>
                                      <w:szCs w:val="15"/>
                                      <w:lang w:eastAsia="zh-CN"/>
                                    </w:rPr>
                                  </w:pPr>
                                  <w:r>
                                    <w:rPr>
                                      <w:rFonts w:hint="eastAsia" w:ascii="黑体" w:hAnsi="黑体" w:eastAsia="黑体" w:cs="Times New Roman"/>
                                      <w:b/>
                                      <w:color w:val="FF0000"/>
                                      <w:kern w:val="0"/>
                                      <w:sz w:val="15"/>
                                      <w:szCs w:val="15"/>
                                    </w:rPr>
                                    <w:t>本</w:t>
                                  </w:r>
                                  <w:r>
                                    <w:rPr>
                                      <w:rFonts w:hint="eastAsia" w:ascii="黑体" w:hAnsi="黑体" w:eastAsia="黑体" w:cs="Times New Roman"/>
                                      <w:b/>
                                      <w:color w:val="FF0000"/>
                                      <w:kern w:val="0"/>
                                      <w:sz w:val="15"/>
                                      <w:szCs w:val="15"/>
                                      <w:lang w:val="en-US" w:eastAsia="zh-CN"/>
                                    </w:rPr>
                                    <w:t>地块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6.85pt;margin-top:85.3pt;height:19.45pt;width:54.45pt;z-index:251667456;mso-width-relative:page;mso-height-relative:page;" filled="f" stroked="f" coordsize="21600,21600" o:gfxdata="UEsDBAoAAAAAAIdO4kAAAAAAAAAAAAAAAAAEAAAAZHJzL1BLAwQUAAAACACHTuJACivEJ9oAAAAL&#10;AQAADwAAAGRycy9kb3ducmV2LnhtbE2Py07DMBBF90j8gzVI7KgdV32lcSoUqUJCsGjphp0TT5MI&#10;P0LsPuDrGVawm9G5unOm2FydZWccYx+8gmwigKFvgul9q+Dwtn1YAotJe6Nt8KjgCyNsytubQucm&#10;XPwOz/vUMirxMdcKupSGnPPYdOh0nIQBPbFjGJ1OtI4tN6O+ULmzXAox5073ni50esCqw+Zjf3IK&#10;nqvtq97V0i2/bfX0cnwcPg/vM6Xu7zKxBpbwmv7C8KtP6lCSUx1O3kRmFchsuqAogYWYA6PEVEoa&#10;akJiNQNeFvz/D+UPUEsDBBQAAAAIAIdO4kAEVe3wOwIAAGkEAAAOAAAAZHJzL2Uyb0RvYy54bWyt&#10;VMFuEzEQvSPxD5bvdJOQtDTqpgqtipAqWikgzo7X213J9hjb6W75APgDTly48139Dp69SVoVDj1w&#10;ccYzs2/83szk5LQ3mt0qH1qyJR8fjDhTVlLV2puSf/p48eoNZyEKWwlNVpX8TgV+unj54qRzczWh&#10;hnSlPAOIDfPOlbyJ0c2LIshGGREOyCmLYE3eiIirvykqLzqgG11MRqPDoiNfOU9ShQDv+RDkW0T/&#10;HECq61aqc5Ibo2wcUL3SIoJSaFoX+CK/tq6VjFd1HVRkuuRgGvOJIrDX6SwWJ2J+44VrWrl9gnjO&#10;E55wMqK1KLqHOhdRsI1v/4IyrfQUqI4HkkwxEMmKgMV49ESbVSOcylwgdXB70cP/g5Ufbq89aytM&#10;wuExZ1YYtPz+x/f7n7/vf31jyQmJOhfmyFw55Mb+LfVI3/kDnIl5X3uTfsGJIQ6B7/YCqz4yCefh&#10;8Xg2nnEmEZpMj0awgV48fOx8iO8UGZaMknv0L8sqbi9DHFJ3KamWpYtW69xDbVmHAq9no/zBPgJw&#10;bVEjURiemqzYr/strzVVd6DlaZiN4ORFi+KXIsRr4TEMYIJ1iVc4ak0oQluLs4b813/5Uz56hChn&#10;HYar5OHLRnjFmX5v0b3j8XSapjFfprOjCS7+cWT9OGI35owwv2MsppPZTPlR78zak/mMrVqmqggJ&#10;K1G75HFnnsVh5LGVUi2XOQnz50S8tCsnE/Qg53ITqW6z0kmmQZutepjA3KvttqQRf3zPWQ//EI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ivEJ9oAAAALAQAADwAAAAAAAAABACAAAAAiAAAAZHJz&#10;L2Rvd25yZXYueG1sUEsBAhQAFAAAAAgAh07iQARV7fA7AgAAaQQAAA4AAAAAAAAAAQAgAAAAKQEA&#10;AGRycy9lMm9Eb2MueG1sUEsFBgAAAAAGAAYAWQEAANYFAAAAAA==&#10;">
                      <v:fill on="f" focussize="0,0"/>
                      <v:stroke on="f" weight="0.5pt"/>
                      <v:imagedata o:title=""/>
                      <o:lock v:ext="edit" aspectratio="f"/>
                      <v:textbox>
                        <w:txbxContent>
                          <w:p>
                            <w:pPr>
                              <w:widowControl/>
                              <w:adjustRightInd w:val="0"/>
                              <w:snapToGrid w:val="0"/>
                              <w:spacing w:line="360" w:lineRule="auto"/>
                              <w:rPr>
                                <w:rFonts w:hint="eastAsia" w:ascii="黑体" w:hAnsi="黑体" w:eastAsia="黑体" w:cs="Times New Roman"/>
                                <w:b/>
                                <w:color w:val="FF0000"/>
                                <w:kern w:val="0"/>
                                <w:sz w:val="15"/>
                                <w:szCs w:val="15"/>
                                <w:lang w:eastAsia="zh-CN"/>
                              </w:rPr>
                            </w:pPr>
                            <w:r>
                              <w:rPr>
                                <w:rFonts w:hint="eastAsia" w:ascii="黑体" w:hAnsi="黑体" w:eastAsia="黑体" w:cs="Times New Roman"/>
                                <w:b/>
                                <w:color w:val="FF0000"/>
                                <w:kern w:val="0"/>
                                <w:sz w:val="15"/>
                                <w:szCs w:val="15"/>
                              </w:rPr>
                              <w:t>本</w:t>
                            </w:r>
                            <w:r>
                              <w:rPr>
                                <w:rFonts w:hint="eastAsia" w:ascii="黑体" w:hAnsi="黑体" w:eastAsia="黑体" w:cs="Times New Roman"/>
                                <w:b/>
                                <w:color w:val="FF0000"/>
                                <w:kern w:val="0"/>
                                <w:sz w:val="15"/>
                                <w:szCs w:val="15"/>
                                <w:lang w:val="en-US" w:eastAsia="zh-CN"/>
                              </w:rPr>
                              <w:t>地块</w:t>
                            </w:r>
                          </w:p>
                        </w:txbxContent>
                      </v:textbox>
                    </v:shape>
                  </w:pict>
                </mc:Fallback>
              </mc:AlternateContent>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641350</wp:posOffset>
                      </wp:positionH>
                      <wp:positionV relativeFrom="paragraph">
                        <wp:posOffset>1619885</wp:posOffset>
                      </wp:positionV>
                      <wp:extent cx="691515" cy="247015"/>
                      <wp:effectExtent l="0" t="0" r="0" b="0"/>
                      <wp:wrapNone/>
                      <wp:docPr id="281" name="文本框 281"/>
                      <wp:cNvGraphicFramePr/>
                      <a:graphic xmlns:a="http://schemas.openxmlformats.org/drawingml/2006/main">
                        <a:graphicData uri="http://schemas.microsoft.com/office/word/2010/wordprocessingShape">
                          <wps:wsp>
                            <wps:cNvSpPr txBox="1"/>
                            <wps:spPr>
                              <a:xfrm rot="20205306">
                                <a:off x="0" y="0"/>
                                <a:ext cx="691515"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5pt;margin-top:127.55pt;height:19.45pt;width:54.45pt;rotation:-1523378f;z-index:251672576;mso-width-relative:page;mso-height-relative:page;" filled="f" stroked="f" coordsize="21600,21600" o:gfxdata="UEsDBAoAAAAAAIdO4kAAAAAAAAAAAAAAAAAEAAAAZHJzL1BLAwQUAAAACACHTuJAKFaqo9cAAAAL&#10;AQAADwAAAGRycy9kb3ducmV2LnhtbE2PwU7DMBBE70j8g7VI3KidqK1IiNMDAsEJiQbB1Y2XJCJe&#10;R/GmLX/PcoLbjnY086bancOojjinIZKFbGVAIbXRD9RZeGseb25BJXbk3RgJLXxjgl19eVG50scT&#10;veJxz52SEEqls9AzT6XWqe0xuLSKE5L8PuMcHIucO+1nd5LwMOrcmK0ObiBp6N2E9z22X/slWMif&#10;9dPL0untunho2L9/cNMbtvb6KjN3oBjP/GeGX3xBh1qYDnEhn9Qo2mSyhSVss8lAiSM3RQHqIEex&#10;NqDrSv/fUP8AUEsDBBQAAAAIAIdO4kDGypnlRwIAAHgEAAAOAAAAZHJzL2Uyb0RvYy54bWytVEtu&#10;2zAQ3RfoHQjuG8mKnY9hOXBjpCgQNAHSomuaoiwB/JWkI6UHaG+QVTfd91w5Rx8p2zXSLrLohhjO&#10;jN7MezPU7KJXktwL51ujSzo6yikRmpuq1euSfvp49eaMEh+Yrpg0WpT0QXh6MX/9atbZqShMY2Ql&#10;HAGI9tPOlrQJwU6zzPNGKOaPjBUawdo4xQKubp1VjnVAVzIr8vwk64yrrDNceA/vcgjSLaJ7CaCp&#10;65aLpeEbJXQYUJ2QLICSb1rr6Tx1W9eCh5u69iIQWVIwDelEEdireGbzGZuuHbNNy7ctsJe08IyT&#10;Yq1G0T3UkgVGNq79C0q13Blv6nDEjcoGIkkRsBjlz7S5a5gViQuk9nYvuv9/sPzD/a0jbVXS4mxE&#10;iWYKI396/P7049fTz28kOiFRZ/0UmXcWuaF/a3oszs7v4YzM+9op4gwULvIinxznJ0kQUCRIh94P&#10;e71FHwiH8+R8NBlNKOEIFePTHDaKZQNWxLTOh3fCKBKNkjqMM4Gy+2sfhtRdSkzX5qqVMo1UatKh&#10;wPEkTx/sIwCXGjUio6HzaIV+1W9prkz1AJaJCJr2ll+1KH7NfLhlDrsBJ15PuMFRS4MiZmtR0hj3&#10;9V/+mI+RIUpJh10rqf+yYU5QIt9rDPN8NB4DNqTLeHJa4OIOI6vDiN6oS4N1xrjQXTJjfpA7s3ZG&#10;fcYjW8SqCDHNUbukYWdehuEF4JFysVikJKyjZeFa31keoQc5F5tg6jYpHWUatNmqh4VMs9o+nrjx&#10;h/eU9eeHMf8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KFaqo9cAAAALAQAADwAAAAAAAAABACAA&#10;AAAiAAAAZHJzL2Rvd25yZXYueG1sUEsBAhQAFAAAAAgAh07iQMbKmeVHAgAAeAQAAA4AAAAAAAAA&#10;AQAgAAAAJgEAAGRycy9lMm9Eb2MueG1sUEsFBgAAAAAGAAYAWQEAAN8FA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txbxContent>
                      </v:textbox>
                    </v:shape>
                  </w:pict>
                </mc:Fallback>
              </mc:AlternateContent>
            </w:r>
            <w:r>
              <w:drawing>
                <wp:inline distT="0" distB="0" distL="114300" distR="114300">
                  <wp:extent cx="2583815" cy="2611120"/>
                  <wp:effectExtent l="0" t="0" r="0" b="0"/>
                  <wp:docPr id="5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3"/>
                          <pic:cNvPicPr>
                            <a:picLocks noChangeAspect="1"/>
                          </pic:cNvPicPr>
                        </pic:nvPicPr>
                        <pic:blipFill>
                          <a:blip r:embed="rId29"/>
                          <a:srcRect l="15116" r="25344"/>
                          <a:stretch>
                            <a:fillRect/>
                          </a:stretch>
                        </pic:blipFill>
                        <pic:spPr>
                          <a:xfrm>
                            <a:off x="0" y="0"/>
                            <a:ext cx="2583815" cy="2611120"/>
                          </a:xfrm>
                          <a:prstGeom prst="rect">
                            <a:avLst/>
                          </a:prstGeom>
                          <a:noFill/>
                          <a:ln>
                            <a:noFill/>
                          </a:ln>
                        </pic:spPr>
                      </pic:pic>
                    </a:graphicData>
                  </a:graphic>
                </wp:inline>
              </w:drawing>
            </w:r>
          </w:p>
          <w:p>
            <w:pPr>
              <w:widowControl w:val="0"/>
              <w:adjustRightInd w:val="0"/>
              <w:snapToGrid w:val="0"/>
              <w:spacing w:before="97" w:beforeLines="30" w:line="312"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16</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4</w:t>
            </w:r>
            <w:r>
              <w:rPr>
                <w:rFonts w:hint="eastAsia" w:ascii="Times New Roman" w:hAnsi="Times New Roman" w:eastAsia="宋体" w:cs="Times New Roman"/>
                <w:kern w:val="2"/>
                <w:sz w:val="21"/>
                <w:szCs w:val="21"/>
                <w:lang w:val="en-US" w:eastAsia="zh-CN" w:bidi="ar-SA"/>
              </w:rPr>
              <w:t>月卫星影像</w:t>
            </w:r>
          </w:p>
        </w:tc>
        <w:tc>
          <w:tcPr>
            <w:tcW w:w="4271" w:type="dxa"/>
            <w:gridSpan w:val="2"/>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1100455</wp:posOffset>
                      </wp:positionH>
                      <wp:positionV relativeFrom="paragraph">
                        <wp:posOffset>1022350</wp:posOffset>
                      </wp:positionV>
                      <wp:extent cx="691515" cy="247015"/>
                      <wp:effectExtent l="0" t="0" r="0" b="0"/>
                      <wp:wrapNone/>
                      <wp:docPr id="280" name="文本框 280"/>
                      <wp:cNvGraphicFramePr/>
                      <a:graphic xmlns:a="http://schemas.openxmlformats.org/drawingml/2006/main">
                        <a:graphicData uri="http://schemas.microsoft.com/office/word/2010/wordprocessingShape">
                          <wps:wsp>
                            <wps:cNvSpPr txBox="1"/>
                            <wps:spPr>
                              <a:xfrm>
                                <a:off x="0" y="0"/>
                                <a:ext cx="691515" cy="247015"/>
                              </a:xfrm>
                              <a:prstGeom prst="rect">
                                <a:avLst/>
                              </a:prstGeom>
                              <a:noFill/>
                              <a:ln w="6350">
                                <a:noFill/>
                              </a:ln>
                            </wps:spPr>
                            <wps:txbx>
                              <w:txbxContent>
                                <w:p>
                                  <w:pPr>
                                    <w:widowControl/>
                                    <w:adjustRightInd w:val="0"/>
                                    <w:snapToGrid w:val="0"/>
                                    <w:spacing w:line="360" w:lineRule="auto"/>
                                    <w:rPr>
                                      <w:rFonts w:hint="eastAsia" w:ascii="黑体" w:hAnsi="黑体" w:eastAsia="黑体" w:cs="Times New Roman"/>
                                      <w:b/>
                                      <w:color w:val="FF0000"/>
                                      <w:kern w:val="0"/>
                                      <w:sz w:val="15"/>
                                      <w:szCs w:val="15"/>
                                      <w:lang w:val="en-US" w:eastAsia="zh-CN"/>
                                    </w:rPr>
                                  </w:pPr>
                                  <w:r>
                                    <w:rPr>
                                      <w:rFonts w:hint="eastAsia" w:ascii="黑体" w:hAnsi="黑体" w:eastAsia="黑体" w:cs="Times New Roman"/>
                                      <w:b/>
                                      <w:color w:val="FF0000"/>
                                      <w:kern w:val="0"/>
                                      <w:sz w:val="15"/>
                                      <w:szCs w:val="15"/>
                                    </w:rPr>
                                    <w:t>本</w:t>
                                  </w:r>
                                  <w:r>
                                    <w:rPr>
                                      <w:rFonts w:hint="eastAsia" w:ascii="黑体" w:hAnsi="黑体" w:eastAsia="黑体" w:cs="Times New Roman"/>
                                      <w:b/>
                                      <w:color w:val="FF0000"/>
                                      <w:kern w:val="0"/>
                                      <w:sz w:val="15"/>
                                      <w:szCs w:val="15"/>
                                      <w:lang w:val="en-US" w:eastAsia="zh-CN"/>
                                    </w:rPr>
                                    <w:t>地块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6.65pt;margin-top:80.5pt;height:19.45pt;width:54.45pt;z-index:251666432;mso-width-relative:page;mso-height-relative:page;" filled="f" stroked="f" coordsize="21600,21600" o:gfxdata="UEsDBAoAAAAAAIdO4kAAAAAAAAAAAAAAAAAEAAAAZHJzL1BLAwQUAAAACACHTuJASyVzmNsAAAAL&#10;AQAADwAAAGRycy9kb3ducmV2LnhtbE2PzU7DMBCE70i8g7VI3KgTV5QkjVOhSBUSgkNLL9yc2E2i&#10;2usQuz/w9CynctvZHc1+U64uzrKTmcLgUUI6S4AZbL0esJOw+1g/ZMBCVKiV9WgkfJsAq+r2plSF&#10;9mfcmNM2doxCMBRKQh/jWHAe2t44FWZ+NEi3vZ+ciiSnjutJnSncWS6SZMGdGpA+9Go0dW/aw/bo&#10;JLzW63e1aYTLfmz98rZ/Hr92n49S3t+lyRJYNJd4NcMfPqFDRUyNP6IOzJJ+ms/JSsMipVLkEJkQ&#10;wBra5HkOvCr5/w7VL1BLAwQUAAAACACHTuJAyQJIEDwCAABpBAAADgAAAGRycy9lMm9Eb2MueG1s&#10;rVTNbhMxEL4j8Q6W73STkPQn6qYKrYqQKlqpIM6O19tdyfYY2+lueQB4g564cOe5+hx89iZpVTj0&#10;wMUZz8x+4++bmRyf9EazW+VDS7bk470RZ8pKqlp7U/LPn87fHHIWorCV0GRVye9U4CeL16+OOzdX&#10;E2pIV8ozgNgw71zJmxjdvCiCbJQRYY+csgjW5I2IuPqbovKiA7rRxWQ02i868pXzJFUI8J4NQb5B&#10;9C8BpLpupTojuTbKxgHVKy0iKIWmdYEv8mvrWsl4WddBRaZLDqYxnygCe5XOYnEs5jdeuKaVmyeI&#10;lzzhGScjWouiO6gzEQVb+/YvKNNKT4HquCfJFAORrAhYjEfPtLluhFOZC6QObid6+H+w8uPtlWdt&#10;VfLJITSxwqDlD/c/Hn7+fvj1nSUnJOpcmCPz2iE39u+ox+Bs/QHOxLyvvUm/4MQQB9jdTmDVRybh&#10;3D8az8YzziRCk+nBCDbQi8ePnQ/xvSLDklFyj/5lWcXtRYhD6jYl1bJ03mqde6gt61Dg7WyUP9hF&#10;AK4taiQKw1OTFftVv+G1ouoOtDwNsxGcPG9R/EKEeCU8hgFMsC7xEketCUVoY3HWkP/2L3/KR48Q&#10;5azDcJU8fF0LrzjTHyy6dzSeTgEb82U6O5jg4p9GVk8jdm1OCfM7xmI6mc2UH/XWrD2ZL9iqZaqK&#10;kLAStUset+ZpHEYeWynVcpmTMH9OxAt77WSCHuRcriPVbVY6yTRos1EPE5h7tdmWNOJP7znr8R9i&#10;8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LJXOY2wAAAAsBAAAPAAAAAAAAAAEAIAAAACIAAABk&#10;cnMvZG93bnJldi54bWxQSwECFAAUAAAACACHTuJAyQJIEDwCAABpBAAADgAAAAAAAAABACAAAAAq&#10;AQAAZHJzL2Uyb0RvYy54bWxQSwUGAAAAAAYABgBZAQAA2AUAAAAA&#10;">
                      <v:fill on="f" focussize="0,0"/>
                      <v:stroke on="f" weight="0.5pt"/>
                      <v:imagedata o:title=""/>
                      <o:lock v:ext="edit" aspectratio="f"/>
                      <v:textbox>
                        <w:txbxContent>
                          <w:p>
                            <w:pPr>
                              <w:widowControl/>
                              <w:adjustRightInd w:val="0"/>
                              <w:snapToGrid w:val="0"/>
                              <w:spacing w:line="360" w:lineRule="auto"/>
                              <w:rPr>
                                <w:rFonts w:hint="eastAsia" w:ascii="黑体" w:hAnsi="黑体" w:eastAsia="黑体" w:cs="Times New Roman"/>
                                <w:b/>
                                <w:color w:val="FF0000"/>
                                <w:kern w:val="0"/>
                                <w:sz w:val="15"/>
                                <w:szCs w:val="15"/>
                                <w:lang w:val="en-US" w:eastAsia="zh-CN"/>
                              </w:rPr>
                            </w:pPr>
                            <w:r>
                              <w:rPr>
                                <w:rFonts w:hint="eastAsia" w:ascii="黑体" w:hAnsi="黑体" w:eastAsia="黑体" w:cs="Times New Roman"/>
                                <w:b/>
                                <w:color w:val="FF0000"/>
                                <w:kern w:val="0"/>
                                <w:sz w:val="15"/>
                                <w:szCs w:val="15"/>
                              </w:rPr>
                              <w:t>本</w:t>
                            </w:r>
                            <w:r>
                              <w:rPr>
                                <w:rFonts w:hint="eastAsia" w:ascii="黑体" w:hAnsi="黑体" w:eastAsia="黑体" w:cs="Times New Roman"/>
                                <w:b/>
                                <w:color w:val="FF0000"/>
                                <w:kern w:val="0"/>
                                <w:sz w:val="15"/>
                                <w:szCs w:val="15"/>
                                <w:lang w:val="en-US" w:eastAsia="zh-CN"/>
                              </w:rPr>
                              <w:t>地块</w:t>
                            </w:r>
                          </w:p>
                        </w:txbxContent>
                      </v:textbox>
                    </v:shape>
                  </w:pict>
                </mc:Fallback>
              </mc:AlternateContent>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212090</wp:posOffset>
                      </wp:positionH>
                      <wp:positionV relativeFrom="paragraph">
                        <wp:posOffset>1666240</wp:posOffset>
                      </wp:positionV>
                      <wp:extent cx="856615" cy="462915"/>
                      <wp:effectExtent l="0" t="0" r="0" b="0"/>
                      <wp:wrapNone/>
                      <wp:docPr id="42" name="文本框 42"/>
                      <wp:cNvGraphicFramePr/>
                      <a:graphic xmlns:a="http://schemas.openxmlformats.org/drawingml/2006/main">
                        <a:graphicData uri="http://schemas.microsoft.com/office/word/2010/wordprocessingShape">
                          <wps:wsp>
                            <wps:cNvSpPr txBox="1"/>
                            <wps:spPr>
                              <a:xfrm rot="20361195">
                                <a:off x="0" y="0"/>
                                <a:ext cx="856615" cy="462915"/>
                              </a:xfrm>
                              <a:prstGeom prst="rect">
                                <a:avLst/>
                              </a:prstGeom>
                              <a:noFill/>
                              <a:ln w="6350">
                                <a:noFill/>
                              </a:ln>
                            </wps:spPr>
                            <wps:txbx>
                              <w:txbxContent>
                                <w:p>
                                  <w:pPr>
                                    <w:widowControl/>
                                    <w:adjustRightInd w:val="0"/>
                                    <w:snapToGrid w:val="0"/>
                                    <w:spacing w:line="360" w:lineRule="auto"/>
                                    <w:rPr>
                                      <w:rFonts w:hint="eastAsia"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w:t>
                                  </w:r>
                                  <w:r>
                                    <w:rPr>
                                      <w:rFonts w:hint="eastAsia" w:ascii="黑体" w:hAnsi="黑体" w:eastAsia="黑体" w:cs="Times New Roman"/>
                                      <w:b/>
                                      <w:color w:val="FFFF00"/>
                                      <w:kern w:val="0"/>
                                      <w:sz w:val="15"/>
                                      <w:szCs w:val="15"/>
                                      <w:lang w:val="en-US" w:eastAsia="zh-CN"/>
                                    </w:rPr>
                                    <w:t>平整</w:t>
                                  </w:r>
                                  <w:r>
                                    <w:rPr>
                                      <w:rFonts w:hint="eastAsia" w:ascii="黑体" w:hAnsi="黑体" w:eastAsia="黑体" w:cs="Times New Roman"/>
                                      <w:b/>
                                      <w:color w:val="FFFF00"/>
                                      <w:kern w:val="0"/>
                                      <w:sz w:val="15"/>
                                      <w:szCs w:val="15"/>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pt;margin-top:131.2pt;height:36.45pt;width:67.45pt;rotation:-1353105f;z-index:251662336;mso-width-relative:page;mso-height-relative:page;" filled="f" stroked="f" coordsize="21600,21600" o:gfxdata="UEsDBAoAAAAAAIdO4kAAAAAAAAAAAAAAAAAEAAAAZHJzL1BLAwQUAAAACACHTuJAmEw+utYAAAAK&#10;AQAADwAAAGRycy9kb3ducmV2LnhtbE2PPU/DMBCGdyT+g3VIbNRpXKI2jVMhBGFhobCwufGRBOJz&#10;FLtt+PdcJrrd6X30fhS7yfXihGPoPGlYLhIQSLW3HTUaPt6f79YgQjRkTe8JNfxigF15fVWY3Poz&#10;veFpHxvBJhRyo6GNccilDHWLzoSFH5BY+/KjM5HfsZF2NGc2d71MkySTznTECa0Z8LHF+md/dJyr&#10;NlWokF6/H6qwmrqXT/XkB61vb5bJFkTEKf7DMNfn6lByp4M/kg2i16DUikkNaZbyMQPZWoE4zMq9&#10;AlkW8nJC+QdQSwMEFAAAAAgAh07iQEWIMHFGAgAAdgQAAA4AAABkcnMvZTJvRG9jLnhtbK1UzW4T&#10;MRC+I/EOlu9ks2kS2qibKrQqQopopYI4O15vdiX/YTvZDQ8Ab8CJC3eeK8/BZ28SqsKhBy7WeGb2&#10;m/m+Ge/lVack2QrnG6MLmg+GlAjNTdnodUE/frh9dU6JD0yXTBotCroTnl7NX764bO1MjExtZCkc&#10;AYj2s9YWtA7BzrLM81oo5gfGCo1gZZxiAVe3zkrHWqArmY2Gw2nWGldaZ7jwHt6bPkgPiO45gKaq&#10;Gi5uDN8ooUOP6oRkAZR83VhP56nbqhI83FWVF4HIgoJpSCeKwF7FM5tfstnaMVs3/NACe04LTzgp&#10;1mgUPUHdsMDIxjV/QamGO+NNFQbcqKwnkhQBi3z4RJuHmlmRuEBqb0+i+/8Hy99v7x1pyoKOR5Ro&#10;pjDx/fdv+x+/9j+/EvggUGv9DHkPFpmhe2M6rM3R7+GMvLvKKeIM9B0Nz6Z5fjFJcoAgQTrU3p3U&#10;Fl0gHM7zyXSaTyjhCI2nowvYKJb1WBHTOh/eCqNINArqMMwEyrZLH/rUY0pM1+a2kTINVGrSFnR6&#10;NhmmD04RgEuNGpFR33m0QrfqDjRXptyBZSKCpr3ltw2KL5kP98xhM+DE2wl3OCppUMQcLEpq4778&#10;yx/zMTBEKWmxaQX1nzfMCUrkO41RXuTjMWBDuownr0e4uMeR1eOI3qhrg2XOU3fJjPlBHs3KGfUJ&#10;T2wRqyLENEftgoajeR36/ccT5WKxSElYRsvCUj9YHqF7ORebYKomKR1l6rU5qId1TLM6PJ2474/v&#10;KevP72L+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hMPrrWAAAACgEAAA8AAAAAAAAAAQAgAAAA&#10;IgAAAGRycy9kb3ducmV2LnhtbFBLAQIUABQAAAAIAIdO4kBFiDBxRgIAAHYEAAAOAAAAAAAAAAEA&#10;IAAAACUBAABkcnMvZTJvRG9jLnhtbFBLBQYAAAAABgAGAFkBAADdBQAAAAA=&#10;">
                      <v:fill on="f" focussize="0,0"/>
                      <v:stroke on="f" weight="0.5pt"/>
                      <v:imagedata o:title=""/>
                      <o:lock v:ext="edit" aspectratio="f"/>
                      <v:textbox>
                        <w:txbxContent>
                          <w:p>
                            <w:pPr>
                              <w:widowControl/>
                              <w:adjustRightInd w:val="0"/>
                              <w:snapToGrid w:val="0"/>
                              <w:spacing w:line="360" w:lineRule="auto"/>
                              <w:rPr>
                                <w:rFonts w:hint="eastAsia"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w:t>
                            </w:r>
                            <w:r>
                              <w:rPr>
                                <w:rFonts w:hint="eastAsia" w:ascii="黑体" w:hAnsi="黑体" w:eastAsia="黑体" w:cs="Times New Roman"/>
                                <w:b/>
                                <w:color w:val="FFFF00"/>
                                <w:kern w:val="0"/>
                                <w:sz w:val="15"/>
                                <w:szCs w:val="15"/>
                                <w:lang w:val="en-US" w:eastAsia="zh-CN"/>
                              </w:rPr>
                              <w:t>平整</w:t>
                            </w:r>
                            <w:r>
                              <w:rPr>
                                <w:rFonts w:hint="eastAsia" w:ascii="黑体" w:hAnsi="黑体" w:eastAsia="黑体" w:cs="Times New Roman"/>
                                <w:b/>
                                <w:color w:val="FFFF00"/>
                                <w:kern w:val="0"/>
                                <w:sz w:val="15"/>
                                <w:szCs w:val="15"/>
                              </w:rPr>
                              <w:t>）</w:t>
                            </w:r>
                          </w:p>
                        </w:txbxContent>
                      </v:textbox>
                    </v:shape>
                  </w:pict>
                </mc:Fallback>
              </mc:AlternateContent>
            </w:r>
            <w:r>
              <w:rPr>
                <w:rFonts w:ascii="Times New Roman" w:hAnsi="Times New Roman" w:eastAsia="宋体" w:cs="Times New Roman"/>
                <w:kern w:val="2"/>
                <w:szCs w:val="21"/>
                <w:lang w:val="en-US" w:eastAsia="zh-CN" w:bidi="ar-SA"/>
              </w:rPr>
              <w:drawing>
                <wp:anchor distT="0" distB="0" distL="114300" distR="114300" simplePos="0" relativeHeight="251683840" behindDoc="0" locked="0" layoutInCell="1" allowOverlap="1">
                  <wp:simplePos x="0" y="0"/>
                  <wp:positionH relativeFrom="column">
                    <wp:posOffset>2139315</wp:posOffset>
                  </wp:positionH>
                  <wp:positionV relativeFrom="paragraph">
                    <wp:posOffset>90170</wp:posOffset>
                  </wp:positionV>
                  <wp:extent cx="396240" cy="408305"/>
                  <wp:effectExtent l="9525" t="9525" r="13335" b="20320"/>
                  <wp:wrapNone/>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10"/>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2588260" cy="2649855"/>
                  <wp:effectExtent l="0" t="0" r="0" b="0"/>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4"/>
                          <pic:cNvPicPr>
                            <a:picLocks noChangeAspect="1"/>
                          </pic:cNvPicPr>
                        </pic:nvPicPr>
                        <pic:blipFill>
                          <a:blip r:embed="rId30"/>
                          <a:srcRect l="19858" r="19962"/>
                          <a:stretch>
                            <a:fillRect/>
                          </a:stretch>
                        </pic:blipFill>
                        <pic:spPr>
                          <a:xfrm>
                            <a:off x="0" y="0"/>
                            <a:ext cx="2588260" cy="2649855"/>
                          </a:xfrm>
                          <a:prstGeom prst="rect">
                            <a:avLst/>
                          </a:prstGeom>
                          <a:noFill/>
                          <a:ln>
                            <a:noFill/>
                          </a:ln>
                        </pic:spPr>
                      </pic:pic>
                    </a:graphicData>
                  </a:graphic>
                </wp:inline>
              </w:drawing>
            </w:r>
          </w:p>
          <w:p>
            <w:pPr>
              <w:widowControl w:val="0"/>
              <w:adjustRightInd w:val="0"/>
              <w:snapToGrid w:val="0"/>
              <w:spacing w:before="97" w:beforeLines="30" w:line="312"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16</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7</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8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变化情况</w:t>
            </w:r>
          </w:p>
        </w:tc>
        <w:tc>
          <w:tcPr>
            <w:tcW w:w="7066" w:type="dxa"/>
            <w:gridSpan w:val="4"/>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240" w:lineRule="auto"/>
              <w:ind w:left="-120" w:leftChars="-50" w:right="-120" w:rightChars="-50" w:firstLine="210" w:firstLineChars="100"/>
              <w:jc w:val="both"/>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南侧：原坑塘填平、场地平整</w:t>
            </w:r>
            <w:r>
              <w:rPr>
                <w:rFonts w:hint="eastAsia"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79" w:type="dxa"/>
            <w:gridSpan w:val="3"/>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84864" behindDoc="0" locked="0" layoutInCell="1" allowOverlap="1">
                  <wp:simplePos x="0" y="0"/>
                  <wp:positionH relativeFrom="column">
                    <wp:posOffset>2139315</wp:posOffset>
                  </wp:positionH>
                  <wp:positionV relativeFrom="paragraph">
                    <wp:posOffset>87630</wp:posOffset>
                  </wp:positionV>
                  <wp:extent cx="396240" cy="408305"/>
                  <wp:effectExtent l="9525" t="9525" r="13335" b="20320"/>
                  <wp:wrapNone/>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595630</wp:posOffset>
                      </wp:positionH>
                      <wp:positionV relativeFrom="paragraph">
                        <wp:posOffset>1700530</wp:posOffset>
                      </wp:positionV>
                      <wp:extent cx="691515" cy="247015"/>
                      <wp:effectExtent l="0" t="0" r="0" b="0"/>
                      <wp:wrapNone/>
                      <wp:docPr id="216" name="文本框 216"/>
                      <wp:cNvGraphicFramePr/>
                      <a:graphic xmlns:a="http://schemas.openxmlformats.org/drawingml/2006/main">
                        <a:graphicData uri="http://schemas.microsoft.com/office/word/2010/wordprocessingShape">
                          <wps:wsp>
                            <wps:cNvSpPr txBox="1"/>
                            <wps:spPr>
                              <a:xfrm rot="305108">
                                <a:off x="0" y="0"/>
                                <a:ext cx="691515"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133.9pt;height:19.45pt;width:54.45pt;rotation:333259f;z-index:251673600;mso-width-relative:page;mso-height-relative:page;" filled="f" stroked="f" coordsize="21600,21600" o:gfxdata="UEsDBAoAAAAAAIdO4kAAAAAAAAAAAAAAAAAEAAAAZHJzL1BLAwQUAAAACACHTuJAI8XYc9cAAAAK&#10;AQAADwAAAGRycy9kb3ducmV2LnhtbE2PwWrDMBBE74X+g9hAb40UB2zHsRxKoFDoyWl6ly3VNrZW&#10;RlLs9O+7PbW3HXaYeVOe7nZii/FhcChhtxXADLZOD9hJuH68PufAQlSo1eTQSPg2AU7V40OpCu1W&#10;rM1yiR2jEAyFktDHOBech7Y3VoWtmw3S78t5qyJJ33Ht1UrhduKJECm3akBq6NVszr1px8vNSvhc&#10;hlHXdTg3hx7zN//+MubtKuXTZieOwKK5xz8z/OITOlTE1Lgb6sAmCYc9kUcJSZrRQYZEJBmwRsJe&#10;pBnwquT/J1Q/UEsDBBQAAAAIAIdO4kBIyCb/RQIAAHYEAAAOAAAAZHJzL2Uyb0RvYy54bWytVEtu&#10;2zAQ3RfoHQjuG0mO7SRG5MBNkKKA0QRIi65piooE8FeStuQeoL1BVt1033PlHH2kbDdIu8iiG2I4&#10;M3oz781Q5xe9kmQjnG+NLmlxlFMiNDdVq+9L+unj9ZtTSnxgumLSaFHSrfD0Yv761XlnZ2JkGiMr&#10;4QhAtJ91tqRNCHaWZZ43QjF/ZKzQCNbGKRZwdfdZ5VgHdCWzUZ5Ps864yjrDhffwXg1BukN0LwE0&#10;dd1ycWX4WgkdBlQnJAug5JvWejpP3da14OGmrr0IRJYUTEM6UQT2Kp7Z/JzN7h2zTct3LbCXtPCM&#10;k2KtRtED1BULjKxd+xeUarkz3tThiBuVDUSSImBR5M+0uWuYFYkLpPb2ILr/f7D8w+bWkbYq6aiY&#10;UqKZwsgfH74//vj1+PMbiU5I1Fk/Q+adRW7o35oei7P3ezgj8752ijgDhY/zSZGfJjlAkCAZam8P&#10;aos+EA7n9KyYFBNKOEKj8UkOG6WyASkiWufDO2EUiUZJHYaZQNlm6cOQuk+J6dpct1KmgUpNOhQ4&#10;nuTpg0ME4FKjRuQz9B2t0K/6HcmVqbbgmGigaW/5dYviS+bDLXPYDDjxdsINjloaFDE7i5LGuK//&#10;8sd8DAxRSjpsWkn9lzVzghL5XmOUZ8V4DNiQLuPJyQgX9zSyehrRa3VpsMxF6i6ZMT/IvVk7oz7j&#10;iS1iVYSY5qhd0rA3L8Ow/3iiXCwWKQnLaFlY6jvLI/Qg52IdTN0mpaNMgzY79bCOaVa7pxP3/ek9&#10;Zf35Xc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PF2HPXAAAACgEAAA8AAAAAAAAAAQAgAAAA&#10;IgAAAGRycy9kb3ducmV2LnhtbFBLAQIUABQAAAAIAIdO4kBIyCb/RQIAAHYEAAAOAAAAAAAAAAEA&#10;IAAAACYBAABkcnMvZTJvRG9jLnhtbFBLBQYAAAAABgAGAFkBAADdBQ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txbxContent>
                      </v:textbox>
                    </v:shape>
                  </w:pict>
                </mc:Fallback>
              </mc:AlternateContent>
            </w:r>
            <w:r>
              <w:drawing>
                <wp:inline distT="0" distB="0" distL="114300" distR="114300">
                  <wp:extent cx="2571750" cy="2343150"/>
                  <wp:effectExtent l="0" t="0" r="0" b="0"/>
                  <wp:docPr id="5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pic:cNvPicPr>
                            <a:picLocks noChangeAspect="1"/>
                          </pic:cNvPicPr>
                        </pic:nvPicPr>
                        <pic:blipFill>
                          <a:blip r:embed="rId31"/>
                          <a:srcRect l="12856" t="3679" r="13185" b="15999"/>
                          <a:stretch>
                            <a:fillRect/>
                          </a:stretch>
                        </pic:blipFill>
                        <pic:spPr>
                          <a:xfrm>
                            <a:off x="0" y="0"/>
                            <a:ext cx="2571750" cy="2343150"/>
                          </a:xfrm>
                          <a:prstGeom prst="rect">
                            <a:avLst/>
                          </a:prstGeom>
                          <a:noFill/>
                          <a:ln>
                            <a:noFill/>
                          </a:ln>
                        </pic:spPr>
                      </pic:pic>
                    </a:graphicData>
                  </a:graphic>
                </wp:inline>
              </w:drawing>
            </w:r>
          </w:p>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16</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12</w:t>
            </w:r>
            <w:r>
              <w:rPr>
                <w:rFonts w:hint="eastAsia" w:ascii="Times New Roman" w:hAnsi="Times New Roman" w:eastAsia="宋体" w:cs="Times New Roman"/>
                <w:kern w:val="2"/>
                <w:sz w:val="21"/>
                <w:szCs w:val="21"/>
                <w:lang w:val="en-US" w:eastAsia="zh-CN" w:bidi="ar-SA"/>
              </w:rPr>
              <w:t>月卫星影像</w:t>
            </w:r>
          </w:p>
        </w:tc>
        <w:tc>
          <w:tcPr>
            <w:tcW w:w="4271" w:type="dxa"/>
            <w:gridSpan w:val="2"/>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pPr>
            <w:r>
              <w:rPr>
                <w:rFonts w:ascii="Times New Roman" w:hAnsi="Times New Roman" w:eastAsia="宋体" w:cs="Times New Roman"/>
                <w:kern w:val="2"/>
                <w:szCs w:val="21"/>
                <w:lang w:val="en-US" w:eastAsia="zh-CN" w:bidi="ar-SA"/>
              </w:rPr>
              <w:drawing>
                <wp:anchor distT="0" distB="0" distL="114300" distR="114300" simplePos="0" relativeHeight="251685888" behindDoc="0" locked="0" layoutInCell="1" allowOverlap="1">
                  <wp:simplePos x="0" y="0"/>
                  <wp:positionH relativeFrom="column">
                    <wp:posOffset>2177415</wp:posOffset>
                  </wp:positionH>
                  <wp:positionV relativeFrom="paragraph">
                    <wp:posOffset>84455</wp:posOffset>
                  </wp:positionV>
                  <wp:extent cx="396240" cy="408305"/>
                  <wp:effectExtent l="9525" t="9525" r="13335" b="20320"/>
                  <wp:wrapNone/>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1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379095</wp:posOffset>
                      </wp:positionH>
                      <wp:positionV relativeFrom="paragraph">
                        <wp:posOffset>1285240</wp:posOffset>
                      </wp:positionV>
                      <wp:extent cx="782955" cy="433070"/>
                      <wp:effectExtent l="0" t="0" r="0" b="0"/>
                      <wp:wrapNone/>
                      <wp:docPr id="221" name="文本框 221"/>
                      <wp:cNvGraphicFramePr/>
                      <a:graphic xmlns:a="http://schemas.openxmlformats.org/drawingml/2006/main">
                        <a:graphicData uri="http://schemas.microsoft.com/office/word/2010/wordprocessingShape">
                          <wps:wsp>
                            <wps:cNvSpPr txBox="1"/>
                            <wps:spPr>
                              <a:xfrm rot="21280662">
                                <a:off x="0" y="0"/>
                                <a:ext cx="782955" cy="433070"/>
                              </a:xfrm>
                              <a:prstGeom prst="rect">
                                <a:avLst/>
                              </a:prstGeom>
                              <a:noFill/>
                              <a:ln w="6350">
                                <a:noFill/>
                              </a:ln>
                            </wps:spPr>
                            <wps:txbx>
                              <w:txbxContent>
                                <w:p>
                                  <w:pPr>
                                    <w:widowControl/>
                                    <w:adjustRightInd w:val="0"/>
                                    <w:snapToGrid w:val="0"/>
                                    <w:spacing w:line="360" w:lineRule="auto"/>
                                    <w:rPr>
                                      <w:rFonts w:hint="eastAsia"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w:t>
                                  </w:r>
                                  <w:r>
                                    <w:rPr>
                                      <w:rFonts w:hint="eastAsia" w:ascii="黑体" w:hAnsi="黑体" w:eastAsia="黑体" w:cs="Times New Roman"/>
                                      <w:b/>
                                      <w:color w:val="FFFF00"/>
                                      <w:kern w:val="0"/>
                                      <w:sz w:val="15"/>
                                      <w:szCs w:val="15"/>
                                      <w:lang w:val="en-US" w:eastAsia="zh-CN"/>
                                    </w:rPr>
                                    <w:t>统领傢俬</w:t>
                                  </w:r>
                                  <w:r>
                                    <w:rPr>
                                      <w:rFonts w:hint="eastAsia" w:ascii="黑体" w:hAnsi="黑体" w:eastAsia="黑体" w:cs="Times New Roman"/>
                                      <w:b/>
                                      <w:color w:val="FFFF00"/>
                                      <w:kern w:val="0"/>
                                      <w:sz w:val="15"/>
                                      <w:szCs w:val="15"/>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5pt;margin-top:101.2pt;height:34.1pt;width:61.65pt;rotation:-348802f;z-index:251674624;mso-width-relative:page;mso-height-relative:page;" filled="f" stroked="f" coordsize="21600,21600" o:gfxdata="UEsDBAoAAAAAAIdO4kAAAAAAAAAAAAAAAAAEAAAAZHJzL1BLAwQUAAAACACHTuJA40uDSdcAAAAK&#10;AQAADwAAAGRycy9kb3ducmV2LnhtbE2PPU/DMBCGdyT+g3VILIjaCfSDEKcDqEwsLQyMrn0kUeNz&#10;FDtp+PdcJxjv7tF7z1tuZ9+JCYfYBtKQLRQIJBtcS7WGz4/d/QZETIac6QKhhh+MsK2ur0pTuHCm&#10;PU6HVAsOoVgYDU1KfSFltA16ExehR+Lbdxi8STwOtXSDOXO472Su1Ep60xJ/aEyPLw3a02H0Gsbl&#10;bs7ep9fw9ba3IZGMd+pktb69ydQziIRz+oPhos/qULHTMYzkoug0LJ/WTGrIVf4I4gJsHrjckTdr&#10;tQJZlfJ/heoXUEsDBBQAAAAIAIdO4kDuzyPFSgIAAHgEAAAOAAAAZHJzL2Uyb0RvYy54bWytVEtu&#10;2zAQ3RfoHQjuG8mK7TiG5cBNkKJA0ARIi65piooE8FeSjpQeoL1BVt1033PlHH2kbNdIu8iiG2I4&#10;M3oz781Qi7NeSXIvnG+NLunoKKdEaG6qVt+V9NPHyzczSnxgumLSaFHSB+Hp2fL1q0Vn56IwjZGV&#10;cAQg2s87W9ImBDvPMs8boZg/MlZoBGvjFAu4uruscqwDupJZkefTrDOuss5w4T28F0OQbhHdSwBN&#10;XbdcXBi+UUKHAdUJyQIo+aa1ni5Tt3UteLiuay8CkSUF05BOFIG9jme2XLD5nWO2afm2BfaSFp5x&#10;UqzVKLqHumCBkY1r/4JSLXfGmzoccaOygUhSBCxG+TNtbhtmReICqb3di+7/Hyz/cH/jSFuVtChG&#10;lGimMPKnx+9PP349/fxGohMSddbPkXlrkRv6t6bH4uz8Hs7IvK+dIs5A4WJUzPLptEiCgCJBOvR+&#10;2Ost+kA4nCez4nQyoYQjND4+zk/SPLIBK2Ja58M7YRSJRkkdxplA2f2VD+gLqbuUmK7NZStlGqnU&#10;pCvp9HiSpw/2EXwhNT6MjIbOoxX6db+luTbVA1gmImjaW37ZovgV8+GGOewGnHg94RpHLQ2KmK1F&#10;SWPc13/5Yz5GhiglHXatpP7LhjlBiXyvMczT0XgM2JAu48lJgYs7jKwPI3qjzg3WGeNCd8mM+UHu&#10;zNoZ9RmPbBWrIsQ0R+2Shp15HoYXgEfKxWqVkrCOloUrfWt5hB7kXG2CqdukdJRp0GarHhYyDWD7&#10;eOLGH95T1p8fxv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40uDSdcAAAAKAQAADwAAAAAAAAAB&#10;ACAAAAAiAAAAZHJzL2Rvd25yZXYueG1sUEsBAhQAFAAAAAgAh07iQO7PI8VKAgAAeAQAAA4AAAAA&#10;AAAAAQAgAAAAJgEAAGRycy9lMm9Eb2MueG1sUEsFBgAAAAAGAAYAWQEAAOIFAAAAAA==&#10;">
                      <v:fill on="f" focussize="0,0"/>
                      <v:stroke on="f" weight="0.5pt"/>
                      <v:imagedata o:title=""/>
                      <o:lock v:ext="edit" aspectratio="f"/>
                      <v:textbox>
                        <w:txbxContent>
                          <w:p>
                            <w:pPr>
                              <w:widowControl/>
                              <w:adjustRightInd w:val="0"/>
                              <w:snapToGrid w:val="0"/>
                              <w:spacing w:line="360" w:lineRule="auto"/>
                              <w:rPr>
                                <w:rFonts w:hint="eastAsia"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w:t>
                            </w:r>
                            <w:r>
                              <w:rPr>
                                <w:rFonts w:hint="eastAsia" w:ascii="黑体" w:hAnsi="黑体" w:eastAsia="黑体" w:cs="Times New Roman"/>
                                <w:b/>
                                <w:color w:val="FFFF00"/>
                                <w:kern w:val="0"/>
                                <w:sz w:val="15"/>
                                <w:szCs w:val="15"/>
                                <w:lang w:val="en-US" w:eastAsia="zh-CN"/>
                              </w:rPr>
                              <w:t>统领傢俬</w:t>
                            </w:r>
                            <w:r>
                              <w:rPr>
                                <w:rFonts w:hint="eastAsia" w:ascii="黑体" w:hAnsi="黑体" w:eastAsia="黑体" w:cs="Times New Roman"/>
                                <w:b/>
                                <w:color w:val="FFFF00"/>
                                <w:kern w:val="0"/>
                                <w:sz w:val="15"/>
                                <w:szCs w:val="15"/>
                              </w:rPr>
                              <w:t>）</w:t>
                            </w:r>
                          </w:p>
                        </w:txbxContent>
                      </v:textbox>
                    </v:shape>
                  </w:pict>
                </mc:Fallback>
              </mc:AlternateContent>
            </w:r>
            <w:r>
              <w:drawing>
                <wp:inline distT="0" distB="0" distL="114300" distR="114300">
                  <wp:extent cx="2664460" cy="2374900"/>
                  <wp:effectExtent l="0" t="0" r="2540" b="6350"/>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pic:cNvPicPr>
                            <a:picLocks noChangeAspect="1"/>
                          </pic:cNvPicPr>
                        </pic:nvPicPr>
                        <pic:blipFill>
                          <a:blip r:embed="rId32"/>
                          <a:stretch>
                            <a:fillRect/>
                          </a:stretch>
                        </pic:blipFill>
                        <pic:spPr>
                          <a:xfrm>
                            <a:off x="0" y="0"/>
                            <a:ext cx="2664460" cy="2374900"/>
                          </a:xfrm>
                          <a:prstGeom prst="rect">
                            <a:avLst/>
                          </a:prstGeom>
                          <a:noFill/>
                          <a:ln>
                            <a:noFill/>
                          </a:ln>
                        </pic:spPr>
                      </pic:pic>
                    </a:graphicData>
                  </a:graphic>
                </wp:inline>
              </w:drawing>
            </w:r>
          </w:p>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17</w:t>
            </w:r>
            <w:r>
              <w:rPr>
                <w:rFonts w:hint="eastAsia" w:ascii="Times New Roman" w:hAnsi="Times New Roman" w:eastAsia="宋体" w:cs="Times New Roman"/>
                <w:kern w:val="2"/>
                <w:sz w:val="21"/>
                <w:szCs w:val="21"/>
                <w:lang w:val="en-US" w:eastAsia="zh-CN" w:bidi="ar-SA"/>
              </w:rPr>
              <w:t>年1</w:t>
            </w:r>
            <w:r>
              <w:rPr>
                <w:rFonts w:hint="eastAsia"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84" w:type="dxa"/>
            <w:vAlign w:val="center"/>
          </w:tcPr>
          <w:p>
            <w:pPr>
              <w:widowControl w:val="0"/>
              <w:adjustRightInd w:val="0"/>
              <w:snapToGrid w:val="0"/>
              <w:spacing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变化情况</w:t>
            </w:r>
          </w:p>
        </w:tc>
        <w:tc>
          <w:tcPr>
            <w:tcW w:w="7066" w:type="dxa"/>
            <w:gridSpan w:val="4"/>
            <w:vAlign w:val="center"/>
          </w:tcPr>
          <w:p>
            <w:pPr>
              <w:widowControl w:val="0"/>
              <w:adjustRightInd w:val="0"/>
              <w:snapToGrid w:val="0"/>
              <w:spacing w:line="240" w:lineRule="auto"/>
              <w:ind w:left="-120" w:leftChars="-50" w:right="-120" w:rightChars="-50" w:firstLine="210" w:firstLineChars="100"/>
              <w:jc w:val="both"/>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开始建设宜昌市统领傢俬有限公司生产厂房。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8" w:hRule="atLeast"/>
        </w:trPr>
        <w:tc>
          <w:tcPr>
            <w:tcW w:w="4366" w:type="dxa"/>
            <w:gridSpan w:val="4"/>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312"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455295</wp:posOffset>
                      </wp:positionH>
                      <wp:positionV relativeFrom="paragraph">
                        <wp:posOffset>1353820</wp:posOffset>
                      </wp:positionV>
                      <wp:extent cx="596900" cy="247015"/>
                      <wp:effectExtent l="0" t="0" r="0" b="0"/>
                      <wp:wrapNone/>
                      <wp:docPr id="55" name="文本框 55"/>
                      <wp:cNvGraphicFramePr/>
                      <a:graphic xmlns:a="http://schemas.openxmlformats.org/drawingml/2006/main">
                        <a:graphicData uri="http://schemas.microsoft.com/office/word/2010/wordprocessingShape">
                          <wps:wsp>
                            <wps:cNvSpPr txBox="1"/>
                            <wps:spPr>
                              <a:xfrm rot="21349961">
                                <a:off x="0" y="0"/>
                                <a:ext cx="596900"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5pt;margin-top:106.6pt;height:19.45pt;width:47pt;rotation:-273109f;z-index:251663360;mso-width-relative:page;mso-height-relative:page;" filled="f" stroked="f" coordsize="21600,21600" o:gfxdata="UEsDBAoAAAAAAIdO4kAAAAAAAAAAAAAAAAAEAAAAZHJzL1BLAwQUAAAACACHTuJAiix7mdcAAAAK&#10;AQAADwAAAGRycy9kb3ducmV2LnhtbE2PwU6EMBCG7ya+QzMm3twCumCQsgfjHozxIBrPhY7QQKeE&#10;dnfRp3f2pMf558s/31S71U3iiEuwnhSkmwQEUueNpV7Bx/v+5h5EiJqMnjyhgm8MsKsvLypdGn+i&#10;Nzw2sRdcQqHUCoYY51LK0A3odNj4GYl3X35xOvK49NIs+sTlbpJZkuTSaUt8YdAzPg7Yjc3BKRjt&#10;D+4/W5c/v9ox3MnupXlaC6Wur9LkAUTENf7BcNZndajZqfUHMkFMCoq0YFJBlt5mIM5AvuWk5WSb&#10;pSDrSv5/of4FUEsDBBQAAAAIAIdO4kALe7yzRwIAAHYEAAAOAAAAZHJzL2Uyb0RvYy54bWytVM1u&#10;EzEQviPxDpbvdHfTJCVRN1VoVYRU0UoFcXa83uxK/sN2ulseAN6AExfuPFeeg8/eJESFQw9crPHM&#10;7DfzfTPe84teSfIgnG+NLmlxklMiNDdVq9cl/fjh+tVrSnxgumLSaFHSR+HpxeLli/POzsXINEZW&#10;whGAaD/vbEmbEOw8yzxvhGL+xFihEayNUyzg6tZZ5VgHdCWzUZ5Ps864yjrDhffwXg1BukN0zwE0&#10;dd1ycWX4RgkdBlQnJAug5JvWerpI3da14OG2rr0IRJYUTEM6UQT2Kp7Z4pzN147ZpuW7FthzWnjC&#10;SbFWo+gB6ooFRjau/QtKtdwZb+pwwo3KBiJJEbAo8ifa3DfMisQFUnt7EN3/P1j+/uHOkbYq6WRC&#10;iWYKE99+/7b98Wv78yuBDwJ11s+Rd2+RGfo3psfa7P0ezsi7r50izkDfUXE6ns2mRZIDBAnSofbj&#10;QW3RB8LhnMymsxwRjtBofJYXqVg2YEVM63x4K4wi0SipwzATKHu48QF9IXWfEtO1uW6lTAOVmnQl&#10;nZ5O8vTBIYIvpMaHkdHQebRCv+p3NFemegTLRAStecuvWxS/YT7cMYfNgBNvJ9ziqKVBEbOzKGmM&#10;+/Ivf8zHwBClpMOmldR/3jAnKJHvNEY5K8ZjwIZ0GU/ORri448jqOKI36tJgmYvUXTJjfpB7s3ZG&#10;fcITW8aqCDHNUbukYW9ehmH/8US5WC5TEpbRsnCj7y2P0IOcy00wdZuUjjIN2uzUwzqmAeyeTtz3&#10;43vK+vO7WP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iix7mdcAAAAKAQAADwAAAAAAAAABACAA&#10;AAAiAAAAZHJzL2Rvd25yZXYueG1sUEsBAhQAFAAAAAgAh07iQAt7vLNHAgAAdgQAAA4AAAAAAAAA&#10;AQAgAAAAJgEAAGRycy9lMm9Eb2MueG1sUEsFBgAAAAAGAAYAWQEAAN8FA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txbxContent>
                      </v:textbox>
                    </v:shape>
                  </w:pict>
                </mc:Fallback>
              </mc:AlternateContent>
            </w:r>
            <w:r>
              <w:rPr>
                <w:rFonts w:ascii="Times New Roman" w:hAnsi="Times New Roman" w:eastAsia="宋体" w:cs="Times New Roman"/>
                <w:kern w:val="2"/>
                <w:szCs w:val="21"/>
                <w:lang w:val="en-US" w:eastAsia="zh-CN" w:bidi="ar-SA"/>
              </w:rPr>
              <w:drawing>
                <wp:anchor distT="0" distB="0" distL="114300" distR="114300" simplePos="0" relativeHeight="251686912" behindDoc="0" locked="0" layoutInCell="1" allowOverlap="1">
                  <wp:simplePos x="0" y="0"/>
                  <wp:positionH relativeFrom="column">
                    <wp:posOffset>2222500</wp:posOffset>
                  </wp:positionH>
                  <wp:positionV relativeFrom="paragraph">
                    <wp:posOffset>108585</wp:posOffset>
                  </wp:positionV>
                  <wp:extent cx="396240" cy="408305"/>
                  <wp:effectExtent l="9525" t="9525" r="13335" b="20320"/>
                  <wp:wrapNone/>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1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939165</wp:posOffset>
                      </wp:positionH>
                      <wp:positionV relativeFrom="paragraph">
                        <wp:posOffset>885190</wp:posOffset>
                      </wp:positionV>
                      <wp:extent cx="691515" cy="247015"/>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691515"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b/>
                                      <w:color w:val="FF0000"/>
                                      <w:kern w:val="0"/>
                                      <w:sz w:val="15"/>
                                      <w:szCs w:val="15"/>
                                    </w:rPr>
                                  </w:pPr>
                                  <w:r>
                                    <w:rPr>
                                      <w:rFonts w:hint="eastAsia" w:ascii="黑体" w:hAnsi="黑体" w:eastAsia="黑体" w:cs="Times New Roman"/>
                                      <w:b/>
                                      <w:color w:val="FF0000"/>
                                      <w:kern w:val="0"/>
                                      <w:sz w:val="15"/>
                                      <w:szCs w:val="15"/>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95pt;margin-top:69.7pt;height:19.45pt;width:54.45pt;z-index:251671552;mso-width-relative:page;mso-height-relative:page;" filled="f" stroked="f" coordsize="21600,21600" o:gfxdata="UEsDBAoAAAAAAIdO4kAAAAAAAAAAAAAAAAAEAAAAZHJzL1BLAwQUAAAACACHTuJAC35lBtwAAAAL&#10;AQAADwAAAGRycy9kb3ducmV2LnhtbE2PS0/DMBCE70j8B2uRuFGn6StN41QoUoWE6KGlF25OvE2i&#10;xusQuw/49SwnuO3sjma/ydY324kLDr51pGA8ikAgVc60VCs4vG+eEhA+aDK6c4QKvtDDOr+/y3Rq&#10;3JV2eNmHWnAI+VQraELoUyl91aDVfuR6JL4d3WB1YDnU0gz6yuG2k3EUzaXVLfGHRvdYNFid9mer&#10;4LXYbPWujG3y3RUvb8fn/vPwMVPq8WEcrUAEvIU/M/ziMzrkzFS6MxkvOtbTxZKtPEyWUxDsiGdz&#10;LlPyZpFMQOaZ/N8h/wFQSwMEFAAAAAgAh07iQOsV8Yo8AgAAaQQAAA4AAABkcnMvZTJvRG9jLnht&#10;bK1UwY7TMBC9I/EPlu80SWl32arpqmxVhFSxKxXE2XWcJpLtMbbbpHwA/AEnLtz5rn4HYyftVguH&#10;PXBxxzOTN35vZjq9bZUke2FdDTqn2SClRGgORa23Of30cfnqDSXOM10wCVrk9CAcvZ29fDFtzEQM&#10;oQJZCEsQRLtJY3JaeW8mSeJ4JRRzAzBCY7AEq5jHq90mhWUNoiuZDNP0KmnAFsYCF86hd9EFaY9o&#10;nwMIZVlzsQC+U0L7DtUKyTxSclVtHJ3F15al4P6+LJ3wROYUmfp4YhG0N+FMZlM22Vpmqpr3T2DP&#10;ecITTorVGoueoRbMM7Kz9V9QquYWHJR+wEElHZGoCLLI0ifarCtmROSCUjtzFt39P1j+Yf9gSV3k&#10;dJiOKNFMYcuPP74ff/4+/vpGghMlaoybYObaYK5v30KLg3PyO3QG5m1pVfhFTgTjKPDhLLBoPeHo&#10;vLrJxtmYEo6h4eg6RRvRk8ePjXX+nQBFgpFTi/2LsrL9yvku9ZQSamlY1lLGHkpNGizwepzGD84R&#10;BJcaawQK3VOD5dtN2/PaQHFAWha62XCGL2ssvmLOPzCLw4BMcF38PR6lBCwCvUVJBfbrv/whH3uE&#10;UUoaHK6cui87ZgUl8r3G7t1ko1GYxngZja+HeLGXkc1lRO/UHeD8ZriYhkcz5Ht5MksL6jNu1TxU&#10;xRDTHGvn1J/MO9+NPG4lF/N5TML5M8yv9NrwAN3JOd95KOuodJCp06ZXDycw9qrfljDil/eY9fgP&#10;Mfs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C35lBtwAAAALAQAADwAAAAAAAAABACAAAAAiAAAA&#10;ZHJzL2Rvd25yZXYueG1sUEsBAhQAFAAAAAgAh07iQOsV8Yo8AgAAaQQAAA4AAAAAAAAAAQAgAAAA&#10;KwEAAGRycy9lMm9Eb2MueG1sUEsFBgAAAAAGAAYAWQEAANkFA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b/>
                                <w:color w:val="FF0000"/>
                                <w:kern w:val="0"/>
                                <w:sz w:val="15"/>
                                <w:szCs w:val="15"/>
                              </w:rPr>
                            </w:pPr>
                            <w:r>
                              <w:rPr>
                                <w:rFonts w:hint="eastAsia" w:ascii="黑体" w:hAnsi="黑体" w:eastAsia="黑体" w:cs="Times New Roman"/>
                                <w:b/>
                                <w:color w:val="FF0000"/>
                                <w:kern w:val="0"/>
                                <w:sz w:val="15"/>
                                <w:szCs w:val="15"/>
                              </w:rPr>
                              <w:t>本项目</w:t>
                            </w:r>
                          </w:p>
                        </w:txbxContent>
                      </v:textbox>
                    </v:shape>
                  </w:pict>
                </mc:Fallback>
              </mc:AlternateContent>
            </w:r>
            <w:r>
              <w:drawing>
                <wp:inline distT="0" distB="0" distL="114300" distR="114300">
                  <wp:extent cx="2664460" cy="2374900"/>
                  <wp:effectExtent l="0" t="0" r="2540" b="6350"/>
                  <wp:docPr id="5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5"/>
                          <pic:cNvPicPr>
                            <a:picLocks noChangeAspect="1"/>
                          </pic:cNvPicPr>
                        </pic:nvPicPr>
                        <pic:blipFill>
                          <a:blip r:embed="rId32"/>
                          <a:stretch>
                            <a:fillRect/>
                          </a:stretch>
                        </pic:blipFill>
                        <pic:spPr>
                          <a:xfrm>
                            <a:off x="0" y="0"/>
                            <a:ext cx="2664460" cy="237490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17</w:t>
            </w:r>
            <w:r>
              <w:rPr>
                <w:rFonts w:hint="eastAsia" w:ascii="Times New Roman" w:hAnsi="Times New Roman" w:eastAsia="宋体" w:cs="Times New Roman"/>
                <w:kern w:val="2"/>
                <w:sz w:val="21"/>
                <w:szCs w:val="21"/>
                <w:lang w:val="en-US" w:eastAsia="zh-CN" w:bidi="ar-SA"/>
              </w:rPr>
              <w:t>年1</w:t>
            </w:r>
            <w:r>
              <w:rPr>
                <w:rFonts w:hint="eastAsia"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月卫星影像</w:t>
            </w:r>
          </w:p>
        </w:tc>
        <w:tc>
          <w:tcPr>
            <w:tcW w:w="418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312"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87936" behindDoc="0" locked="0" layoutInCell="1" allowOverlap="1">
                  <wp:simplePos x="0" y="0"/>
                  <wp:positionH relativeFrom="column">
                    <wp:posOffset>2136775</wp:posOffset>
                  </wp:positionH>
                  <wp:positionV relativeFrom="paragraph">
                    <wp:posOffset>99695</wp:posOffset>
                  </wp:positionV>
                  <wp:extent cx="396240" cy="408305"/>
                  <wp:effectExtent l="9525" t="9525" r="13335" b="20320"/>
                  <wp:wrapNone/>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1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583565</wp:posOffset>
                      </wp:positionH>
                      <wp:positionV relativeFrom="paragraph">
                        <wp:posOffset>1524635</wp:posOffset>
                      </wp:positionV>
                      <wp:extent cx="775335" cy="501650"/>
                      <wp:effectExtent l="0" t="0" r="0" b="0"/>
                      <wp:wrapNone/>
                      <wp:docPr id="178" name="文本框 178"/>
                      <wp:cNvGraphicFramePr/>
                      <a:graphic xmlns:a="http://schemas.openxmlformats.org/drawingml/2006/main">
                        <a:graphicData uri="http://schemas.microsoft.com/office/word/2010/wordprocessingShape">
                          <wps:wsp>
                            <wps:cNvSpPr txBox="1"/>
                            <wps:spPr>
                              <a:xfrm rot="21349961">
                                <a:off x="0" y="0"/>
                                <a:ext cx="775335" cy="501650"/>
                              </a:xfrm>
                              <a:prstGeom prst="rect">
                                <a:avLst/>
                              </a:prstGeom>
                              <a:noFill/>
                              <a:ln w="6350">
                                <a:noFill/>
                              </a:ln>
                            </wps:spPr>
                            <wps:txbx>
                              <w:txbxContent>
                                <w:p>
                                  <w:pPr>
                                    <w:widowControl/>
                                    <w:adjustRightInd w:val="0"/>
                                    <w:snapToGrid w:val="0"/>
                                    <w:spacing w:line="360" w:lineRule="auto"/>
                                    <w:rPr>
                                      <w:rFonts w:hint="eastAsia"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w:t>
                                  </w:r>
                                  <w:r>
                                    <w:rPr>
                                      <w:rFonts w:hint="eastAsia" w:ascii="黑体" w:hAnsi="黑体" w:eastAsia="黑体" w:cs="Times New Roman"/>
                                      <w:b/>
                                      <w:color w:val="FFFF00"/>
                                      <w:kern w:val="0"/>
                                      <w:sz w:val="15"/>
                                      <w:szCs w:val="15"/>
                                      <w:lang w:val="en-US" w:eastAsia="zh-CN"/>
                                    </w:rPr>
                                    <w:t>统领傢俬</w:t>
                                  </w:r>
                                  <w:r>
                                    <w:rPr>
                                      <w:rFonts w:hint="eastAsia" w:ascii="黑体" w:hAnsi="黑体" w:eastAsia="黑体" w:cs="Times New Roman"/>
                                      <w:b/>
                                      <w:color w:val="FFFF00"/>
                                      <w:kern w:val="0"/>
                                      <w:sz w:val="15"/>
                                      <w:szCs w:val="15"/>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95pt;margin-top:120.05pt;height:39.5pt;width:61.05pt;rotation:-273109f;z-index:251669504;mso-width-relative:page;mso-height-relative:page;" filled="f" stroked="f" coordsize="21600,21600" o:gfxdata="UEsDBAoAAAAAAIdO4kAAAAAAAAAAAAAAAAAEAAAAZHJzL1BLAwQUAAAACACHTuJApvS5/9gAAAAK&#10;AQAADwAAAGRycy9kb3ducmV2LnhtbE2PMU/DMBCFdyT+g3VIbNR2iAoJcTogOiDEQEDMTnwkVmI7&#10;it028Os5Jjqe7tN736t2q5vYEZdog1cgNwIY+i4Y63sFH+/7m3tgMWlv9BQ8KvjGCLv68qLSpQkn&#10;/4bHJvWMQnwstYIhpbnkPHYDOh03YUZPv6+wOJ3oXHpuFn2icDfxTIgtd9p6ahj0jI8DdmNzcApG&#10;+4P7z9Ztn1/tGHPevTRP651S11dSPABLuKZ/GP70SR1qcmrDwZvIJgWFLIhUkOVCAiMgkzmNaxXc&#10;ykICryt+PqH+BVBLAwQUAAAACACHTuJA6Fdi1EYCAAB4BAAADgAAAGRycy9lMm9Eb2MueG1srVTN&#10;bhMxEL4j8Q6W73Sz+SVRN1VoFIRU0UoBcXa83u5K/sN2ulseAN6gJy7cea4+B5+9SSmFQw9crPHM&#10;7DfzfTPe07NOSXIjnG+MLmh+MqBEaG7KRl8X9OOHzavXlPjAdMmk0aKgt8LTs+XLF6etXYihqY0s&#10;hSMA0X7R2oLWIdhFlnleC8X8ibFCI1gZp1jA1V1npWMt0JXMhoPBNGuNK60zXHgP77oP0gOiew6g&#10;qaqGi7XheyV06FGdkCyAkq8b6+kydVtVgofLqvIiEFlQMA3pRBHYu3hmy1O2uHbM1g0/tMCe08IT&#10;Too1GkUfoNYsMLJ3zV9QquHOeFOFE25U1hNJioBFPniizbZmViQukNrbB9H9/4Pl72+uHGlKbMIM&#10;g9dMYeT3d9/uv/+8//GVRCckaq1fIHNrkRu6N6ZD+tHv4YzMu8op4gwUHuaj8Xw+zZMgoEiQDr1v&#10;H/QWXSAcztlsMhpNKOEITQb5dJLmkfVYEdM6H94Ko0g0CuowzgTKbi58QF9IPabEdG02jZRppFKT&#10;tqDTESD/iOALqfFhZNR3Hq3Q7boDzZ0pb8EyEUHT3vJNg+IXzIcr5rAbcOL1hEsclTQoYg4WJbVx&#10;X/7lj/kYGaKUtNi1gvrPe+YEJfKdxjDn+XgM2JAu48lsiIt7HNk9jui9OjdY5zx1l8yYH+TRrJxR&#10;n/DIVrEqQkxz1C5oOJrnoX8BeKRcrFYpCetoWbjQW8sjdC/aah9M1SSlo0y9Ngf1sJBpAIfHEzf+&#10;8T1l/f5hL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vS5/9gAAAAKAQAADwAAAAAAAAABACAA&#10;AAAiAAAAZHJzL2Rvd25yZXYueG1sUEsBAhQAFAAAAAgAh07iQOhXYtRGAgAAeAQAAA4AAAAAAAAA&#10;AQAgAAAAJwEAAGRycy9lMm9Eb2MueG1sUEsFBgAAAAAGAAYAWQEAAN8FAAAAAA==&#10;">
                      <v:fill on="f" focussize="0,0"/>
                      <v:stroke on="f" weight="0.5pt"/>
                      <v:imagedata o:title=""/>
                      <o:lock v:ext="edit" aspectratio="f"/>
                      <v:textbox>
                        <w:txbxContent>
                          <w:p>
                            <w:pPr>
                              <w:widowControl/>
                              <w:adjustRightInd w:val="0"/>
                              <w:snapToGrid w:val="0"/>
                              <w:spacing w:line="360" w:lineRule="auto"/>
                              <w:rPr>
                                <w:rFonts w:hint="eastAsia"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变化区域</w:t>
                            </w:r>
                          </w:p>
                          <w:p>
                            <w:pPr>
                              <w:widowControl/>
                              <w:adjustRightInd w:val="0"/>
                              <w:snapToGrid w:val="0"/>
                              <w:spacing w:line="360" w:lineRule="auto"/>
                              <w:rPr>
                                <w:rFonts w:ascii="黑体" w:hAnsi="黑体" w:eastAsia="黑体" w:cs="Times New Roman"/>
                                <w:b/>
                                <w:color w:val="FFFF00"/>
                                <w:kern w:val="0"/>
                                <w:sz w:val="15"/>
                                <w:szCs w:val="15"/>
                              </w:rPr>
                            </w:pPr>
                            <w:r>
                              <w:rPr>
                                <w:rFonts w:hint="eastAsia" w:ascii="黑体" w:hAnsi="黑体" w:eastAsia="黑体" w:cs="Times New Roman"/>
                                <w:b/>
                                <w:color w:val="FFFF00"/>
                                <w:kern w:val="0"/>
                                <w:sz w:val="15"/>
                                <w:szCs w:val="15"/>
                              </w:rPr>
                              <w:t>（</w:t>
                            </w:r>
                            <w:r>
                              <w:rPr>
                                <w:rFonts w:hint="eastAsia" w:ascii="黑体" w:hAnsi="黑体" w:eastAsia="黑体" w:cs="Times New Roman"/>
                                <w:b/>
                                <w:color w:val="FFFF00"/>
                                <w:kern w:val="0"/>
                                <w:sz w:val="15"/>
                                <w:szCs w:val="15"/>
                                <w:lang w:val="en-US" w:eastAsia="zh-CN"/>
                              </w:rPr>
                              <w:t>统领傢俬</w:t>
                            </w:r>
                            <w:r>
                              <w:rPr>
                                <w:rFonts w:hint="eastAsia" w:ascii="黑体" w:hAnsi="黑体" w:eastAsia="黑体" w:cs="Times New Roman"/>
                                <w:b/>
                                <w:color w:val="FFFF00"/>
                                <w:kern w:val="0"/>
                                <w:sz w:val="15"/>
                                <w:szCs w:val="15"/>
                              </w:rPr>
                              <w:t>）</w:t>
                            </w:r>
                          </w:p>
                        </w:txbxContent>
                      </v:textbox>
                    </v:shape>
                  </w:pict>
                </mc:Fallback>
              </mc:AlternateContent>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950595</wp:posOffset>
                      </wp:positionH>
                      <wp:positionV relativeFrom="paragraph">
                        <wp:posOffset>749300</wp:posOffset>
                      </wp:positionV>
                      <wp:extent cx="691515" cy="247015"/>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691515"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b/>
                                      <w:color w:val="FF0000"/>
                                      <w:kern w:val="0"/>
                                      <w:sz w:val="15"/>
                                      <w:szCs w:val="15"/>
                                    </w:rPr>
                                  </w:pPr>
                                  <w:r>
                                    <w:rPr>
                                      <w:rFonts w:hint="eastAsia" w:ascii="黑体" w:hAnsi="黑体" w:eastAsia="黑体" w:cs="Times New Roman"/>
                                      <w:b/>
                                      <w:color w:val="FF0000"/>
                                      <w:kern w:val="0"/>
                                      <w:sz w:val="15"/>
                                      <w:szCs w:val="15"/>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85pt;margin-top:59pt;height:19.45pt;width:54.45pt;z-index:251670528;mso-width-relative:page;mso-height-relative:page;" filled="f" stroked="f" coordsize="21600,21600" o:gfxdata="UEsDBAoAAAAAAIdO4kAAAAAAAAAAAAAAAAAEAAAAZHJzL1BLAwQUAAAACACHTuJAc4UMDdsAAAAL&#10;AQAADwAAAGRycy9kb3ducmV2LnhtbE2PT0+DQBDF7yZ+h82YeLMLRJAiS2NIGhOjh9ZevC3sFIjs&#10;LLLbP/rpHU/1Nm/m5c3vlauzHcURZz84UhAvIhBIrTMDdQp27+u7HIQPmoweHaGCb/Swqq6vSl0Y&#10;d6INHrehExxCvtAK+hCmQkrf9mi1X7gJiW97N1sdWM6dNLM+cbgdZRJFmbR6IP7Q6wnrHtvP7cEq&#10;eKnXb3rTJDb/Gevn1/3T9LX7SJW6vYmjRxABz+Fihj98RoeKmRp3IOPFyPp++cBWHuKcS7EjSfMM&#10;RMObNFuCrEr5v0P1C1BLAwQUAAAACACHTuJAWFT/MzsCAABpBAAADgAAAGRycy9lMm9Eb2MueG1s&#10;rVTNbhMxEL4j8Q6W73STkPQn6qYKrYqQKlqpIM6O19tdyfYY2+lueQB4g564cOe5+hx89iZpVTj0&#10;wMUZz8x+4++bmRyf9EazW+VDS7bk470RZ8pKqlp7U/LPn87fHHIWorCV0GRVye9U4CeL16+OOzdX&#10;E2pIV8ozgNgw71zJmxjdvCiCbJQRYY+csgjW5I2IuPqbovKiA7rRxWQ02i868pXzJFUI8J4NQb5B&#10;9C8BpLpupTojuTbKxgHVKy0iKIWmdYEv8mvrWsl4WddBRaZLDqYxnygCe5XOYnEs5jdeuKaVmyeI&#10;lzzhGScjWouiO6gzEQVb+/YvKNNKT4HquCfJFAORrAhYjEfPtLluhFOZC6QObid6+H+w8uPtlWdt&#10;hUk4hCZWGLT84f7Hw8/fD7++s+SERJ0Lc2ReO+TG/h31SN/6A5yJeV97k37BiSEOsLudwKqPTMK5&#10;fzSejWecSYQm04MRbKAXjx87H+J7RYYlo+Qe/cuyituLEIfUbUqqZem81Tr3UFvWocDb2Sh/sIsA&#10;XFvUSBSGpyYr9qt+w2tF1R1oeRpmIzh53qL4hQjxSngMA5hgXeIljloTitDG4qwh/+1f/pSPHiHK&#10;WYfhKnn4uhZecaY/WHTvaDydAjbmy3R2MMHFP42snkbs2pwS5neMxXQymyk/6q1ZezJfsFXLVBUh&#10;YSVqlzxuzdM4jDy2UqrlMidh/pyIF/bayQQ9yLlcR6rbrHSSadBmox4mMPdqsy1pxJ/ec9bjP8Ti&#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OFDA3bAAAACwEAAA8AAAAAAAAAAQAgAAAAIgAAAGRy&#10;cy9kb3ducmV2LnhtbFBLAQIUABQAAAAIAIdO4kBYVP8zOwIAAGkEAAAOAAAAAAAAAAEAIAAAACoB&#10;AABkcnMvZTJvRG9jLnhtbFBLBQYAAAAABgAGAFkBAADXBQ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b/>
                                <w:color w:val="FF0000"/>
                                <w:kern w:val="0"/>
                                <w:sz w:val="15"/>
                                <w:szCs w:val="15"/>
                              </w:rPr>
                            </w:pPr>
                            <w:r>
                              <w:rPr>
                                <w:rFonts w:hint="eastAsia" w:ascii="黑体" w:hAnsi="黑体" w:eastAsia="黑体" w:cs="Times New Roman"/>
                                <w:b/>
                                <w:color w:val="FF0000"/>
                                <w:kern w:val="0"/>
                                <w:sz w:val="15"/>
                                <w:szCs w:val="15"/>
                              </w:rPr>
                              <w:t>本项目</w:t>
                            </w:r>
                          </w:p>
                        </w:txbxContent>
                      </v:textbox>
                    </v:shape>
                  </w:pict>
                </mc:Fallback>
              </mc:AlternateContent>
            </w:r>
            <w:r>
              <w:drawing>
                <wp:inline distT="0" distB="0" distL="114300" distR="114300">
                  <wp:extent cx="2550160" cy="2410460"/>
                  <wp:effectExtent l="0" t="0" r="0" b="0"/>
                  <wp:docPr id="5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7"/>
                          <pic:cNvPicPr>
                            <a:picLocks noChangeAspect="1"/>
                          </pic:cNvPicPr>
                        </pic:nvPicPr>
                        <pic:blipFill>
                          <a:blip r:embed="rId33"/>
                          <a:srcRect l="8384" r="32023" b="10661"/>
                          <a:stretch>
                            <a:fillRect/>
                          </a:stretch>
                        </pic:blipFill>
                        <pic:spPr>
                          <a:xfrm>
                            <a:off x="0" y="0"/>
                            <a:ext cx="2550160" cy="241046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18</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10</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98" w:type="dxa"/>
            <w:gridSpan w:val="2"/>
            <w:vAlign w:val="center"/>
          </w:tcPr>
          <w:p>
            <w:pPr>
              <w:widowControl w:val="0"/>
              <w:adjustRightInd w:val="0"/>
              <w:snapToGrid w:val="0"/>
              <w:spacing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变化情况</w:t>
            </w:r>
          </w:p>
        </w:tc>
        <w:tc>
          <w:tcPr>
            <w:tcW w:w="6852" w:type="dxa"/>
            <w:gridSpan w:val="3"/>
            <w:vAlign w:val="center"/>
          </w:tcPr>
          <w:p>
            <w:pPr>
              <w:widowControl w:val="0"/>
              <w:adjustRightInd w:val="0"/>
              <w:snapToGrid w:val="0"/>
              <w:spacing w:line="240" w:lineRule="auto"/>
              <w:ind w:firstLine="0" w:firstLineChars="0"/>
              <w:jc w:val="both"/>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宜昌市统领傢俬有限公司厂房建设完成。</w:t>
            </w:r>
          </w:p>
        </w:tc>
      </w:tr>
    </w:tbl>
    <w:p>
      <w:pPr>
        <w:keepNext/>
        <w:adjustRightInd w:val="0"/>
        <w:snapToGrid w:val="0"/>
        <w:spacing w:before="97" w:beforeLines="30" w:after="97" w:afterLines="30" w:line="240" w:lineRule="auto"/>
        <w:jc w:val="center"/>
        <w:rPr>
          <w:rFonts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表 3.5-</w:t>
      </w:r>
      <w:r>
        <w:rPr>
          <w:rFonts w:hint="eastAsia" w:cs="Times New Roman"/>
          <w:b/>
          <w:sz w:val="21"/>
          <w:szCs w:val="21"/>
          <w:lang w:val="en-US" w:eastAsia="zh-CN" w:bidi="ar-SA"/>
        </w:rPr>
        <w:t>2</w:t>
      </w:r>
      <w:r>
        <w:rPr>
          <w:rFonts w:ascii="Times New Roman" w:hAnsi="Times New Roman" w:eastAsia="宋体" w:cs="Times New Roman"/>
          <w:b/>
          <w:sz w:val="21"/>
          <w:szCs w:val="21"/>
          <w:lang w:val="en-US" w:eastAsia="zh-CN" w:bidi="ar-SA"/>
        </w:rPr>
        <w:t xml:space="preserve">  20</w:t>
      </w:r>
      <w:r>
        <w:rPr>
          <w:rFonts w:hint="eastAsia" w:cs="Times New Roman"/>
          <w:b/>
          <w:sz w:val="21"/>
          <w:szCs w:val="21"/>
          <w:lang w:val="en-US" w:eastAsia="zh-CN" w:bidi="ar-SA"/>
        </w:rPr>
        <w:t>20</w:t>
      </w:r>
      <w:r>
        <w:rPr>
          <w:rFonts w:hint="eastAsia" w:ascii="Times New Roman" w:hAnsi="Times New Roman" w:eastAsia="宋体" w:cs="Times New Roman"/>
          <w:b/>
          <w:sz w:val="21"/>
          <w:szCs w:val="21"/>
          <w:lang w:val="en-US" w:eastAsia="zh-CN" w:bidi="ar-SA"/>
        </w:rPr>
        <w:t>年至2</w:t>
      </w:r>
      <w:r>
        <w:rPr>
          <w:rFonts w:ascii="Times New Roman" w:hAnsi="Times New Roman" w:eastAsia="宋体" w:cs="Times New Roman"/>
          <w:b/>
          <w:sz w:val="21"/>
          <w:szCs w:val="21"/>
          <w:lang w:val="en-US" w:eastAsia="zh-CN" w:bidi="ar-SA"/>
        </w:rPr>
        <w:t>0</w:t>
      </w:r>
      <w:r>
        <w:rPr>
          <w:rFonts w:hint="eastAsia" w:cs="Times New Roman"/>
          <w:b/>
          <w:sz w:val="21"/>
          <w:szCs w:val="21"/>
          <w:lang w:val="en-US" w:eastAsia="zh-CN" w:bidi="ar-SA"/>
        </w:rPr>
        <w:t>22</w:t>
      </w:r>
      <w:r>
        <w:rPr>
          <w:rFonts w:hint="eastAsia" w:ascii="Times New Roman" w:hAnsi="Times New Roman" w:eastAsia="宋体" w:cs="Times New Roman"/>
          <w:b/>
          <w:sz w:val="21"/>
          <w:szCs w:val="21"/>
          <w:lang w:val="en-US" w:eastAsia="zh-CN" w:bidi="ar-SA"/>
        </w:rPr>
        <w:t>年相邻地块变化情况对照表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2821"/>
        <w:gridCol w:w="4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61" w:type="dxa"/>
            <w:gridSpan w:val="2"/>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89984" behindDoc="0" locked="0" layoutInCell="1" allowOverlap="1">
                  <wp:simplePos x="0" y="0"/>
                  <wp:positionH relativeFrom="column">
                    <wp:posOffset>2162175</wp:posOffset>
                  </wp:positionH>
                  <wp:positionV relativeFrom="paragraph">
                    <wp:posOffset>91440</wp:posOffset>
                  </wp:positionV>
                  <wp:extent cx="396240" cy="408305"/>
                  <wp:effectExtent l="9525" t="9525" r="13335" b="20320"/>
                  <wp:wrapNone/>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1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1401445</wp:posOffset>
                      </wp:positionH>
                      <wp:positionV relativeFrom="paragraph">
                        <wp:posOffset>1297940</wp:posOffset>
                      </wp:positionV>
                      <wp:extent cx="691515" cy="247015"/>
                      <wp:effectExtent l="0" t="0" r="0" b="0"/>
                      <wp:wrapNone/>
                      <wp:docPr id="112" name="文本框 112"/>
                      <wp:cNvGraphicFramePr/>
                      <a:graphic xmlns:a="http://schemas.openxmlformats.org/drawingml/2006/main">
                        <a:graphicData uri="http://schemas.microsoft.com/office/word/2010/wordprocessingShape">
                          <wps:wsp>
                            <wps:cNvSpPr txBox="1"/>
                            <wps:spPr>
                              <a:xfrm rot="20040000">
                                <a:off x="0" y="0"/>
                                <a:ext cx="691515"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35pt;margin-top:102.2pt;height:19.45pt;width:54.45pt;rotation:-1703936f;z-index:251664384;mso-width-relative:page;mso-height-relative:page;" filled="f" stroked="f" coordsize="21600,21600" o:gfxdata="UEsDBAoAAAAAAIdO4kAAAAAAAAAAAAAAAAAEAAAAZHJzL1BLAwQUAAAACACHTuJAR5S5n9kAAAAL&#10;AQAADwAAAGRycy9kb3ducmV2LnhtbE2PPU/DMBCGdyT+g3VIbNRuErUkxOkAQkgMSKQMsDmxm0TY&#10;58h22/DvOSa63cej956rd4uz7GRCnDxKWK8EMIO91xMOEj72z3f3wGJSqJX1aCT8mAi75vqqVpX2&#10;Z3w3pzYNjEIwVkrCmNJccR770TgVV342SLuDD04lasPAdVBnCneWZ0JsuFMT0oVRzeZxNP13e3QS&#10;yhi36q18bb8+D/slvDwJ6zsh5e3NWjwAS2ZJ/zD86ZM6NOTU+SPqyKyELBNbQqkQRQGMiDwrN8A6&#10;mhR5Dryp+eUPzS9QSwMEFAAAAAgAh07iQLgD/lRCAgAAeAQAAA4AAABkcnMvZTJvRG9jLnhtbK1U&#10;wW7UMBC9I/EPlu80m2W30FWz1dKqCKmilQri7HWcJpLtMba3SfkA+ANOXLjzXf0Onp3dpSoceiAH&#10;azwzejPvzTjHJ4PR7Fb50JGteHkw4UxZSXVnbyr+8cP5i9echShsLTRZVfE7FfjJ8vmz494t1JRa&#10;0rXyDCA2LHpX8TZGtyiKIFtlRDggpyyCDXkjIq7+pqi96IFudDGdTA6LnnztPEkVArxnY5BvEf1T&#10;AKlpOqnOSG6MsnFE9UqLCEqh7Vzgy9xt0ygZL5smqMh0xcE05hNFYK/TWSyPxeLGC9d2ctuCeEoL&#10;jzgZ0VkU3UOdiSjYxnd/QZlOegrUxANJphiJZEXAopw80ua6FU5lLpA6uL3o4f/Byve3V551NTah&#10;nHJmhcHI779/u//x6/7nV5ackKh3YYHMa4fcOLyhAek7f4AzMR8ab5gnKIwpzyb4siCgyJAOve/2&#10;eqshMgnn4VE5L+ecSYSms1cT2ChWjFgJ0/kQ3yoyLBkV9xhnBhW3FyGOqbuUlG7pvNM6j1Rb1qPA&#10;y/nYxT4CcG1RIzEaO09WHNbDluaa6juwzETQdHDyvEPxCxHilfDYDTjxeuIljkYTitDW4qwl/+Vf&#10;/pSPkSHKWY9dq3j4vBFecabfWQzzqJzNABvzZTZ/NcXFP4ysH0bsxpwS1rnM3WUz5Ue9MxtP5hMe&#10;2SpVRUhYidoVjzvzNI4vAI9UqtUqJ2EdnYgX9trJBD3KudpEarqsdJJp1GarHhYyz2r7eNLGP7zn&#10;rD8/jO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5S5n9kAAAALAQAADwAAAAAAAAABACAAAAAi&#10;AAAAZHJzL2Rvd25yZXYueG1sUEsBAhQAFAAAAAgAh07iQLgD/lRCAgAAeAQAAA4AAAAAAAAAAQAg&#10;AAAAKAEAAGRycy9lMm9Eb2MueG1sUEsFBgAAAAAGAAYAWQEAANwFA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txbxContent>
                      </v:textbox>
                    </v:shape>
                  </w:pict>
                </mc:Fallback>
              </mc:AlternateContent>
            </w:r>
            <w:r>
              <w:drawing>
                <wp:inline distT="0" distB="0" distL="114300" distR="114300">
                  <wp:extent cx="2667635" cy="2301875"/>
                  <wp:effectExtent l="0" t="0" r="0" b="0"/>
                  <wp:docPr id="5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8"/>
                          <pic:cNvPicPr>
                            <a:picLocks noChangeAspect="1"/>
                          </pic:cNvPicPr>
                        </pic:nvPicPr>
                        <pic:blipFill>
                          <a:blip r:embed="rId34"/>
                          <a:srcRect l="11004" r="3226"/>
                          <a:stretch>
                            <a:fillRect/>
                          </a:stretch>
                        </pic:blipFill>
                        <pic:spPr>
                          <a:xfrm>
                            <a:off x="0" y="0"/>
                            <a:ext cx="2667635" cy="2301875"/>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20</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4</w:t>
            </w:r>
            <w:r>
              <w:rPr>
                <w:rFonts w:hint="eastAsia" w:ascii="Times New Roman" w:hAnsi="Times New Roman" w:eastAsia="宋体" w:cs="Times New Roman"/>
                <w:kern w:val="2"/>
                <w:sz w:val="21"/>
                <w:szCs w:val="21"/>
                <w:lang w:val="en-US" w:eastAsia="zh-CN" w:bidi="ar-SA"/>
              </w:rPr>
              <w:t>月卫星影像</w:t>
            </w:r>
          </w:p>
        </w:tc>
        <w:tc>
          <w:tcPr>
            <w:tcW w:w="418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88960" behindDoc="0" locked="0" layoutInCell="1" allowOverlap="1">
                  <wp:simplePos x="0" y="0"/>
                  <wp:positionH relativeFrom="column">
                    <wp:posOffset>2159000</wp:posOffset>
                  </wp:positionH>
                  <wp:positionV relativeFrom="paragraph">
                    <wp:posOffset>90170</wp:posOffset>
                  </wp:positionV>
                  <wp:extent cx="396240" cy="408305"/>
                  <wp:effectExtent l="9525" t="9525" r="13335" b="20320"/>
                  <wp:wrapNone/>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1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1421130</wp:posOffset>
                      </wp:positionH>
                      <wp:positionV relativeFrom="paragraph">
                        <wp:posOffset>1262380</wp:posOffset>
                      </wp:positionV>
                      <wp:extent cx="630555" cy="413385"/>
                      <wp:effectExtent l="0" t="0" r="0" b="0"/>
                      <wp:wrapNone/>
                      <wp:docPr id="115" name="文本框 115"/>
                      <wp:cNvGraphicFramePr/>
                      <a:graphic xmlns:a="http://schemas.openxmlformats.org/drawingml/2006/main">
                        <a:graphicData uri="http://schemas.microsoft.com/office/word/2010/wordprocessingShape">
                          <wps:wsp>
                            <wps:cNvSpPr txBox="1"/>
                            <wps:spPr>
                              <a:xfrm rot="19538975">
                                <a:off x="0" y="0"/>
                                <a:ext cx="630555" cy="413385"/>
                              </a:xfrm>
                              <a:prstGeom prst="rect">
                                <a:avLst/>
                              </a:prstGeom>
                              <a:noFill/>
                              <a:ln w="6350">
                                <a:noFill/>
                              </a:ln>
                            </wps:spPr>
                            <wps:txbx>
                              <w:txbxContent>
                                <w:p>
                                  <w:pPr>
                                    <w:widowControl/>
                                    <w:adjustRightInd w:val="0"/>
                                    <w:snapToGrid w:val="0"/>
                                    <w:spacing w:line="24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p>
                                  <w:pPr>
                                    <w:widowControl/>
                                    <w:adjustRightInd w:val="0"/>
                                    <w:snapToGrid w:val="0"/>
                                    <w:spacing w:line="24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w:t>
                                  </w:r>
                                  <w:r>
                                    <w:rPr>
                                      <w:rFonts w:hint="eastAsia" w:ascii="黑体" w:hAnsi="黑体" w:eastAsia="黑体" w:cs="Times New Roman"/>
                                      <w:color w:val="FFFF00"/>
                                      <w:kern w:val="0"/>
                                      <w:sz w:val="15"/>
                                      <w:szCs w:val="15"/>
                                      <w:lang w:val="en-US" w:eastAsia="zh-CN"/>
                                    </w:rPr>
                                    <w:t>平整</w:t>
                                  </w:r>
                                  <w:r>
                                    <w:rPr>
                                      <w:rFonts w:hint="eastAsia" w:ascii="黑体" w:hAnsi="黑体" w:eastAsia="黑体" w:cs="Times New Roman"/>
                                      <w:color w:val="FFFF00"/>
                                      <w:kern w:val="0"/>
                                      <w:sz w:val="15"/>
                                      <w:szCs w:val="15"/>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9pt;margin-top:99.4pt;height:32.55pt;width:49.65pt;rotation:-2251189f;z-index:251665408;mso-width-relative:page;mso-height-relative:page;" filled="f" stroked="f" coordsize="21600,21600" o:gfxdata="UEsDBAoAAAAAAIdO4kAAAAAAAAAAAAAAAAAEAAAAZHJzL1BLAwQUAAAACACHTuJAyW9jItkAAAAL&#10;AQAADwAAAGRycy9kb3ducmV2LnhtbE2Py07DMBBF90j8gzVI7KjzkKI0xKnEa8ujlAp2bjwkEfE4&#10;ip0m/XuGVdnN6FzdOVNuFtuLI46+c6QgXkUgkGpnOmoU7N6fbnIQPmgyuneECk7oYVNdXpS6MG6m&#10;NzxuQyO4hHyhFbQhDIWUvm7Rar9yAxKzbzdaHXgdG2lGPXO57WUSRZm0uiO+0OoB71usf7aTVZA9&#10;Pnx8za/p57Tf755fTsOdpHxR6voqjm5BBFzCOQx/+qwOFTsd3ETGi15BkqSsHhiscx44kSZpDOLA&#10;KEvXIKtS/v+h+gVQSwMEFAAAAAgAh07iQD9yrfBHAgAAeAQAAA4AAABkcnMvZTJvRG9jLnhtbK1U&#10;S27bMBDdF+gdCO5rWbGVxIblwE3gokDQBEiLrmmKigTwV5KOlB6gvUFW3XTfc+UcfaRsN0i7yKIb&#10;YjgzejPvzVCLs15Jciecb40uaT4aUyI0N1Wrb0v66eP6zSklPjBdMWm0KOm98PRs+frVorNzcWQa&#10;IyvhCEC0n3e2pE0Idp5lnjdCMT8yVmgEa+MUC7i626xyrAO6ktnReHycdcZV1hkuvIf3YgjSHaJ7&#10;CaCp65aLC8O3SugwoDohWQAl37TW02Xqtq4FD1d17UUgsqRgGtKJIrA38cyWCza/dcw2Ld+1wF7S&#10;wjNOirUaRQ9QFywwsnXtX1Cq5c54U4cRNyobiCRFwCIfP9PmpmFWJC6Q2tuD6P7/wfIPd9eOtBU2&#10;IS8o0Uxh5I8P3x9//Hr8+Y1EJyTqrJ8j88YiN/RvTY/0vd/DGZn3tVPEGSicz4rJ6eykSIKAIkE6&#10;9L4/6C36QDicx5NxUaAqR2iaTyanqVg2YEVM63x4J4wi0SipwzgTKLu79AF9IXWfEtO1WbdSppFK&#10;TbpYoBinDw4RfCE1PoyMhs6jFfpNv6O5MdU9WCYiaNpbvm5R/JL5cM0cdgNOvJ5whaOWBkXMzqKk&#10;Me7rv/wxHyNDlJIOu1ZS/2XLnKBEvtcY5iyfTgEb0mVanBzh4p5GNk8jeqvODdY5T90lM+YHuTdr&#10;Z9RnPLJVrIoQ0xy1Sxr25nkYXgAeKRerVUrCOloWLvWN5RF6kHO1DaZuk9JRpkGbnXpYyDSA3eOJ&#10;G//0nrL+/DC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Jb2Mi2QAAAAsBAAAPAAAAAAAAAAEA&#10;IAAAACIAAABkcnMvZG93bnJldi54bWxQSwECFAAUAAAACACHTuJAP3Kt8EcCAAB4BAAADgAAAAAA&#10;AAABACAAAAAoAQAAZHJzL2Uyb0RvYy54bWxQSwUGAAAAAAYABgBZAQAA4QUAAAAA&#10;">
                      <v:fill on="f" focussize="0,0"/>
                      <v:stroke on="f" weight="0.5pt"/>
                      <v:imagedata o:title=""/>
                      <o:lock v:ext="edit" aspectratio="f"/>
                      <v:textbox>
                        <w:txbxContent>
                          <w:p>
                            <w:pPr>
                              <w:widowControl/>
                              <w:adjustRightInd w:val="0"/>
                              <w:snapToGrid w:val="0"/>
                              <w:spacing w:line="24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p>
                            <w:pPr>
                              <w:widowControl/>
                              <w:adjustRightInd w:val="0"/>
                              <w:snapToGrid w:val="0"/>
                              <w:spacing w:line="24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w:t>
                            </w:r>
                            <w:r>
                              <w:rPr>
                                <w:rFonts w:hint="eastAsia" w:ascii="黑体" w:hAnsi="黑体" w:eastAsia="黑体" w:cs="Times New Roman"/>
                                <w:color w:val="FFFF00"/>
                                <w:kern w:val="0"/>
                                <w:sz w:val="15"/>
                                <w:szCs w:val="15"/>
                                <w:lang w:val="en-US" w:eastAsia="zh-CN"/>
                              </w:rPr>
                              <w:t>平整</w:t>
                            </w:r>
                            <w:r>
                              <w:rPr>
                                <w:rFonts w:hint="eastAsia" w:ascii="黑体" w:hAnsi="黑体" w:eastAsia="黑体" w:cs="Times New Roman"/>
                                <w:color w:val="FFFF00"/>
                                <w:kern w:val="0"/>
                                <w:sz w:val="15"/>
                                <w:szCs w:val="15"/>
                              </w:rPr>
                              <w:t>）</w:t>
                            </w:r>
                          </w:p>
                        </w:txbxContent>
                      </v:textbox>
                    </v:shape>
                  </w:pict>
                </mc:Fallback>
              </mc:AlternateContent>
            </w:r>
            <w:r>
              <w:drawing>
                <wp:inline distT="0" distB="0" distL="114300" distR="114300">
                  <wp:extent cx="2568575" cy="2349500"/>
                  <wp:effectExtent l="0" t="0" r="0" b="0"/>
                  <wp:docPr id="5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9"/>
                          <pic:cNvPicPr>
                            <a:picLocks noChangeAspect="1"/>
                          </pic:cNvPicPr>
                        </pic:nvPicPr>
                        <pic:blipFill>
                          <a:blip r:embed="rId35"/>
                          <a:srcRect l="14858"/>
                          <a:stretch>
                            <a:fillRect/>
                          </a:stretch>
                        </pic:blipFill>
                        <pic:spPr>
                          <a:xfrm>
                            <a:off x="0" y="0"/>
                            <a:ext cx="2568575" cy="234950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21</w:t>
            </w:r>
            <w:r>
              <w:rPr>
                <w:rFonts w:hint="eastAsia" w:ascii="Times New Roman" w:hAnsi="Times New Roman" w:eastAsia="宋体" w:cs="Times New Roman"/>
                <w:kern w:val="2"/>
                <w:sz w:val="21"/>
                <w:szCs w:val="21"/>
                <w:lang w:val="en-US" w:eastAsia="zh-CN" w:bidi="ar-SA"/>
              </w:rPr>
              <w:t>年2月卫星影像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4" w:type="dxa"/>
            <w:vAlign w:val="center"/>
          </w:tcPr>
          <w:p>
            <w:pPr>
              <w:widowControl w:val="0"/>
              <w:adjustRightInd w:val="0"/>
              <w:snapToGrid w:val="0"/>
              <w:spacing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变化情况</w:t>
            </w:r>
          </w:p>
        </w:tc>
        <w:tc>
          <w:tcPr>
            <w:tcW w:w="7166" w:type="dxa"/>
            <w:gridSpan w:val="2"/>
            <w:vAlign w:val="center"/>
          </w:tcPr>
          <w:p>
            <w:pPr>
              <w:widowControl w:val="0"/>
              <w:adjustRightInd w:val="0"/>
              <w:snapToGrid w:val="0"/>
              <w:spacing w:line="240" w:lineRule="auto"/>
              <w:ind w:firstLine="0" w:firstLineChars="0"/>
              <w:jc w:val="both"/>
              <w:rPr>
                <w:rFonts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安琪健康食品产业园场地平整。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61" w:type="dxa"/>
            <w:gridSpan w:val="2"/>
            <w:vAlign w:val="center"/>
          </w:tcPr>
          <w:p>
            <w:pPr>
              <w:widowControl w:val="0"/>
              <w:adjustRightInd w:val="0"/>
              <w:snapToGrid w:val="0"/>
              <w:spacing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Cs w:val="21"/>
                <w:lang w:val="en-US" w:eastAsia="zh-CN" w:bidi="ar-SA"/>
              </w:rPr>
              <w:drawing>
                <wp:anchor distT="0" distB="0" distL="114300" distR="114300" simplePos="0" relativeHeight="251694080" behindDoc="0" locked="0" layoutInCell="1" allowOverlap="1">
                  <wp:simplePos x="0" y="0"/>
                  <wp:positionH relativeFrom="column">
                    <wp:posOffset>2160270</wp:posOffset>
                  </wp:positionH>
                  <wp:positionV relativeFrom="paragraph">
                    <wp:posOffset>29210</wp:posOffset>
                  </wp:positionV>
                  <wp:extent cx="396240" cy="408305"/>
                  <wp:effectExtent l="9525" t="9525" r="13335" b="20320"/>
                  <wp:wrapNone/>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1130935</wp:posOffset>
                      </wp:positionH>
                      <wp:positionV relativeFrom="paragraph">
                        <wp:posOffset>1164590</wp:posOffset>
                      </wp:positionV>
                      <wp:extent cx="691515" cy="247015"/>
                      <wp:effectExtent l="0" t="0" r="0" b="0"/>
                      <wp:wrapNone/>
                      <wp:docPr id="300" name="文本框 300"/>
                      <wp:cNvGraphicFramePr/>
                      <a:graphic xmlns:a="http://schemas.openxmlformats.org/drawingml/2006/main">
                        <a:graphicData uri="http://schemas.microsoft.com/office/word/2010/wordprocessingShape">
                          <wps:wsp>
                            <wps:cNvSpPr txBox="1"/>
                            <wps:spPr>
                              <a:xfrm>
                                <a:off x="0" y="0"/>
                                <a:ext cx="691515" cy="247015"/>
                              </a:xfrm>
                              <a:prstGeom prst="rect">
                                <a:avLst/>
                              </a:prstGeom>
                              <a:noFill/>
                              <a:ln w="6350">
                                <a:noFill/>
                              </a:ln>
                            </wps:spPr>
                            <wps:txbx>
                              <w:txbxContent>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9.05pt;margin-top:91.7pt;height:19.45pt;width:54.45pt;z-index:251675648;mso-width-relative:page;mso-height-relative:page;" filled="f" stroked="f" coordsize="21600,21600" o:gfxdata="UEsDBAoAAAAAAIdO4kAAAAAAAAAAAAAAAAAEAAAAZHJzL1BLAwQUAAAACACHTuJAeHwf9doAAAAL&#10;AQAADwAAAGRycy9kb3ducmV2LnhtbE2PS0/DMBCE70j8B2uRuFEnLlArxKlQpAoJlUNLL9yceJtE&#10;+BFi90F/PcsJbjPaT7Mz5fLsLDviFIfgFeSzDBj6NpjBdwp276s7CSwm7Y22waOCb4ywrK6vSl2Y&#10;cPIbPG5TxyjEx0Ir6FMaC85j26PTcRZG9HTbh8npRHbquJn0icKd5SLLHrnTg6cPvR6x7rH93B6c&#10;gtd69aY3jXDyYuuX9f55/Np9PCh1e5NnT8ASntMfDL/1qTpU1KkJB28is+QXMieUhJzfAyNCyAWt&#10;a0gIMQdelfz/huoHUEsDBBQAAAAIAIdO4kBQ5gNMPAIAAGkEAAAOAAAAZHJzL2Uyb0RvYy54bWyt&#10;VM1uEzEQviPxDpbvdDdp0tIomyo0KkKqaKWAODteb3Yl/2E73S0PAG/QExfuPFeeg8/eJI0Khx64&#10;OOOZ2W/8fTOT6WWnJLkXzjdGF3RwklMiNDdlo9cF/fzp+s1bSnxgumTSaFHQB+Hp5ez1q2lrJ2Jo&#10;aiNL4QhAtJ+0tqB1CHaSZZ7XQjF/YqzQCFbGKRZwdeusdKwFupLZMM/Psta40jrDhffwLvog3SG6&#10;lwCaqmq4WBi+UUKHHtUJyQIo+bqxns7Sa6tK8HBbVV4EIgsKpiGdKAJ7Fc9sNmWTtWO2bvjuCewl&#10;T3jGSbFGo+gBasECIxvX/AWlGu6MN1U44UZlPZGkCFgM8mfaLGtmReICqb09iO7/Hyz/eH/nSFMW&#10;9DSHJpoptHz7+GP78/f213cSnZCotX6CzKVFbujemQ6Ds/d7OCPzrnIq/oITQRxgDweBRRcIh/Ps&#10;YjAejCnhCA1H5zlsoGdPH1vnw3thFIlGQR36l2Rl9zc+9Kn7lFhLm+tGytRDqUmLAqfjPH1wiABc&#10;atSIFPqnRit0q27Ha2XKB9Bypp8Nb/l1g+I3zIc75jAMYIJ1Cbc4KmlQxOwsSmrjvv3LH/PRI0Qp&#10;aTFcBfVfN8wJSuQHje5dDEYjwIZ0GY3Ph7i448jqOKI36spgfgdYTMuTGfOD3JuVM+oLtmoeqyLE&#10;NEftgoa9eRX6kcdWcjGfpyTMn2XhRi8tj9C9nPNNMFWTlI4y9drs1MMEpl7ttiWO+PE9ZT39Q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h8H/XaAAAACwEAAA8AAAAAAAAAAQAgAAAAIgAAAGRy&#10;cy9kb3ducmV2LnhtbFBLAQIUABQAAAAIAIdO4kBQ5gNMPAIAAGkEAAAOAAAAAAAAAAEAIAAAACkB&#10;AABkcnMvZTJvRG9jLnhtbFBLBQYAAAAABgAGAFkBAADXBQ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txbxContent>
                      </v:textbox>
                    </v:shape>
                  </w:pict>
                </mc:Fallback>
              </mc:AlternateContent>
            </w:r>
            <w:r>
              <w:drawing>
                <wp:inline distT="0" distB="0" distL="114300" distR="114300">
                  <wp:extent cx="2705100" cy="2001520"/>
                  <wp:effectExtent l="0" t="0" r="0" b="0"/>
                  <wp:docPr id="5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0"/>
                          <pic:cNvPicPr>
                            <a:picLocks noChangeAspect="1"/>
                          </pic:cNvPicPr>
                        </pic:nvPicPr>
                        <pic:blipFill>
                          <a:blip r:embed="rId36"/>
                          <a:srcRect l="6255" r="8884"/>
                          <a:stretch>
                            <a:fillRect/>
                          </a:stretch>
                        </pic:blipFill>
                        <pic:spPr>
                          <a:xfrm>
                            <a:off x="0" y="0"/>
                            <a:ext cx="2705100" cy="2001520"/>
                          </a:xfrm>
                          <a:prstGeom prst="rect">
                            <a:avLst/>
                          </a:prstGeom>
                          <a:noFill/>
                          <a:ln>
                            <a:noFill/>
                          </a:ln>
                        </pic:spPr>
                      </pic:pic>
                    </a:graphicData>
                  </a:graphic>
                </wp:inline>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21</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月卫星影像</w:t>
            </w:r>
            <w:r>
              <w:rPr>
                <w:rFonts w:ascii="Times New Roman" w:hAnsi="Times New Roman" w:eastAsia="宋体" w:cs="Times New Roman"/>
                <w:b/>
                <w:kern w:val="2"/>
                <w:szCs w:val="21"/>
                <w:lang w:val="en-US" w:eastAsia="zh-CN" w:bidi="ar-SA"/>
              </w:rPr>
              <w:drawing>
                <wp:anchor distT="0" distB="0" distL="114300" distR="114300" simplePos="0" relativeHeight="251681792" behindDoc="0" locked="0" layoutInCell="1" allowOverlap="1">
                  <wp:simplePos x="0" y="0"/>
                  <wp:positionH relativeFrom="column">
                    <wp:posOffset>8379460</wp:posOffset>
                  </wp:positionH>
                  <wp:positionV relativeFrom="paragraph">
                    <wp:posOffset>-1574165</wp:posOffset>
                  </wp:positionV>
                  <wp:extent cx="739775" cy="762000"/>
                  <wp:effectExtent l="0" t="0" r="3175" b="0"/>
                  <wp:wrapNone/>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739775" cy="762000"/>
                          </a:xfrm>
                          <a:prstGeom prst="rect">
                            <a:avLst/>
                          </a:prstGeom>
                        </pic:spPr>
                      </pic:pic>
                    </a:graphicData>
                  </a:graphic>
                </wp:anchor>
              </w:drawing>
            </w:r>
          </w:p>
        </w:tc>
        <w:tc>
          <w:tcPr>
            <w:tcW w:w="4189" w:type="dxa"/>
            <w:vAlign w:val="center"/>
          </w:tcPr>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1283970</wp:posOffset>
                      </wp:positionH>
                      <wp:positionV relativeFrom="paragraph">
                        <wp:posOffset>1081405</wp:posOffset>
                      </wp:positionV>
                      <wp:extent cx="628015" cy="499110"/>
                      <wp:effectExtent l="0" t="0" r="0" b="0"/>
                      <wp:wrapNone/>
                      <wp:docPr id="301" name="文本框 301"/>
                      <wp:cNvGraphicFramePr/>
                      <a:graphic xmlns:a="http://schemas.openxmlformats.org/drawingml/2006/main">
                        <a:graphicData uri="http://schemas.microsoft.com/office/word/2010/wordprocessingShape">
                          <wps:wsp>
                            <wps:cNvSpPr txBox="1"/>
                            <wps:spPr>
                              <a:xfrm>
                                <a:off x="0" y="0"/>
                                <a:ext cx="628015" cy="499110"/>
                              </a:xfrm>
                              <a:prstGeom prst="rect">
                                <a:avLst/>
                              </a:prstGeom>
                              <a:noFill/>
                              <a:ln w="6350">
                                <a:noFill/>
                              </a:ln>
                            </wps:spPr>
                            <wps:txbx>
                              <w:txbxContent>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w:t>
                                  </w:r>
                                  <w:r>
                                    <w:rPr>
                                      <w:rFonts w:hint="eastAsia" w:ascii="黑体" w:hAnsi="黑体" w:eastAsia="黑体" w:cs="Times New Roman"/>
                                      <w:color w:val="FFFF00"/>
                                      <w:kern w:val="0"/>
                                      <w:sz w:val="15"/>
                                      <w:szCs w:val="15"/>
                                      <w:lang w:val="en-US" w:eastAsia="zh-CN"/>
                                    </w:rPr>
                                    <w:t>平整</w:t>
                                  </w:r>
                                  <w:r>
                                    <w:rPr>
                                      <w:rFonts w:hint="eastAsia" w:ascii="黑体" w:hAnsi="黑体" w:eastAsia="黑体" w:cs="Times New Roman"/>
                                      <w:color w:val="FFFF00"/>
                                      <w:kern w:val="0"/>
                                      <w:sz w:val="15"/>
                                      <w:szCs w:val="15"/>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1.1pt;margin-top:85.15pt;height:39.3pt;width:49.45pt;z-index:251676672;mso-width-relative:page;mso-height-relative:page;" filled="f" stroked="f" coordsize="21600,21600" o:gfxdata="UEsDBAoAAAAAAIdO4kAAAAAAAAAAAAAAAAAEAAAAZHJzL1BLAwQUAAAACACHTuJAOA+miNoAAAAL&#10;AQAADwAAAGRycy9kb3ducmV2LnhtbE2Py07DMBBF90j8gzVI7KgdF2gIcSoUqUJCsGjpprtJ7CYR&#10;foTYfcDXM6xgOTpX954pl2dn2dFMcQheQTYTwIxvgx58p2D7vrrJgcWEXqMN3ij4MhGW1eVFiYUO&#10;J782x03qGJX4WKCCPqWx4Dy2vXEYZ2E0ntg+TA4TnVPH9YQnKneWSyHuucPB00KPo6l7035sDk7B&#10;S716w3UjXf5t6+fX/dP4ud3dKXV9lYlHYMmc018YfvVJHSpyasLB68isAimkpCiBhZgDo8RcZBmw&#10;htBt/gC8Kvn/H6ofUEsDBBQAAAAIAIdO4kAlhb4nPgIAAGkEAAAOAAAAZHJzL2Uyb0RvYy54bWyt&#10;VEtu2zAQ3RfoHQjua0mOnSZG5MBN4KJA0ARwi65piooE8FeStpQeoL1BVt1033PlHH2kbCdIu8ii&#10;G3k4M5yZ9+bRZ+e9kmQrnG+NLmkxyikRmpuq1bcl/fxp+eaEEh+Yrpg0WpT0Tnh6Pn/96qyzMzE2&#10;jZGVcARFtJ91tqRNCHaWZZ43QjE/MlZoBGvjFAs4utuscqxDdSWzcZ4fZ51xlXWGC+/hvRyCdFfR&#10;vaSgqeuWi0vDN0roMFR1QrIASL5prafzNG1dCx6u69qLQGRJgTSkL5rAXsdvNj9js1vHbNPy3Qjs&#10;JSM8w6RYq9H0UOqSBUY2rv2rlGq5M97UYcSNygYgiRGgKPJn3KwaZkXCAqq9PZDu/19Z/nF740hb&#10;lfQoLyjRTGHlD/c/Hn7+fvj1nUQnKOqsnyFzZZEb+nemh3D2fg9nRN7XTsVfYCKIg+C7A8GiD4TD&#10;eTw+yYspJRyhyelpUaQFZI+XrfPhvTCKRKOkDvtLtLLtlQ8YBKn7lNhLm2UrZdqh1KRDg6Npni4c&#10;IrghNS5GCMOo0Qr9ut/hWpvqDrCcGbThLV+2aH7FfLhhDmIAEjyXcI1PLQ2amJ1FSWPct3/5Yz52&#10;hCglHcRVUv91w5ygRH7Q2N5pMZlENabDZPp2jIN7Glk/jeiNujDQL/aD6ZIZ84Pcm7Uz6gte1SJ2&#10;RYhpjt4lDXvzIgySx6vkYrFISdCfZeFKryyPpQc6F5tg6jYxHWkauNmxBwWmBexeS5T403PKevyH&#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A+miNoAAAALAQAADwAAAAAAAAABACAAAAAiAAAA&#10;ZHJzL2Rvd25yZXYueG1sUEsBAhQAFAAAAAgAh07iQCWFvic+AgAAaQQAAA4AAAAAAAAAAQAgAAAA&#10;KQEAAGRycy9lMm9Eb2MueG1sUEsFBgAAAAAGAAYAWQEAANkFAAAAAA==&#10;">
                      <v:fill on="f" focussize="0,0"/>
                      <v:stroke on="f" weight="0.5pt"/>
                      <v:imagedata o:title=""/>
                      <o:lock v:ext="edit" aspectratio="f"/>
                      <v:textbox>
                        <w:txbxContent>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变化区域</w:t>
                            </w:r>
                          </w:p>
                          <w:p>
                            <w:pPr>
                              <w:widowControl/>
                              <w:adjustRightInd w:val="0"/>
                              <w:snapToGrid w:val="0"/>
                              <w:spacing w:line="360" w:lineRule="auto"/>
                              <w:rPr>
                                <w:rFonts w:ascii="黑体" w:hAnsi="黑体" w:eastAsia="黑体" w:cs="Times New Roman"/>
                                <w:color w:val="FFFF00"/>
                                <w:kern w:val="0"/>
                                <w:sz w:val="15"/>
                                <w:szCs w:val="15"/>
                              </w:rPr>
                            </w:pPr>
                            <w:r>
                              <w:rPr>
                                <w:rFonts w:hint="eastAsia" w:ascii="黑体" w:hAnsi="黑体" w:eastAsia="黑体" w:cs="Times New Roman"/>
                                <w:color w:val="FFFF00"/>
                                <w:kern w:val="0"/>
                                <w:sz w:val="15"/>
                                <w:szCs w:val="15"/>
                              </w:rPr>
                              <w:t>（</w:t>
                            </w:r>
                            <w:r>
                              <w:rPr>
                                <w:rFonts w:hint="eastAsia" w:ascii="黑体" w:hAnsi="黑体" w:eastAsia="黑体" w:cs="Times New Roman"/>
                                <w:color w:val="FFFF00"/>
                                <w:kern w:val="0"/>
                                <w:sz w:val="15"/>
                                <w:szCs w:val="15"/>
                                <w:lang w:val="en-US" w:eastAsia="zh-CN"/>
                              </w:rPr>
                              <w:t>平整</w:t>
                            </w:r>
                            <w:r>
                              <w:rPr>
                                <w:rFonts w:hint="eastAsia" w:ascii="黑体" w:hAnsi="黑体" w:eastAsia="黑体" w:cs="Times New Roman"/>
                                <w:color w:val="FFFF00"/>
                                <w:kern w:val="0"/>
                                <w:sz w:val="15"/>
                                <w:szCs w:val="15"/>
                              </w:rPr>
                              <w:t>）</w:t>
                            </w:r>
                          </w:p>
                        </w:txbxContent>
                      </v:textbox>
                    </v:shape>
                  </w:pict>
                </mc:Fallback>
              </mc:AlternateContent>
            </w:r>
            <w:r>
              <w:rPr>
                <w:rFonts w:ascii="Times New Roman" w:hAnsi="Times New Roman" w:eastAsia="宋体" w:cs="Times New Roman"/>
                <w:kern w:val="2"/>
                <w:szCs w:val="21"/>
                <w:lang w:val="en-US" w:eastAsia="zh-CN" w:bidi="ar-SA"/>
              </w:rPr>
              <w:drawing>
                <wp:anchor distT="0" distB="0" distL="114300" distR="114300" simplePos="0" relativeHeight="251695104" behindDoc="0" locked="0" layoutInCell="1" allowOverlap="1">
                  <wp:simplePos x="0" y="0"/>
                  <wp:positionH relativeFrom="column">
                    <wp:posOffset>2224405</wp:posOffset>
                  </wp:positionH>
                  <wp:positionV relativeFrom="paragraph">
                    <wp:posOffset>72390</wp:posOffset>
                  </wp:positionV>
                  <wp:extent cx="396240" cy="408305"/>
                  <wp:effectExtent l="9525" t="9525" r="13335" b="20320"/>
                  <wp:wrapNone/>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6240" cy="408305"/>
                          </a:xfrm>
                          <a:prstGeom prst="rect">
                            <a:avLst/>
                          </a:prstGeom>
                          <a:ln>
                            <a:solidFill>
                              <a:srgbClr val="000000"/>
                            </a:solidFill>
                          </a:ln>
                        </pic:spPr>
                      </pic:pic>
                    </a:graphicData>
                  </a:graphic>
                </wp:anchor>
              </w:drawing>
            </w:r>
            <w:r>
              <w:drawing>
                <wp:inline distT="0" distB="0" distL="114300" distR="114300">
                  <wp:extent cx="2658110" cy="1955165"/>
                  <wp:effectExtent l="0" t="0" r="0" b="0"/>
                  <wp:docPr id="6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1"/>
                          <pic:cNvPicPr>
                            <a:picLocks noChangeAspect="1"/>
                          </pic:cNvPicPr>
                        </pic:nvPicPr>
                        <pic:blipFill>
                          <a:blip r:embed="rId37"/>
                          <a:srcRect l="6869" r="10273"/>
                          <a:stretch>
                            <a:fillRect/>
                          </a:stretch>
                        </pic:blipFill>
                        <pic:spPr>
                          <a:xfrm>
                            <a:off x="0" y="0"/>
                            <a:ext cx="2658110" cy="1955165"/>
                          </a:xfrm>
                          <a:prstGeom prst="rect">
                            <a:avLst/>
                          </a:prstGeom>
                          <a:noFill/>
                          <a:ln>
                            <a:noFill/>
                          </a:ln>
                        </pic:spPr>
                      </pic:pic>
                    </a:graphicData>
                  </a:graphic>
                </wp:inline>
              </w:drawing>
            </w:r>
            <w:r>
              <w:rPr>
                <w:rFonts w:ascii="Times New Roman" w:hAnsi="Times New Roman" w:eastAsia="宋体" w:cs="Times New Roman"/>
                <w:b/>
                <w:kern w:val="2"/>
                <w:szCs w:val="21"/>
                <w:lang w:val="en-US" w:eastAsia="zh-CN" w:bidi="ar-SA"/>
              </w:rPr>
              <w:drawing>
                <wp:anchor distT="0" distB="0" distL="114300" distR="114300" simplePos="0" relativeHeight="251678720" behindDoc="0" locked="0" layoutInCell="1" allowOverlap="1">
                  <wp:simplePos x="0" y="0"/>
                  <wp:positionH relativeFrom="column">
                    <wp:posOffset>5153025</wp:posOffset>
                  </wp:positionH>
                  <wp:positionV relativeFrom="paragraph">
                    <wp:posOffset>460375</wp:posOffset>
                  </wp:positionV>
                  <wp:extent cx="739775" cy="762000"/>
                  <wp:effectExtent l="0" t="0" r="3175" b="0"/>
                  <wp:wrapNone/>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740973" cy="763142"/>
                          </a:xfrm>
                          <a:prstGeom prst="rect">
                            <a:avLst/>
                          </a:prstGeom>
                        </pic:spPr>
                      </pic:pic>
                    </a:graphicData>
                  </a:graphic>
                </wp:anchor>
              </w:drawing>
            </w:r>
          </w:p>
          <w:p>
            <w:pPr>
              <w:widowControl w:val="0"/>
              <w:adjustRightInd w:val="0"/>
              <w:snapToGrid w:val="0"/>
              <w:spacing w:before="97" w:beforeLines="30" w:line="240" w:lineRule="auto"/>
              <w:ind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w:t>
            </w:r>
            <w:r>
              <w:rPr>
                <w:rFonts w:ascii="Times New Roman" w:hAnsi="Times New Roman" w:eastAsia="宋体" w:cs="Times New Roman"/>
                <w:kern w:val="2"/>
                <w:sz w:val="21"/>
                <w:szCs w:val="21"/>
                <w:lang w:val="en-US" w:eastAsia="zh-CN" w:bidi="ar-SA"/>
              </w:rPr>
              <w:t>0</w:t>
            </w:r>
            <w:r>
              <w:rPr>
                <w:rFonts w:hint="eastAsia" w:cs="Times New Roman"/>
                <w:kern w:val="2"/>
                <w:sz w:val="21"/>
                <w:szCs w:val="21"/>
                <w:lang w:val="en-US" w:eastAsia="zh-CN" w:bidi="ar-SA"/>
              </w:rPr>
              <w:t>22</w:t>
            </w:r>
            <w:r>
              <w:rPr>
                <w:rFonts w:hint="eastAsia" w:ascii="Times New Roman" w:hAnsi="Times New Roman" w:eastAsia="宋体" w:cs="Times New Roman"/>
                <w:kern w:val="2"/>
                <w:sz w:val="21"/>
                <w:szCs w:val="21"/>
                <w:lang w:val="en-US" w:eastAsia="zh-CN" w:bidi="ar-SA"/>
              </w:rPr>
              <w:t>年</w:t>
            </w:r>
            <w:r>
              <w:rPr>
                <w:rFonts w:hint="eastAsia" w:cs="Times New Roman"/>
                <w:kern w:val="2"/>
                <w:sz w:val="21"/>
                <w:szCs w:val="21"/>
                <w:lang w:val="en-US" w:eastAsia="zh-CN" w:bidi="ar-SA"/>
              </w:rPr>
              <w:t>6</w:t>
            </w:r>
            <w:r>
              <w:rPr>
                <w:rFonts w:hint="eastAsia" w:ascii="Times New Roman" w:hAnsi="Times New Roman" w:eastAsia="宋体" w:cs="Times New Roman"/>
                <w:kern w:val="2"/>
                <w:sz w:val="21"/>
                <w:szCs w:val="21"/>
                <w:lang w:val="en-US" w:eastAsia="zh-CN" w:bidi="ar-SA"/>
              </w:rPr>
              <w:t>月卫星影像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384" w:type="dxa"/>
            <w:vAlign w:val="center"/>
          </w:tcPr>
          <w:p>
            <w:pPr>
              <w:widowControl w:val="0"/>
              <w:adjustRightInd w:val="0"/>
              <w:snapToGrid w:val="0"/>
              <w:spacing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变化情况</w:t>
            </w:r>
          </w:p>
        </w:tc>
        <w:tc>
          <w:tcPr>
            <w:tcW w:w="7166" w:type="dxa"/>
            <w:gridSpan w:val="2"/>
            <w:vAlign w:val="center"/>
          </w:tcPr>
          <w:p>
            <w:pPr>
              <w:widowControl w:val="0"/>
              <w:adjustRightInd w:val="0"/>
              <w:snapToGrid w:val="0"/>
              <w:spacing w:before="97" w:beforeLines="30" w:line="240" w:lineRule="auto"/>
              <w:ind w:firstLine="0" w:firstLineChars="0"/>
              <w:jc w:val="both"/>
              <w:rPr>
                <w:rFonts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安琪健康食品产业园场地平整。</w:t>
            </w:r>
            <w:r>
              <w:rPr>
                <w:rFonts w:ascii="Times New Roman" w:hAnsi="Times New Roman" w:eastAsia="宋体" w:cs="Times New Roman"/>
                <w:b/>
                <w:kern w:val="2"/>
                <w:szCs w:val="21"/>
                <w:lang w:val="en-US" w:eastAsia="zh-CN" w:bidi="ar-SA"/>
              </w:rPr>
              <w:drawing>
                <wp:anchor distT="0" distB="0" distL="114300" distR="114300" simplePos="0" relativeHeight="251679744" behindDoc="0" locked="0" layoutInCell="1" allowOverlap="1">
                  <wp:simplePos x="0" y="0"/>
                  <wp:positionH relativeFrom="column">
                    <wp:posOffset>7195820</wp:posOffset>
                  </wp:positionH>
                  <wp:positionV relativeFrom="paragraph">
                    <wp:posOffset>-2108835</wp:posOffset>
                  </wp:positionV>
                  <wp:extent cx="739775" cy="762000"/>
                  <wp:effectExtent l="0" t="0" r="3175" b="0"/>
                  <wp:wrapNone/>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740973" cy="763142"/>
                          </a:xfrm>
                          <a:prstGeom prst="rect">
                            <a:avLst/>
                          </a:prstGeom>
                        </pic:spPr>
                      </pic:pic>
                    </a:graphicData>
                  </a:graphic>
                </wp:anchor>
              </w:drawing>
            </w:r>
          </w:p>
        </w:tc>
      </w:tr>
    </w:tbl>
    <w:p>
      <w:pPr>
        <w:keepNext w:val="0"/>
        <w:keepLines w:val="0"/>
        <w:pageBreakBefore w:val="0"/>
        <w:widowControl/>
        <w:kinsoku/>
        <w:wordWrap/>
        <w:overflowPunct/>
        <w:topLinePunct w:val="0"/>
        <w:autoSpaceDE/>
        <w:autoSpaceDN/>
        <w:bidi w:val="0"/>
        <w:adjustRightInd w:val="0"/>
        <w:snapToGrid w:val="0"/>
        <w:spacing w:before="164" w:beforeLines="50" w:line="360" w:lineRule="auto"/>
        <w:ind w:firstLine="480" w:firstLineChars="200"/>
        <w:textAlignment w:val="auto"/>
        <w:rPr>
          <w:rFonts w:hint="eastAsia" w:ascii="Times New Roman" w:hAnsi="Times New Roman" w:eastAsia="宋体" w:cs="Times New Roman"/>
          <w:kern w:val="0"/>
          <w:sz w:val="24"/>
          <w:szCs w:val="24"/>
          <w:lang w:val="en-US" w:eastAsia="zh-CN"/>
        </w:rPr>
      </w:pPr>
      <w:r>
        <w:rPr>
          <w:rFonts w:hint="eastAsia"/>
          <w:color w:val="auto"/>
          <w:sz w:val="24"/>
          <w:szCs w:val="24"/>
          <w:lang w:val="en-US" w:eastAsia="zh-CN"/>
        </w:rPr>
        <w:t>通过调查地块周边范围土地开发利用情况及周边地块历史卫星图片分析可知，调查地块一直为闲置荒地、农田、坑塘水面和农村宅基地。在调查地块1km 范围内敏感目标为村民、地表水体。根据最新影像资料，周边四至范围有少量地块目前在进行工厂建设及运营活动。</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eastAsia" w:cs="Times New Roman"/>
          <w:kern w:val="0"/>
          <w:sz w:val="24"/>
          <w:szCs w:val="24"/>
          <w:lang w:val="en-US" w:eastAsia="zh-CN"/>
        </w:rPr>
        <w:t>1、</w:t>
      </w:r>
      <w:r>
        <w:rPr>
          <w:rFonts w:hint="eastAsia" w:cs="Times New Roman"/>
          <w:b/>
          <w:bCs/>
          <w:kern w:val="0"/>
          <w:sz w:val="24"/>
          <w:szCs w:val="24"/>
        </w:rPr>
        <w:t>宜昌市统领傢俬有限公司</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（1）建设内容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eastAsia" w:ascii="Times New Roman" w:hAnsi="宋体" w:eastAsia="宋体"/>
        </w:rPr>
        <w:t>宜昌市统领傢俬有限公司家具生产线建设项目</w:t>
      </w:r>
      <w:r>
        <w:rPr>
          <w:rFonts w:hint="eastAsia"/>
          <w:sz w:val="24"/>
        </w:rPr>
        <w:t>占地面积27620m</w:t>
      </w:r>
      <w:r>
        <w:rPr>
          <w:rFonts w:hint="eastAsia"/>
          <w:sz w:val="24"/>
          <w:szCs w:val="24"/>
          <w:vertAlign w:val="superscript"/>
        </w:rPr>
        <w:t>2</w:t>
      </w:r>
      <w:r>
        <w:rPr>
          <w:rFonts w:hint="eastAsia"/>
          <w:sz w:val="24"/>
        </w:rPr>
        <w:t>，总建筑面积31158m</w:t>
      </w:r>
      <w:r>
        <w:rPr>
          <w:rFonts w:hint="eastAsia"/>
          <w:sz w:val="24"/>
          <w:szCs w:val="24"/>
          <w:vertAlign w:val="superscript"/>
        </w:rPr>
        <w:t>2</w:t>
      </w:r>
      <w:r>
        <w:rPr>
          <w:rFonts w:hint="eastAsia"/>
          <w:sz w:val="24"/>
        </w:rPr>
        <w:t>，主要建设内容为新建1栋1层实木及板式车间、1栋1层喷涂车间、1栋2层安装车间、1栋2层成品仓库、1栋4层办公楼和1栋4层科研楼。</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（2）原辅材料</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本项目使用的原辅料主要有多层板材、实木板、PU底漆、PU面漆、稀释剂、白乳胶、拼皮、砂纸、活性炭等。</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（3）生产工艺流程</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eastAsia"/>
          <w:b w:val="0"/>
          <w:bCs w:val="0"/>
          <w:lang w:val="en-US" w:eastAsia="zh-CN"/>
        </w:rPr>
        <w:t>1）</w:t>
      </w:r>
      <w:r>
        <w:rPr>
          <w:rFonts w:hint="eastAsia"/>
          <w:b w:val="0"/>
          <w:bCs w:val="0"/>
        </w:rPr>
        <w:t>实木家具</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eastAsia" w:cs="Times New Roman"/>
          <w:kern w:val="0"/>
          <w:sz w:val="24"/>
          <w:szCs w:val="24"/>
          <w:lang w:val="en-US" w:eastAsia="zh-CN"/>
        </w:rPr>
        <w:t>①</w:t>
      </w:r>
      <w:r>
        <w:rPr>
          <w:rFonts w:hint="default" w:cs="Times New Roman"/>
          <w:kern w:val="0"/>
          <w:sz w:val="24"/>
          <w:szCs w:val="24"/>
          <w:lang w:val="en-US" w:eastAsia="zh-CN"/>
        </w:rPr>
        <w:t>开料：按照用户要求的规格对原料板材和实木进行开料切割。</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default" w:cs="Times New Roman"/>
          <w:kern w:val="0"/>
          <w:sz w:val="24"/>
          <w:szCs w:val="24"/>
          <w:lang w:val="en-US" w:eastAsia="zh-CN"/>
        </w:rPr>
        <w:t>②配皮冷压：拼皮经裁剪成规定尺寸；加入白乳胶通过冷压机（不加热）对木材进行冷胶压。</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default" w:cs="Times New Roman"/>
          <w:kern w:val="0"/>
          <w:sz w:val="24"/>
          <w:szCs w:val="24"/>
          <w:lang w:val="en-US" w:eastAsia="zh-CN"/>
        </w:rPr>
        <w:t>③精裁、封边：冷压后对木材四周进行精裁除去毛边，再进行封边。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default" w:cs="Times New Roman"/>
          <w:kern w:val="0"/>
          <w:sz w:val="24"/>
          <w:szCs w:val="24"/>
          <w:lang w:val="en-US" w:eastAsia="zh-CN"/>
        </w:rPr>
        <w:t>④打磨：封边之后用砂纸对工件白坯进行砂磨。</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default" w:cs="Times New Roman"/>
          <w:kern w:val="0"/>
          <w:sz w:val="24"/>
          <w:szCs w:val="24"/>
          <w:lang w:val="en-US" w:eastAsia="zh-CN"/>
        </w:rPr>
        <w:t>⑤喷漆：调漆、喷漆、自然晾干均在喷漆车间内。喷漆工序在封闭的喷漆房内进行，底漆和面漆均同稀释剂配合使用，比例为3：1，调漆工序在漆房内进行。砂磨好的工件进入喷漆房进行底漆喷涂，自然晾干后采用砂纸细磨，再进行面漆喷涂，自然晾干。晾干后的产品进行抛光处理。</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cs="Times New Roman"/>
          <w:kern w:val="0"/>
          <w:sz w:val="24"/>
          <w:szCs w:val="24"/>
          <w:lang w:val="en-US" w:eastAsia="zh-CN"/>
        </w:rPr>
      </w:pPr>
      <w:r>
        <w:rPr>
          <w:rFonts w:hint="default" w:cs="Times New Roman"/>
          <w:kern w:val="0"/>
          <w:sz w:val="24"/>
          <w:szCs w:val="24"/>
          <w:lang w:val="en-US" w:eastAsia="zh-CN"/>
        </w:rPr>
        <w:t>⑥包装：实木家具经组装、包装后入库。</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eastAsia="宋体" w:cs="Times New Roman"/>
          <w:kern w:val="0"/>
          <w:sz w:val="24"/>
          <w:szCs w:val="24"/>
          <w:lang w:val="en-US" w:eastAsia="zh-CN"/>
        </w:rPr>
      </w:pPr>
      <w:r>
        <w:rPr>
          <w:rFonts w:hint="eastAsia"/>
          <w:b w:val="0"/>
          <w:bCs w:val="0"/>
          <w:lang w:val="en-US" w:eastAsia="zh-CN"/>
        </w:rPr>
        <w:t>2）</w:t>
      </w:r>
      <w:r>
        <w:rPr>
          <w:rFonts w:hint="eastAsia"/>
          <w:b w:val="0"/>
          <w:bCs w:val="0"/>
        </w:rPr>
        <w:t>板式家具</w:t>
      </w:r>
      <w:r>
        <w:rPr>
          <w:rFonts w:hint="eastAsia"/>
          <w:b w:val="0"/>
          <w:bCs w:val="0"/>
          <w:lang w:val="en-US" w:eastAsia="zh-CN"/>
        </w:rPr>
        <w:t>生产工艺流程</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①开料：按照用户要求的规格对原料板材和实木进行开料切割。</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②铣型、砂磨：按照家具设计图纸，铣成不同规格形状，再采用砂纸对边、角进行砂磨。</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③冷压成型：加入白乳胶通过冷压机对木材进行冷胶压（不加热）。</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④精裁、封边、钻孔：冷压后对木材四周进行精裁除去毛边，再进行封边；通过多排钻、钻孔机等机械进行钻孔、开槽等加工。</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val="en-US" w:eastAsia="zh-CN"/>
        </w:rPr>
      </w:pPr>
      <w:r>
        <w:rPr>
          <w:rFonts w:hint="eastAsia" w:cs="Times New Roman"/>
          <w:kern w:val="0"/>
          <w:sz w:val="24"/>
          <w:szCs w:val="24"/>
          <w:lang w:val="en-US" w:eastAsia="zh-CN"/>
        </w:rPr>
        <w:t>⑤预埋处理、组装：预埋处理即螺丝、螺帽组装前，部分螺母提前放入已钻好的孔内。将完成上述操作的各配件与外购的成品配件进行组装、包装，入库。</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rPr>
      </w:pPr>
      <w:r>
        <w:rPr>
          <w:rFonts w:hint="eastAsia" w:cs="Times New Roman"/>
          <w:kern w:val="0"/>
          <w:sz w:val="24"/>
          <w:szCs w:val="24"/>
          <w:lang w:val="en-US" w:eastAsia="zh-CN"/>
        </w:rPr>
        <w:t>地块</w:t>
      </w:r>
      <w:r>
        <w:rPr>
          <w:rFonts w:hint="eastAsia" w:cs="Times New Roman"/>
          <w:kern w:val="0"/>
          <w:sz w:val="24"/>
          <w:szCs w:val="24"/>
        </w:rPr>
        <w:t>南侧</w:t>
      </w:r>
      <w:r>
        <w:rPr>
          <w:rFonts w:hint="eastAsia" w:cs="Times New Roman"/>
          <w:kern w:val="0"/>
          <w:sz w:val="24"/>
          <w:szCs w:val="24"/>
          <w:lang w:val="en-US" w:eastAsia="zh-CN"/>
        </w:rPr>
        <w:t>紧邻</w:t>
      </w:r>
      <w:r>
        <w:rPr>
          <w:rFonts w:hint="eastAsia" w:cs="Times New Roman"/>
          <w:kern w:val="0"/>
          <w:sz w:val="24"/>
          <w:szCs w:val="24"/>
        </w:rPr>
        <w:t>宜昌市统领傢俬有限公司，该公司主要为</w:t>
      </w:r>
      <w:r>
        <w:rPr>
          <w:rFonts w:hint="eastAsia" w:cs="Times New Roman"/>
          <w:kern w:val="0"/>
          <w:sz w:val="24"/>
          <w:szCs w:val="24"/>
          <w:lang w:val="en-US" w:eastAsia="zh-CN"/>
        </w:rPr>
        <w:t>家具</w:t>
      </w:r>
      <w:r>
        <w:rPr>
          <w:rFonts w:hint="eastAsia" w:cs="Times New Roman"/>
          <w:kern w:val="0"/>
          <w:sz w:val="24"/>
          <w:szCs w:val="24"/>
        </w:rPr>
        <w:t>产品----</w:t>
      </w:r>
      <w:r>
        <w:rPr>
          <w:rFonts w:hint="eastAsia" w:ascii="Times New Roman" w:hAnsi="Times New Roman" w:eastAsia="宋体" w:cs="Times New Roman"/>
          <w:kern w:val="2"/>
          <w:sz w:val="24"/>
          <w:szCs w:val="24"/>
          <w:lang w:val="en-US" w:eastAsia="zh-CN" w:bidi="ar-SA"/>
        </w:rPr>
        <w:t>高档傢俬及木制品、全屋定制家具、酒店家具、办公家具及文教用品（不含音像制品、图书报刊）</w:t>
      </w:r>
      <w:r>
        <w:rPr>
          <w:rFonts w:hint="eastAsia" w:cs="Times New Roman"/>
          <w:kern w:val="0"/>
          <w:sz w:val="24"/>
          <w:szCs w:val="24"/>
        </w:rPr>
        <w:t>的生产。</w:t>
      </w:r>
      <w:bookmarkStart w:id="23" w:name="_Hlk97134060"/>
      <w:r>
        <w:rPr>
          <w:rFonts w:hint="eastAsia" w:cs="Times New Roman"/>
          <w:kern w:val="0"/>
          <w:sz w:val="24"/>
          <w:szCs w:val="24"/>
        </w:rPr>
        <w:t>本</w:t>
      </w:r>
      <w:r>
        <w:rPr>
          <w:rFonts w:hint="eastAsia" w:cs="Times New Roman"/>
          <w:kern w:val="0"/>
          <w:sz w:val="24"/>
          <w:szCs w:val="24"/>
          <w:lang w:val="en-US" w:eastAsia="zh-CN"/>
        </w:rPr>
        <w:t>地块</w:t>
      </w:r>
      <w:r>
        <w:rPr>
          <w:rFonts w:hint="eastAsia" w:cs="Times New Roman"/>
          <w:kern w:val="0"/>
          <w:sz w:val="24"/>
          <w:szCs w:val="24"/>
        </w:rPr>
        <w:t>位于</w:t>
      </w:r>
      <w:r>
        <w:rPr>
          <w:rFonts w:hint="eastAsia" w:cs="Times New Roman"/>
          <w:kern w:val="0"/>
          <w:sz w:val="24"/>
          <w:szCs w:val="24"/>
          <w:lang w:val="en-US" w:eastAsia="zh-CN"/>
        </w:rPr>
        <w:t>统领傢俬下</w:t>
      </w:r>
      <w:r>
        <w:rPr>
          <w:rFonts w:hint="eastAsia" w:cs="Times New Roman"/>
          <w:kern w:val="0"/>
          <w:sz w:val="24"/>
          <w:szCs w:val="24"/>
        </w:rPr>
        <w:t>风向，由于本</w:t>
      </w:r>
      <w:r>
        <w:rPr>
          <w:rFonts w:hint="eastAsia" w:cs="Times New Roman"/>
          <w:kern w:val="0"/>
          <w:sz w:val="24"/>
          <w:szCs w:val="24"/>
          <w:lang w:val="en-US" w:eastAsia="zh-CN"/>
        </w:rPr>
        <w:t>地块</w:t>
      </w:r>
      <w:r>
        <w:rPr>
          <w:rFonts w:hint="eastAsia" w:cs="Times New Roman"/>
          <w:kern w:val="0"/>
          <w:sz w:val="24"/>
          <w:szCs w:val="24"/>
        </w:rPr>
        <w:t>与</w:t>
      </w:r>
      <w:r>
        <w:rPr>
          <w:rFonts w:hint="eastAsia" w:cs="Times New Roman"/>
          <w:kern w:val="0"/>
          <w:sz w:val="24"/>
          <w:szCs w:val="24"/>
          <w:lang w:val="en-US" w:eastAsia="zh-CN"/>
        </w:rPr>
        <w:t>统领傢俬隔了一个山头</w:t>
      </w:r>
      <w:r>
        <w:rPr>
          <w:rFonts w:hint="eastAsia" w:cs="Times New Roman"/>
          <w:kern w:val="0"/>
          <w:sz w:val="24"/>
          <w:szCs w:val="24"/>
        </w:rPr>
        <w:t>，且</w:t>
      </w:r>
      <w:r>
        <w:rPr>
          <w:rFonts w:hint="eastAsia" w:cs="Times New Roman"/>
          <w:kern w:val="0"/>
          <w:sz w:val="24"/>
          <w:szCs w:val="24"/>
          <w:lang w:val="en-US" w:eastAsia="zh-CN"/>
        </w:rPr>
        <w:t>统领傢俬</w:t>
      </w:r>
      <w:r>
        <w:rPr>
          <w:rFonts w:hint="eastAsia" w:ascii="Times New Roman" w:hAnsi="Times New Roman" w:eastAsia="宋体" w:cs="Times New Roman"/>
          <w:kern w:val="2"/>
          <w:sz w:val="24"/>
          <w:szCs w:val="24"/>
          <w:lang w:val="en-US" w:eastAsia="zh-CN" w:bidi="ar-SA"/>
        </w:rPr>
        <w:t>喷漆工序均在密闭喷漆房（3个喷漆房）内进行，喷漆废气均采用水帘喷淋+UV光解催化+活性炭吸附装置（3套）处理，后经15m高排气筒排放至大气环境</w:t>
      </w:r>
      <w:r>
        <w:rPr>
          <w:rFonts w:hint="eastAsia" w:cs="Times New Roman"/>
          <w:kern w:val="0"/>
          <w:sz w:val="24"/>
          <w:szCs w:val="24"/>
        </w:rPr>
        <w:t>，因而本</w:t>
      </w:r>
      <w:r>
        <w:rPr>
          <w:rFonts w:hint="eastAsia" w:cs="Times New Roman"/>
          <w:kern w:val="0"/>
          <w:sz w:val="24"/>
          <w:szCs w:val="24"/>
          <w:lang w:val="en-US" w:eastAsia="zh-CN"/>
        </w:rPr>
        <w:t>地块</w:t>
      </w:r>
      <w:r>
        <w:rPr>
          <w:rFonts w:hint="eastAsia" w:cs="Times New Roman"/>
          <w:kern w:val="0"/>
          <w:sz w:val="24"/>
          <w:szCs w:val="24"/>
        </w:rPr>
        <w:t>受</w:t>
      </w:r>
      <w:r>
        <w:rPr>
          <w:rFonts w:hint="eastAsia" w:cs="Times New Roman"/>
          <w:kern w:val="0"/>
          <w:sz w:val="24"/>
          <w:szCs w:val="24"/>
          <w:lang w:val="en-US" w:eastAsia="zh-CN"/>
        </w:rPr>
        <w:t>统领傢俬</w:t>
      </w:r>
      <w:r>
        <w:rPr>
          <w:rFonts w:hint="eastAsia" w:cs="Times New Roman"/>
          <w:kern w:val="0"/>
          <w:sz w:val="24"/>
          <w:szCs w:val="24"/>
        </w:rPr>
        <w:t>厂区大气影沉降响较小，因此</w:t>
      </w:r>
      <w:r>
        <w:rPr>
          <w:rFonts w:hint="eastAsia" w:cs="Times New Roman"/>
          <w:kern w:val="0"/>
          <w:sz w:val="24"/>
          <w:szCs w:val="24"/>
          <w:lang w:val="en-US" w:eastAsia="zh-CN"/>
        </w:rPr>
        <w:t>南侧</w:t>
      </w:r>
      <w:r>
        <w:rPr>
          <w:rFonts w:hint="eastAsia" w:cs="Times New Roman"/>
          <w:kern w:val="0"/>
          <w:sz w:val="24"/>
          <w:szCs w:val="24"/>
        </w:rPr>
        <w:t>地块对本地块环境污染影响较小。</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w:t>
      </w:r>
      <w:r>
        <w:rPr>
          <w:rFonts w:hint="eastAsia" w:cs="Times New Roman"/>
          <w:kern w:val="0"/>
          <w:sz w:val="24"/>
          <w:szCs w:val="24"/>
          <w:lang w:val="en-US" w:eastAsia="zh-CN"/>
        </w:rPr>
        <w:t>4</w:t>
      </w:r>
      <w:r>
        <w:rPr>
          <w:rFonts w:hint="eastAsia" w:cs="Times New Roman"/>
          <w:kern w:val="0"/>
          <w:sz w:val="24"/>
          <w:szCs w:val="24"/>
          <w:lang w:eastAsia="zh-CN"/>
        </w:rPr>
        <w:t>）污染物防治措施</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val="en-US" w:eastAsia="zh-CN"/>
        </w:rPr>
        <w:t>1）</w:t>
      </w:r>
      <w:r>
        <w:rPr>
          <w:rFonts w:hint="eastAsia" w:cs="Times New Roman"/>
          <w:kern w:val="0"/>
          <w:sz w:val="24"/>
          <w:szCs w:val="24"/>
          <w:lang w:eastAsia="zh-CN"/>
        </w:rPr>
        <w:t>废气防治措施</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①喷漆废气：封闭式喷漆房，采用1套水帘漆雾过滤+活性炭吸附处理，尾气由1根15m高排气筒排放。</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②木工粉尘</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各粉尘产生工位的设备自带1套集气罩收集，再经抽风至1套中央布袋除尘器净化处理，净化率≥99%，尾气由1根15m排气筒高空排放；</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③食堂油烟：食堂油烟经烟废气经油烟净化器处理达到《饮食业油烟排放标准（试行）》（GB18483-2001）小型标准后，由油烟管道高于屋顶排放。</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val="en-US" w:eastAsia="zh-CN"/>
        </w:rPr>
        <w:t>2）</w:t>
      </w:r>
      <w:r>
        <w:rPr>
          <w:rFonts w:hint="eastAsia" w:cs="Times New Roman"/>
          <w:kern w:val="0"/>
          <w:sz w:val="24"/>
          <w:szCs w:val="24"/>
          <w:lang w:eastAsia="zh-CN"/>
        </w:rPr>
        <w:t>废水污染防治措施</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近期项目生活污水经隔油池、标准化粪池处理后，由吸粪车运至花艳污水处理厂处理。远期待园区污水管网建成后，项目生活污水经隔油池、标准化粪池处理达到《污水排放综合标准》（GB8978-1996）表4中三级标准值，由厂区总排口排入市政污水管网，经花艳污水处理厂进一步深化处理，终排柏临河花艳段。</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val="en-US" w:eastAsia="zh-CN"/>
        </w:rPr>
        <w:t>3）</w:t>
      </w:r>
      <w:r>
        <w:rPr>
          <w:rFonts w:hint="eastAsia" w:cs="Times New Roman"/>
          <w:kern w:val="0"/>
          <w:sz w:val="24"/>
          <w:szCs w:val="24"/>
          <w:lang w:eastAsia="zh-CN"/>
        </w:rPr>
        <w:t>噪声防治措施</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该项目噪声主要产生于锯床、钻床、空压机、风机等设备、运输车辆。工艺设备自带消声、减振设施。噪声治理一是在设备选型时选用噪声较低的设备；二是将噪声较高的设备安装在室内进行屏蔽；三是进行厂区绿化。四是进行合理布局，高噪声源尽量设置在离厂界较远的位置。</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4）固废污染防治措施</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cs="Times New Roman"/>
          <w:kern w:val="0"/>
          <w:sz w:val="24"/>
          <w:szCs w:val="24"/>
          <w:lang w:eastAsia="zh-CN"/>
        </w:rPr>
      </w:pPr>
      <w:r>
        <w:rPr>
          <w:rFonts w:hint="eastAsia" w:cs="Times New Roman"/>
          <w:kern w:val="0"/>
          <w:sz w:val="24"/>
          <w:szCs w:val="24"/>
          <w:lang w:eastAsia="zh-CN"/>
        </w:rPr>
        <w:t>生活垃圾由环卫部门统一清运处理；木屑废料、回收粉尘和包装废料经收集后外售综合利用。废活性炭、废漆渣、喷淋废水、废机油及含油抹布等危险废物委托有资质单位进行无害化处理，油漆桶由生产厂家回收处理。厂区应设置危险废物暂存间，危险废物临时堆放间应符合《危险废物贮存污染控制标准》（GB18597-2001）及2013年修改单要求。</w:t>
      </w:r>
    </w:p>
    <w:p>
      <w:pPr>
        <w:widowControl w:val="0"/>
        <w:adjustRightInd w:val="0"/>
        <w:snapToGrid w:val="0"/>
        <w:spacing w:line="360" w:lineRule="auto"/>
        <w:ind w:firstLine="482" w:firstLineChars="200"/>
        <w:jc w:val="both"/>
        <w:rPr>
          <w:rFonts w:hint="eastAsia" w:cs="Times New Roman"/>
          <w:kern w:val="0"/>
          <w:sz w:val="24"/>
          <w:szCs w:val="24"/>
          <w:lang w:val="en-US" w:eastAsia="zh-CN"/>
        </w:rPr>
      </w:pPr>
      <w:r>
        <w:rPr>
          <w:rFonts w:hint="eastAsia" w:cs="Times New Roman"/>
          <w:b/>
          <w:bCs/>
          <w:kern w:val="0"/>
          <w:sz w:val="24"/>
          <w:szCs w:val="24"/>
          <w:lang w:val="en-US" w:eastAsia="zh-CN"/>
        </w:rPr>
        <w:t>2、安琪健康食品产业园</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（1）建设内容</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安琪健康食品产业园用地60亩，新增建筑面积13230平方米，购置浆果清洗、杀菌、切片、压榨、糖浸、七级热风烘干设备和果汁真空浓缩、杀菌及无菌灌装等设备300余台（套），采用国际先进水平的智能制造技术，建设年产1万吨蔓越莓蜜饯和6000吨蔓越莓果汁生产线。</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（2）原辅材料</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本项目使用的原辅料主要有蔓越莓、白砂糖、蔗糖糖浆、麦芽糖浆、海藻糖、葵花籽油、焦亚硫酸钠等。</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（3）生产工艺流程</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将冷冻蔓越莓经解冻机流水（流水套用清洗产生的清洗水）解冻，对解冻后的蔓越莓进行人工分拣，分拣出其中的次果及枝叶，然后经清洗机流动水进行清洗，清洗后经切片机切片、压榨，压榨后果汁进入果汁进一步加工，果干进入蜜饯制作，经浓缩（采取蒸汽间接加热）、蒸汽杀菌后即为产品蔓越莓果汁。</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压榨后的蔓越莓果干加入白砂糖、麦芽糖浆、蔗糖糖浆、海藻糖、葵花籽油、焦亚硫酸钠进行腌制，当腌制的蔓越莓果糖度达到 60 度左右，进入烘干工序；稀糖经活性炭脱色、浓缩（采取蒸汽间接加热）后回用糖浸，糖浸后的蔓越莓果干进入烘箱烘干（采取蒸汽间接加热），当烘干至水份在 20%以下时，冷却至常温，包装、入库外售。</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（4）污染物防治措施</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废气：烘干废气经过水洗和碱液喷淋处理后，通过 15m 高排气筒排放；蒸汽发生器烟气通过“8m 烟囱”排放；污水处理站恶臭采取碱液喷淋处理后，通过 15m 高排气筒排放。</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废水：生活污水通过新建化粪池处理达标后外排市政污水管网，进入花艳污水处理厂集中处理，达标排放；生产废水经新建污水处理站（设计处理能力为 200m</w:t>
      </w:r>
      <w:r>
        <w:rPr>
          <w:rFonts w:hint="eastAsia" w:cs="Times New Roman"/>
          <w:kern w:val="0"/>
          <w:sz w:val="24"/>
          <w:szCs w:val="24"/>
          <w:vertAlign w:val="superscript"/>
          <w:lang w:val="en-US" w:eastAsia="zh-CN"/>
        </w:rPr>
        <w:t>3</w:t>
      </w:r>
      <w:r>
        <w:rPr>
          <w:rFonts w:hint="eastAsia" w:cs="Times New Roman"/>
          <w:kern w:val="0"/>
          <w:sz w:val="24"/>
          <w:szCs w:val="24"/>
          <w:lang w:val="en-US" w:eastAsia="zh-CN"/>
        </w:rPr>
        <w:t>/d，采取“细格栅+气浮+调节池+A</w:t>
      </w:r>
      <w:r>
        <w:rPr>
          <w:rFonts w:hint="eastAsia" w:cs="Times New Roman"/>
          <w:kern w:val="0"/>
          <w:sz w:val="24"/>
          <w:szCs w:val="24"/>
          <w:vertAlign w:val="superscript"/>
          <w:lang w:val="en-US" w:eastAsia="zh-CN"/>
        </w:rPr>
        <w:t>2</w:t>
      </w:r>
      <w:r>
        <w:rPr>
          <w:rFonts w:hint="eastAsia" w:cs="Times New Roman"/>
          <w:kern w:val="0"/>
          <w:sz w:val="24"/>
          <w:szCs w:val="24"/>
          <w:lang w:val="en-US" w:eastAsia="zh-CN"/>
        </w:rPr>
        <w:t>/O 一体化设备”处理工艺后外排市政污水管网，进入花艳污水处理厂集中处理，达标排放。</w:t>
      </w:r>
    </w:p>
    <w:p>
      <w:pPr>
        <w:widowControl w:val="0"/>
        <w:adjustRightInd w:val="0"/>
        <w:snapToGrid w:val="0"/>
        <w:spacing w:line="360" w:lineRule="auto"/>
        <w:ind w:firstLine="480" w:firstLineChars="200"/>
        <w:jc w:val="both"/>
        <w:rPr>
          <w:rFonts w:hint="eastAsia" w:cs="Times New Roman"/>
          <w:kern w:val="0"/>
          <w:sz w:val="24"/>
          <w:szCs w:val="24"/>
          <w:lang w:val="en-US" w:eastAsia="zh-CN"/>
        </w:rPr>
      </w:pPr>
      <w:r>
        <w:rPr>
          <w:rFonts w:hint="eastAsia" w:cs="Times New Roman"/>
          <w:kern w:val="0"/>
          <w:sz w:val="24"/>
          <w:szCs w:val="24"/>
          <w:lang w:val="en-US" w:eastAsia="zh-CN"/>
        </w:rPr>
        <w:t>固废：生活垃圾集中收集后交由当地环卫部门进行清运处理；次果及枝叶、废活性炭、废离子交换树脂、污水处理系统污泥均集中收集后交由当地环卫部门进行清运处理；废包装材料集中收集后外售废品回收商；废润滑油暂存于危废暂存间，定期交由有资质的单位进行处置。</w:t>
      </w:r>
    </w:p>
    <w:p>
      <w:pPr>
        <w:widowControl w:val="0"/>
        <w:adjustRightInd w:val="0"/>
        <w:snapToGrid w:val="0"/>
        <w:spacing w:line="360" w:lineRule="auto"/>
        <w:ind w:firstLine="480" w:firstLineChars="200"/>
        <w:jc w:val="both"/>
        <w:rPr>
          <w:rFonts w:hint="default" w:cs="Times New Roman"/>
          <w:kern w:val="2"/>
          <w:sz w:val="24"/>
          <w:szCs w:val="24"/>
          <w:lang w:val="en-US" w:eastAsia="zh-CN" w:bidi="ar-SA"/>
        </w:rPr>
      </w:pPr>
      <w:r>
        <w:rPr>
          <w:rFonts w:hint="default" w:cs="Times New Roman"/>
          <w:kern w:val="2"/>
          <w:sz w:val="24"/>
          <w:szCs w:val="24"/>
          <w:lang w:val="en-US" w:eastAsia="zh-CN" w:bidi="ar-SA"/>
        </w:rPr>
        <w:t>本次调查地块周边两个工业企业无重金属及持久性有机污染物产生，各项污染物均有合理处理处置方法，对本次调查地块无土壤及地下水污染途径，因此相邻地块对本地块环境污染影响较小。</w:t>
      </w:r>
    </w:p>
    <w:bookmarkEnd w:id="23"/>
    <w:p>
      <w:pPr>
        <w:keepNext/>
        <w:keepLines/>
        <w:numPr>
          <w:ilvl w:val="1"/>
          <w:numId w:val="1"/>
        </w:numPr>
        <w:adjustRightInd w:val="0"/>
        <w:snapToGrid w:val="0"/>
        <w:spacing w:before="326" w:beforeLines="100" w:line="360" w:lineRule="auto"/>
        <w:jc w:val="both"/>
        <w:outlineLvl w:val="1"/>
        <w:rPr>
          <w:rFonts w:ascii="Times New Roman" w:hAnsi="Times New Roman" w:eastAsia="宋体" w:cs="Times New Roman"/>
          <w:b/>
          <w:bCs/>
          <w:sz w:val="28"/>
          <w:szCs w:val="32"/>
          <w:lang w:val="en-US" w:eastAsia="zh-CN" w:bidi="ar-SA"/>
        </w:rPr>
      </w:pPr>
      <w:bookmarkStart w:id="24" w:name="_Toc16046"/>
      <w:r>
        <w:rPr>
          <w:rFonts w:hint="eastAsia" w:ascii="Times New Roman" w:hAnsi="Times New Roman" w:eastAsia="宋体" w:cs="Times New Roman"/>
          <w:b/>
          <w:bCs/>
          <w:sz w:val="28"/>
          <w:szCs w:val="32"/>
          <w:lang w:val="en-US" w:eastAsia="zh-CN" w:bidi="ar-SA"/>
        </w:rPr>
        <w:t>地块利用的规划</w:t>
      </w:r>
      <w:bookmarkEnd w:id="24"/>
    </w:p>
    <w:p>
      <w:pPr>
        <w:widowControl w:val="0"/>
        <w:adjustRightInd w:val="0"/>
        <w:snapToGrid w:val="0"/>
        <w:spacing w:line="360" w:lineRule="auto"/>
        <w:ind w:firstLine="480" w:firstLineChars="200"/>
        <w:jc w:val="both"/>
        <w:rPr>
          <w:rFonts w:hint="eastAsia" w:cs="Times New Roman"/>
          <w:kern w:val="2"/>
          <w:sz w:val="24"/>
          <w:szCs w:val="24"/>
          <w:lang w:val="en-US" w:eastAsia="zh-CN" w:bidi="ar-SA"/>
        </w:rPr>
      </w:pPr>
      <w:r>
        <w:rPr>
          <w:rFonts w:hint="eastAsia"/>
          <w:color w:val="auto"/>
          <w:sz w:val="24"/>
          <w:szCs w:val="24"/>
        </w:rPr>
        <w:t>本次调查收集了地块国有建设用地使用权等政府和权威机构资料。地块规划</w:t>
      </w:r>
      <w:r>
        <w:rPr>
          <w:rFonts w:hint="eastAsia"/>
          <w:color w:val="auto"/>
          <w:sz w:val="24"/>
          <w:szCs w:val="24"/>
          <w:lang w:val="en-US" w:eastAsia="zh-CN"/>
        </w:rPr>
        <w:t>用途</w:t>
      </w:r>
      <w:r>
        <w:rPr>
          <w:rFonts w:hint="eastAsia"/>
          <w:color w:val="auto"/>
          <w:sz w:val="24"/>
          <w:szCs w:val="24"/>
        </w:rPr>
        <w:t>为城镇住宅用地</w:t>
      </w:r>
      <w:r>
        <w:rPr>
          <w:rFonts w:hint="eastAsia"/>
          <w:color w:val="auto"/>
          <w:sz w:val="24"/>
          <w:szCs w:val="24"/>
          <w:lang w:eastAsia="zh-CN"/>
        </w:rPr>
        <w:t>，</w:t>
      </w:r>
      <w:r>
        <w:rPr>
          <w:rFonts w:hint="eastAsia"/>
          <w:color w:val="auto"/>
          <w:sz w:val="24"/>
          <w:szCs w:val="24"/>
          <w:lang w:val="en-US" w:eastAsia="zh-CN"/>
        </w:rPr>
        <w:t>批发零售、商业金融、科教、公共设施以及街巷</w:t>
      </w:r>
      <w:r>
        <w:rPr>
          <w:rFonts w:hint="eastAsia"/>
          <w:color w:val="auto"/>
          <w:sz w:val="24"/>
          <w:szCs w:val="24"/>
        </w:rPr>
        <w:t>用地</w:t>
      </w:r>
      <w:r>
        <w:rPr>
          <w:rFonts w:hint="eastAsia"/>
          <w:color w:val="auto"/>
          <w:sz w:val="24"/>
          <w:szCs w:val="24"/>
          <w:lang w:eastAsia="zh-CN"/>
        </w:rPr>
        <w:t>。</w:t>
      </w:r>
      <w:r>
        <w:rPr>
          <w:rFonts w:hint="eastAsia"/>
          <w:color w:val="auto"/>
          <w:sz w:val="24"/>
          <w:szCs w:val="24"/>
        </w:rPr>
        <w:t>根据《中华人民共和国土壤污染防治法》第五十九条：用途变更为住宅、公共管理与公共服务用地的，变更前应当按照规定进行土壤污染状况调查。</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根据</w:t>
      </w:r>
      <w:r>
        <w:rPr>
          <w:rFonts w:hint="eastAsia" w:ascii="Times New Roman" w:hAnsi="Times New Roman" w:eastAsia="宋体" w:cs="Times New Roman"/>
          <w:kern w:val="2"/>
          <w:sz w:val="24"/>
          <w:szCs w:val="24"/>
          <w:lang w:val="en-US" w:eastAsia="zh-CN" w:bidi="ar-SA"/>
        </w:rPr>
        <w:t>《宜昌市B-WJ1302、B-WJ0609、B-WJ0610管理单元局部用地控制性详细规划调整》，</w:t>
      </w:r>
      <w:r>
        <w:rPr>
          <w:rFonts w:hint="eastAsia" w:cs="Times New Roman"/>
          <w:kern w:val="2"/>
          <w:sz w:val="24"/>
          <w:szCs w:val="24"/>
          <w:lang w:val="en-US" w:eastAsia="zh-CN" w:bidi="ar-SA"/>
        </w:rPr>
        <w:t>高新区</w:t>
      </w:r>
      <w:r>
        <w:rPr>
          <w:rFonts w:hint="eastAsia" w:ascii="Times New Roman" w:hAnsi="Times New Roman" w:eastAsia="宋体" w:cs="Times New Roman"/>
          <w:kern w:val="2"/>
          <w:sz w:val="24"/>
          <w:szCs w:val="24"/>
          <w:lang w:val="en-US" w:eastAsia="zh-CN" w:bidi="ar-SA"/>
        </w:rPr>
        <w:t>生物产业园峡州大道与合益路交会处东侧地块（3号地块）土地利用规划为</w:t>
      </w:r>
      <w:r>
        <w:rPr>
          <w:rFonts w:hint="eastAsia" w:cs="Times New Roman"/>
          <w:kern w:val="2"/>
          <w:sz w:val="24"/>
          <w:szCs w:val="24"/>
          <w:lang w:val="en-US" w:eastAsia="zh-CN" w:bidi="ar-SA"/>
        </w:rPr>
        <w:t>二类城镇住宅</w:t>
      </w:r>
      <w:r>
        <w:rPr>
          <w:rFonts w:hint="eastAsia" w:ascii="Times New Roman" w:hAnsi="Times New Roman" w:eastAsia="宋体" w:cs="Times New Roman"/>
          <w:kern w:val="2"/>
          <w:sz w:val="24"/>
          <w:szCs w:val="24"/>
          <w:lang w:val="en-US" w:eastAsia="zh-CN" w:bidi="ar-SA"/>
        </w:rPr>
        <w:t>用地。土地利用规划图详见下图3.6-</w:t>
      </w:r>
      <w:r>
        <w:rPr>
          <w:rFonts w:ascii="Times New Roman" w:hAnsi="Times New Roman" w:eastAsia="宋体"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w:t>
      </w:r>
    </w:p>
    <w:p>
      <w:pPr>
        <w:ind w:firstLine="400"/>
        <w:sectPr>
          <w:pgSz w:w="11906" w:h="16838"/>
          <w:pgMar w:top="1440" w:right="1644" w:bottom="1440" w:left="1644" w:header="851" w:footer="907" w:gutter="284"/>
          <w:cols w:space="425" w:num="1"/>
          <w:docGrid w:type="lines" w:linePitch="326" w:charSpace="0"/>
        </w:sectPr>
      </w:pPr>
    </w:p>
    <w:p>
      <w:pPr>
        <w:widowControl w:val="0"/>
        <w:adjustRightInd w:val="0"/>
        <w:snapToGrid w:val="0"/>
        <w:spacing w:line="240" w:lineRule="auto"/>
        <w:ind w:firstLine="0" w:firstLineChars="0"/>
        <w:jc w:val="center"/>
        <w:rPr>
          <w:rFonts w:ascii="Times New Roman" w:hAnsi="Times New Roman" w:eastAsia="宋体" w:cs="Times New Roman"/>
          <w:kern w:val="2"/>
          <w:szCs w:val="21"/>
          <w:lang w:val="en-US" w:eastAsia="zh-CN" w:bidi="ar-SA"/>
        </w:rPr>
      </w:pP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4205605</wp:posOffset>
                </wp:positionH>
                <wp:positionV relativeFrom="paragraph">
                  <wp:posOffset>301625</wp:posOffset>
                </wp:positionV>
                <wp:extent cx="2475865" cy="1699260"/>
                <wp:effectExtent l="1382395" t="9525" r="27940" b="1758315"/>
                <wp:wrapNone/>
                <wp:docPr id="110" name="对话气泡: 矩形 110"/>
                <wp:cNvGraphicFramePr/>
                <a:graphic xmlns:a="http://schemas.openxmlformats.org/drawingml/2006/main">
                  <a:graphicData uri="http://schemas.microsoft.com/office/word/2010/wordprocessingShape">
                    <wps:wsp>
                      <wps:cNvSpPr/>
                      <wps:spPr>
                        <a:xfrm>
                          <a:off x="0" y="0"/>
                          <a:ext cx="2475865" cy="1699260"/>
                        </a:xfrm>
                        <a:prstGeom prst="wedgeRectCallout">
                          <a:avLst>
                            <a:gd name="adj1" fmla="val -103385"/>
                            <a:gd name="adj2" fmla="val 150277"/>
                          </a:avLst>
                        </a:prstGeom>
                        <a:noFill/>
                        <a:ln w="19050" cap="flat" cmpd="sng" algn="ctr">
                          <a:solidFill>
                            <a:srgbClr val="00B0F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widowControl/>
                              <w:adjustRightInd w:val="0"/>
                              <w:snapToGrid w:val="0"/>
                              <w:spacing w:line="360" w:lineRule="auto"/>
                              <w:rPr>
                                <w:rFonts w:ascii="黑体" w:hAnsi="黑体" w:eastAsia="黑体" w:cs="Times New Roman"/>
                                <w:b/>
                                <w:bCs/>
                                <w:kern w:val="0"/>
                                <w:sz w:val="20"/>
                                <w:szCs w:val="20"/>
                              </w:rPr>
                            </w:pPr>
                            <w:r>
                              <w:drawing>
                                <wp:inline distT="0" distB="0" distL="114300" distR="114300">
                                  <wp:extent cx="2254885" cy="1638935"/>
                                  <wp:effectExtent l="0" t="0" r="12065" b="18415"/>
                                  <wp:docPr id="6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3"/>
                                          <pic:cNvPicPr>
                                            <a:picLocks noChangeAspect="1"/>
                                          </pic:cNvPicPr>
                                        </pic:nvPicPr>
                                        <pic:blipFill>
                                          <a:blip r:embed="rId38"/>
                                          <a:srcRect t="11971"/>
                                          <a:stretch>
                                            <a:fillRect/>
                                          </a:stretch>
                                        </pic:blipFill>
                                        <pic:spPr>
                                          <a:xfrm>
                                            <a:off x="0" y="0"/>
                                            <a:ext cx="2254885" cy="1638935"/>
                                          </a:xfrm>
                                          <a:prstGeom prst="rect">
                                            <a:avLst/>
                                          </a:prstGeom>
                                          <a:noFill/>
                                          <a:ln>
                                            <a:noFill/>
                                          </a:ln>
                                        </pic:spPr>
                                      </pic:pic>
                                    </a:graphicData>
                                  </a:graphic>
                                </wp:inline>
                              </w:drawing>
                            </w: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jc w:val="center"/>
                              <w:rPr>
                                <w:rFonts w:cs="Times New Roman"/>
                                <w:kern w:val="0"/>
                                <w:sz w:val="20"/>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矩形 110" o:spid="_x0000_s1026" o:spt="61" type="#_x0000_t61" style="position:absolute;left:0pt;margin-left:331.15pt;margin-top:23.75pt;height:133.8pt;width:194.95pt;z-index:251668480;v-text-anchor:middle;mso-width-relative:page;mso-height-relative:page;" filled="f" stroked="t" coordsize="21600,21600" o:gfxdata="UEsDBAoAAAAAAIdO4kAAAAAAAAAAAAAAAAAEAAAAZHJzL1BLAwQUAAAACACHTuJAN6NRx9gAAAAL&#10;AQAADwAAAGRycy9kb3ducmV2LnhtbE2Py07DMBBF90j8gzVI7KjtlAQUMqkEgi1SH7B2Y5NEjcfB&#10;dpPw97grWI7u0b1nqs1iBzYZH3pHCHIlgBlqnO6pRTjs3+4egYWoSKvBkUH4MQE29fVVpUrtZtqa&#10;aRdblkoolAqhi3EsOQ9NZ6wKKzcaStmX81bFdPqWa6/mVG4HnglRcKt6SgudGs1LZ5rT7mwRhul5&#10;9N9bL98/D3EuPsJp4ftXxNsbKZ6ARbPEPxgu+kkd6uR0dGfSgQ0IRZGtE4pw/5ADuwAizzJgR4S1&#10;zCXwuuL/f6h/AVBLAwQUAAAACACHTuJAj6ZGWL8CAABXBQAADgAAAGRycy9lMm9Eb2MueG1srVTN&#10;bhMxEL4j8Q6W7+3upvlXkyokCkKqaEVBnB2vd9fIf9hONuU5uCIEN05F4sSBx2nhMRh7t2koHHog&#10;h814Z/ab+b6Z8fHJVgq0YdZxrSY4O0wxYorqnKtygl+9XB4MMXKeqJwIrdgEXzKHT6aPHx3XZsw6&#10;utIiZxYBiHLj2kxw5b0ZJ4mjFZPEHWrDFDgLbSXxcLRlkltSA7oUSSdN+0mtbW6spsw5eLtonLhF&#10;tA8B1EXBKVtoupZM+QbVMkE8UHIVNw5PY7VFwag/KwrHPBITDEx9fEISsFfhmUyPybi0xFSctiWQ&#10;h5Rwj5MkXEHSHdSCeILWlv8FJTm12unCH1Itk4ZIVARYZOk9bS4qYljkAlI7sxPd/T9Y+nxzbhHP&#10;YRIy0EQRCS2/vvr+6+rDzdf3N98+jdHPj1+uf3xGwQ9q1caN4aMLc27bkwMzUN8WVoZ/IIW2UeHL&#10;ncJs6xGFl53uoDfs9zCi4Mv6o1GnH1GTu8+Ndf4p0xIFY4JrlpfsBfRxToTQax9VJptT56PceVsy&#10;yd9kGBVSQPc2RKCDLD06Gvba/u5Fdfajsl7aGQxCEBTQgoJ1W0LIoPSSCxHHRChUQ9WjtAdKUQKz&#10;X8DMgSkN6OdUiRERJSwV9TaW6bTgefg8ADlbrubCIqgOZEmfpMtb5n+EhdwL4qomLroaEpJ72DvB&#10;5QQP0/BryxYqoLM466BK4BJ61HQlWH672ratWun8EtptdbMHztAlh3ynxPlzYkE6IAZXgz+DRyE0&#10;sNWthVGl7bt/vQ/xMI/gxaiGRQIl3q6JZRiJZwomdZR1uwDr46HbG3TgYPc9q32PWsu5BoGgmVBd&#10;NEO8F7dmYbV8DTfILGQFF1EUcjeat4e5bxYc7iDKZrMYBttmiD9VF4YG8Kazs7XXBd9J1qjT6gf7&#10;FqeivRvCQu+fY9TdfTj9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DejUcfYAAAACwEAAA8AAAAA&#10;AAAAAQAgAAAAIgAAAGRycy9kb3ducmV2LnhtbFBLAQIUABQAAAAIAIdO4kCPpkZYvwIAAFcFAAAO&#10;AAAAAAAAAAEAIAAAACcBAABkcnMvZTJvRG9jLnhtbFBLBQYAAAAABgAGAFkBAABYBgAAAAA=&#10;" adj="-11531,43260">
                <v:fill on="f" focussize="0,0"/>
                <v:stroke weight="1.5pt" color="#00B0F0 [3204]" miterlimit="8" joinstyle="miter"/>
                <v:imagedata o:title=""/>
                <o:lock v:ext="edit" aspectratio="f"/>
                <v:textbox>
                  <w:txbxContent>
                    <w:p>
                      <w:pPr>
                        <w:widowControl/>
                        <w:adjustRightInd w:val="0"/>
                        <w:snapToGrid w:val="0"/>
                        <w:spacing w:line="360" w:lineRule="auto"/>
                        <w:rPr>
                          <w:rFonts w:ascii="黑体" w:hAnsi="黑体" w:eastAsia="黑体" w:cs="Times New Roman"/>
                          <w:b/>
                          <w:bCs/>
                          <w:kern w:val="0"/>
                          <w:sz w:val="20"/>
                          <w:szCs w:val="20"/>
                        </w:rPr>
                      </w:pPr>
                      <w:r>
                        <w:drawing>
                          <wp:inline distT="0" distB="0" distL="114300" distR="114300">
                            <wp:extent cx="2254885" cy="1638935"/>
                            <wp:effectExtent l="0" t="0" r="12065" b="18415"/>
                            <wp:docPr id="6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3"/>
                                    <pic:cNvPicPr>
                                      <a:picLocks noChangeAspect="1"/>
                                    </pic:cNvPicPr>
                                  </pic:nvPicPr>
                                  <pic:blipFill>
                                    <a:blip r:embed="rId38"/>
                                    <a:srcRect t="11971"/>
                                    <a:stretch>
                                      <a:fillRect/>
                                    </a:stretch>
                                  </pic:blipFill>
                                  <pic:spPr>
                                    <a:xfrm>
                                      <a:off x="0" y="0"/>
                                      <a:ext cx="2254885" cy="1638935"/>
                                    </a:xfrm>
                                    <a:prstGeom prst="rect">
                                      <a:avLst/>
                                    </a:prstGeom>
                                    <a:noFill/>
                                    <a:ln>
                                      <a:noFill/>
                                    </a:ln>
                                  </pic:spPr>
                                </pic:pic>
                              </a:graphicData>
                            </a:graphic>
                          </wp:inline>
                        </w:drawing>
                      </w: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rPr>
                          <w:rFonts w:ascii="黑体" w:hAnsi="黑体" w:eastAsia="黑体" w:cs="Times New Roman"/>
                          <w:b/>
                          <w:bCs/>
                          <w:kern w:val="0"/>
                          <w:sz w:val="20"/>
                          <w:szCs w:val="20"/>
                        </w:rPr>
                      </w:pPr>
                    </w:p>
                    <w:p>
                      <w:pPr>
                        <w:widowControl/>
                        <w:adjustRightInd w:val="0"/>
                        <w:snapToGrid w:val="0"/>
                        <w:spacing w:line="360" w:lineRule="auto"/>
                        <w:jc w:val="center"/>
                        <w:rPr>
                          <w:rFonts w:cs="Times New Roman"/>
                          <w:kern w:val="0"/>
                          <w:sz w:val="20"/>
                          <w:szCs w:val="20"/>
                        </w:rPr>
                      </w:pPr>
                    </w:p>
                  </w:txbxContent>
                </v:textbox>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693056" behindDoc="0" locked="0" layoutInCell="1" allowOverlap="1">
                <wp:simplePos x="0" y="0"/>
                <wp:positionH relativeFrom="column">
                  <wp:posOffset>2960370</wp:posOffset>
                </wp:positionH>
                <wp:positionV relativeFrom="paragraph">
                  <wp:posOffset>3815715</wp:posOffset>
                </wp:positionV>
                <wp:extent cx="3880485" cy="296545"/>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3880485" cy="2965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adjustRightInd w:val="0"/>
                              <w:snapToGrid w:val="0"/>
                              <w:spacing w:line="360" w:lineRule="auto"/>
                              <w:rPr>
                                <w:rFonts w:hint="default" w:eastAsia="宋体" w:cs="Times New Roman"/>
                                <w:kern w:val="0"/>
                                <w:sz w:val="20"/>
                                <w:szCs w:val="20"/>
                                <w:lang w:val="en-US" w:eastAsia="zh-CN"/>
                              </w:rPr>
                            </w:pPr>
                            <w:r>
                              <w:rPr>
                                <w:rFonts w:hint="eastAsia" w:ascii="黑体" w:hAnsi="黑体" w:eastAsia="黑体" w:cs="黑体"/>
                                <w:b/>
                                <w:bCs/>
                                <w:kern w:val="2"/>
                                <w:sz w:val="20"/>
                                <w:szCs w:val="20"/>
                                <w:lang w:val="en-US" w:eastAsia="zh-CN" w:bidi="ar-SA"/>
                              </w:rPr>
                              <w:t>高新区生物产业园峡州大道与合益路交会处东侧地块（</w:t>
                            </w:r>
                            <w:r>
                              <w:rPr>
                                <w:rFonts w:hint="eastAsia" w:ascii="黑体" w:hAnsi="黑体" w:eastAsia="黑体" w:cs="Times New Roman"/>
                                <w:b/>
                                <w:bCs/>
                                <w:kern w:val="0"/>
                                <w:sz w:val="20"/>
                                <w:szCs w:val="20"/>
                                <w:lang w:val="en-US" w:eastAsia="zh-CN"/>
                              </w:rPr>
                              <w:t>3号地块</w:t>
                            </w:r>
                            <w:r>
                              <w:rPr>
                                <w:rFonts w:hint="eastAsia" w:ascii="黑体" w:hAnsi="黑体" w:eastAsia="黑体" w:cs="黑体"/>
                                <w:b/>
                                <w:bCs/>
                                <w:kern w:val="2"/>
                                <w:sz w:val="20"/>
                                <w:szCs w:val="20"/>
                                <w:lang w:val="en-US" w:eastAsia="zh-CN" w:bidi="ar-SA"/>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3.1pt;margin-top:300.45pt;height:23.35pt;width:305.55pt;z-index:251693056;mso-width-relative:page;mso-height-relative:page;" filled="f" stroked="f" coordsize="21600,21600" o:gfxdata="UEsDBAoAAAAAAIdO4kAAAAAAAAAAAAAAAAAEAAAAZHJzL1BLAwQUAAAACACHTuJAeeA7st0AAAAM&#10;AQAADwAAAGRycy9kb3ducmV2LnhtbE2Py07DMBBF90j8gzVI7KjdUJw2jVOhSBUSoouWbthNYjeJ&#10;iMchdh/w9bgrWM7M0Z1z89XF9uxkRt85UjCdCGCGaqc7ahTs39cPc2A+IGnsHRkF38bDqri9yTHT&#10;7kxbc9qFhsUQ8hkqaEMYMs593RqLfuIGQ/F2cKPFEMex4XrEcwy3PU+EkNxiR/FDi4MpW1N/7o5W&#10;wWu53uC2Suz8py9f3g7Pw9f+40mp+7upWAIL5hL+YLjqR3UoolPljqQ96xXMpEwiqkAKsQB2JUSa&#10;PgKr4mqWSuBFzv+XKH4BUEsDBBQAAAAIAIdO4kCvf2tsRQIAAHgEAAAOAAAAZHJzL2Uyb0RvYy54&#10;bWytVMFu2zAMvQ/YPwi6L3bSJEuDOEXWIMOAYi2QDTsrshwbkERNUmJnH7D9QU+77L7vyneMkp00&#10;6HboYReZIimS75H07KZRkuyFdRXojPZ7KSVCc8grvc3o50+rNxNKnGc6ZxK0yOhBOHozf/1qVpup&#10;GEAJMheWYBDtprXJaOm9mSaJ46VQzPXACI3GAqxiHq92m+SW1RhdyWSQpuOkBpsbC1w4h9pla6Rd&#10;RPuSgFAUFRdL4DsltG+jWiGZR0iurIyj81htUQju74vCCU9kRhGpjycmQXkTzmQ+Y9OtZaaseFcC&#10;e0kJzzApVmlMeg61ZJ6Rna3+CqUqbsFB4XscVNICiYwgin76jJt1yYyIWJBqZ86ku/8Xln/cP1hS&#10;5RkdpCNKNFPY8uPjj+PP38df30lQIkW1cVP0XBv09c07aHBwTnqHyoC8KawKX8RE0I4EH84Ei8YT&#10;jsqrySQdTjAPR9vgejwaxvDJ02tjnX8vQJEgZNRiAyOvbH/nPFaCrieXkEzDqpIyNlFqUmd0fDVK&#10;44OzBV9IHXxFHIcuTEDUVh4k32yaDuYG8gOitNCOijN8VWEpd8z5B2ZxNhAYbo+/x6OQgCmhkygp&#10;wX77lz74Y8vQSkmNs5ZR93XHrKBEftDYzOv+cBiGM16Go7cDvNhLy+bSonfqFnCc+7inhkcx+Ht5&#10;EgsL6gsu2SJkRRPTHHNn1J/EW99uAC4pF4tFdMJxNMzf6bXhIXRL7mLnoagi74GmlhtsQrjgQMZ2&#10;dMsTJv7yHr2efhjz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ngO7LdAAAADAEAAA8AAAAAAAAA&#10;AQAgAAAAIgAAAGRycy9kb3ducmV2LnhtbFBLAQIUABQAAAAIAIdO4kCvf2tsRQIAAHgEAAAOAAAA&#10;AAAAAAEAIAAAACwBAABkcnMvZTJvRG9jLnhtbFBLBQYAAAAABgAGAFkBAADjBQAAAAA=&#10;">
                <v:fill on="f" focussize="0,0"/>
                <v:stroke on="f" weight="0.5pt"/>
                <v:imagedata o:title=""/>
                <o:lock v:ext="edit" aspectratio="f"/>
                <v:textbox>
                  <w:txbxContent>
                    <w:p>
                      <w:pPr>
                        <w:widowControl/>
                        <w:adjustRightInd w:val="0"/>
                        <w:snapToGrid w:val="0"/>
                        <w:spacing w:line="360" w:lineRule="auto"/>
                        <w:rPr>
                          <w:rFonts w:hint="default" w:eastAsia="宋体" w:cs="Times New Roman"/>
                          <w:kern w:val="0"/>
                          <w:sz w:val="20"/>
                          <w:szCs w:val="20"/>
                          <w:lang w:val="en-US" w:eastAsia="zh-CN"/>
                        </w:rPr>
                      </w:pPr>
                      <w:r>
                        <w:rPr>
                          <w:rFonts w:hint="eastAsia" w:ascii="黑体" w:hAnsi="黑体" w:eastAsia="黑体" w:cs="黑体"/>
                          <w:b/>
                          <w:bCs/>
                          <w:kern w:val="2"/>
                          <w:sz w:val="20"/>
                          <w:szCs w:val="20"/>
                          <w:lang w:val="en-US" w:eastAsia="zh-CN" w:bidi="ar-SA"/>
                        </w:rPr>
                        <w:t>高新区生物产业园峡州大道与合益路交会处东侧地块（</w:t>
                      </w:r>
                      <w:r>
                        <w:rPr>
                          <w:rFonts w:hint="eastAsia" w:ascii="黑体" w:hAnsi="黑体" w:eastAsia="黑体" w:cs="Times New Roman"/>
                          <w:b/>
                          <w:bCs/>
                          <w:kern w:val="0"/>
                          <w:sz w:val="20"/>
                          <w:szCs w:val="20"/>
                          <w:lang w:val="en-US" w:eastAsia="zh-CN"/>
                        </w:rPr>
                        <w:t>3号地块</w:t>
                      </w:r>
                      <w:r>
                        <w:rPr>
                          <w:rFonts w:hint="eastAsia" w:ascii="黑体" w:hAnsi="黑体" w:eastAsia="黑体" w:cs="黑体"/>
                          <w:b/>
                          <w:bCs/>
                          <w:kern w:val="2"/>
                          <w:sz w:val="20"/>
                          <w:szCs w:val="20"/>
                          <w:lang w:val="en-US" w:eastAsia="zh-CN" w:bidi="ar-SA"/>
                        </w:rPr>
                        <w:t>）</w:t>
                      </w:r>
                    </w:p>
                  </w:txbxContent>
                </v:textbox>
              </v:shape>
            </w:pict>
          </mc:Fallback>
        </mc:AlternateContent>
      </w: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692032" behindDoc="0" locked="0" layoutInCell="1" allowOverlap="1">
                <wp:simplePos x="0" y="0"/>
                <wp:positionH relativeFrom="column">
                  <wp:posOffset>4589780</wp:posOffset>
                </wp:positionH>
                <wp:positionV relativeFrom="paragraph">
                  <wp:posOffset>2000885</wp:posOffset>
                </wp:positionV>
                <wp:extent cx="854075" cy="1836420"/>
                <wp:effectExtent l="9525" t="3810" r="12700" b="7620"/>
                <wp:wrapNone/>
                <wp:docPr id="206" name="直接箭头连接符 206"/>
                <wp:cNvGraphicFramePr/>
                <a:graphic xmlns:a="http://schemas.openxmlformats.org/drawingml/2006/main">
                  <a:graphicData uri="http://schemas.microsoft.com/office/word/2010/wordprocessingShape">
                    <wps:wsp>
                      <wps:cNvCnPr>
                        <a:stCxn id="110" idx="2"/>
                      </wps:cNvCnPr>
                      <wps:spPr>
                        <a:xfrm flipH="1">
                          <a:off x="0" y="0"/>
                          <a:ext cx="854075" cy="1836420"/>
                        </a:xfrm>
                        <a:prstGeom prst="straightConnector1">
                          <a:avLst/>
                        </a:prstGeom>
                        <a:noFill/>
                        <a:ln w="19050" cap="flat" cmpd="sng" algn="ctr">
                          <a:solidFill>
                            <a:srgbClr val="00B0F0"/>
                          </a:solidFill>
                          <a:prstDash val="solid"/>
                          <a:tailEnd type="arrow"/>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61.4pt;margin-top:157.55pt;height:144.6pt;width:67.25pt;z-index:251692032;mso-width-relative:page;mso-height-relative:page;" filled="f" stroked="t" coordsize="21600,21600" o:gfxdata="UEsDBAoAAAAAAIdO4kAAAAAAAAAAAAAAAAAEAAAAZHJzL1BLAwQUAAAACACHTuJAgHw/nN0AAAAL&#10;AQAADwAAAGRycy9kb3ducmV2LnhtbE2PW0vDQBSE3wX/w3IE3+zuJjYNMSdFvIAIRWxF+rhNjknq&#10;XkJ2m1Z/veuTPg4zzHxTLk9Gs4lG3zuLIGcCGNnaNb1tEd42j1c5MB+UbZR2lhC+yMOyOj8rVdG4&#10;o32laR1aFkusLxRCF8JQcO7rjozyMzeQjd6HG40KUY4tb0Z1jOVG80SIjBvV27jQqYHuOqo/1weD&#10;cL/ahOdeb18e3uV0+/Sd7bc+3yNeXkhxAyzQKfyF4Rc/okMVmXbuYBvPNMIiSSJ6QEjlXAKLiXy+&#10;SIHtEDJxnQKvSv7/Q/UDUEsDBBQAAAAIAIdO4kA39a5OLQIAACgEAAAOAAAAZHJzL2Uyb0RvYy54&#10;bWytU0uOEzEQ3SNxB8t70p0wCaGVzkgkBBYIIgEHqLjd3Zb8k+1JJ5fgAkisYFbAavacBoZjUHZn&#10;EmbYzIJetMqfelXv1fPsfKck2XLnhdElHQ5ySrhmphK6Ken7d6tHU0p8AF2BNJqXdM89PZ8/fDDr&#10;bMFHpjWy4o4giPZFZ0vahmCLLPOs5Qr8wFiu8bA2TkHApWuyykGH6EpmozyfZJ1xlXWGce9xd9kf&#10;0gOiuw+gqWvB+NKwC8V16FEdlxCQkm+F9XSeuq1rzsKbuvY8EFlSZBrSH4tgvIn/bD6DonFgW8EO&#10;LcB9WrjDSYHQWPQItYQA5MKJf6CUYM54U4cBMyrriSRFkMUwv6PN2xYsT1xQam+Povv/B8teb9eO&#10;iKqko3xCiQaFI7/+ePXrw5fr799+fr76/eNTjL9ekngB5eqsLzBrodcuEvZhsdMJYDhEUUW1Q6h4&#10;L7t1MS687VN2tVOklsK+RP8l1VAHgnmYvz8Ohe8CYbg5HZ/lT8aUMDwaTh9PzkZpahkUESe2YJ0P&#10;L7hRJAYl9cGBaNqwMFrj/I3ra8D2lQ+xr1NCTNZmJaRMNpCadFjjaT7GRhigt2v0FIbKoj5eN5SA&#10;bPDRsOBS295IUcX0JIRrNgvpyBai1fJn+eqmz1vXYo9L8G1/Lx31JlQi4LuSQiHlPH79dgAhn+uK&#10;hL3FyYBzpkvqQiF1LMuTyQ/UTirHaGOq/drdjAINlMgfzB4d+vc6Dez0wOd/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B8P5zdAAAACwEAAA8AAAAAAAAAAQAgAAAAIgAAAGRycy9kb3ducmV2Lnht&#10;bFBLAQIUABQAAAAIAIdO4kA39a5OLQIAACgEAAAOAAAAAAAAAAEAIAAAACwBAABkcnMvZTJvRG9j&#10;LnhtbFBLBQYAAAAABgAGAFkBAADLBQAAAAA=&#10;">
                <v:fill on="f" focussize="0,0"/>
                <v:stroke weight="1.5pt" color="#00B0F0 [3204]" miterlimit="8" joinstyle="miter" endarrow="open"/>
                <v:imagedata o:title=""/>
                <o:lock v:ext="edit" aspectratio="f"/>
              </v:shape>
            </w:pict>
          </mc:Fallback>
        </mc:AlternateContent>
      </w:r>
      <w:r>
        <w:drawing>
          <wp:inline distT="0" distB="0" distL="114300" distR="114300">
            <wp:extent cx="7686675" cy="5442585"/>
            <wp:effectExtent l="0" t="0" r="9525" b="5715"/>
            <wp:docPr id="6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2"/>
                    <pic:cNvPicPr>
                      <a:picLocks noChangeAspect="1"/>
                    </pic:cNvPicPr>
                  </pic:nvPicPr>
                  <pic:blipFill>
                    <a:blip r:embed="rId39"/>
                    <a:stretch>
                      <a:fillRect/>
                    </a:stretch>
                  </pic:blipFill>
                  <pic:spPr>
                    <a:xfrm>
                      <a:off x="0" y="0"/>
                      <a:ext cx="7686675" cy="5442585"/>
                    </a:xfrm>
                    <a:prstGeom prst="rect">
                      <a:avLst/>
                    </a:prstGeom>
                    <a:noFill/>
                    <a:ln>
                      <a:noFill/>
                    </a:ln>
                  </pic:spPr>
                </pic:pic>
              </a:graphicData>
            </a:graphic>
          </wp:inline>
        </w:drawing>
      </w:r>
    </w:p>
    <w:p>
      <w:pPr>
        <w:widowControl w:val="0"/>
        <w:adjustRightInd w:val="0"/>
        <w:snapToGrid w:val="0"/>
        <w:spacing w:line="240" w:lineRule="auto"/>
        <w:ind w:firstLine="0" w:firstLineChars="0"/>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kern w:val="2"/>
          <w:szCs w:val="21"/>
          <w:lang w:val="en-US" w:eastAsia="zh-CN" w:bidi="ar-SA"/>
        </w:rPr>
        <mc:AlternateContent>
          <mc:Choice Requires="wps">
            <w:drawing>
              <wp:anchor distT="0" distB="0" distL="114300" distR="114300" simplePos="0" relativeHeight="251691008" behindDoc="0" locked="0" layoutInCell="1" allowOverlap="1">
                <wp:simplePos x="0" y="0"/>
                <wp:positionH relativeFrom="column">
                  <wp:posOffset>1855470</wp:posOffset>
                </wp:positionH>
                <wp:positionV relativeFrom="paragraph">
                  <wp:posOffset>2207895</wp:posOffset>
                </wp:positionV>
                <wp:extent cx="104140" cy="45720"/>
                <wp:effectExtent l="6350" t="6350" r="22860" b="24130"/>
                <wp:wrapNone/>
                <wp:docPr id="119" name="矩形 119"/>
                <wp:cNvGraphicFramePr/>
                <a:graphic xmlns:a="http://schemas.openxmlformats.org/drawingml/2006/main">
                  <a:graphicData uri="http://schemas.microsoft.com/office/word/2010/wordprocessingShape">
                    <wps:wsp>
                      <wps:cNvSpPr/>
                      <wps:spPr>
                        <a:xfrm>
                          <a:off x="0" y="0"/>
                          <a:ext cx="103872" cy="45719"/>
                        </a:xfrm>
                        <a:prstGeom prst="rect">
                          <a:avLst/>
                        </a:prstGeom>
                        <a:noFill/>
                        <a:ln w="12700" cap="flat" cmpd="sng" algn="ctr">
                          <a:solidFill>
                            <a:srgbClr val="00B0F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6.1pt;margin-top:173.85pt;height:3.6pt;width:8.2pt;z-index:251691008;v-text-anchor:middle;mso-width-relative:page;mso-height-relative:page;" filled="f" stroked="t" coordsize="21600,21600" o:gfxdata="UEsDBAoAAAAAAIdO4kAAAAAAAAAAAAAAAAAEAAAAZHJzL1BLAwQUAAAACACHTuJAOio/udkAAAAL&#10;AQAADwAAAGRycy9kb3ducmV2LnhtbE2PsU7DMBCGdyTewTokNmrHLWkb4nRAQt2oUhg6uvERR8Tn&#10;EDtpeXvMBNud7tN/31/urq5nM46h86QgWwhgSI03HbUK3t9eHjbAQtRkdO8JFXxjgF11e1PqwvgL&#10;1TgfY8tSCIVCK7AxDgXnobHodFj4ASndPvzodEzr2HIz6ksKdz2XQuTc6Y7SB6sHfLbYfB4npwBP&#10;JG1zmGV2CK/1V36a9vUelbq/y8QTsIjX+AfDr35Shyo5nf1EJrBegdxKmVAFy9V6DSwRS7HJgZ3T&#10;8LjaAq9K/r9D9QNQSwMEFAAAAAgAh07iQKC1pH5xAgAA2wQAAA4AAABkcnMvZTJvRG9jLnhtbK1U&#10;zW4TMRC+I/EOlu90N6HQNuqmCo2CkCpaqSDOjtfOWvIftpNNeRkkbjwEj4N4DT57tz8UDj2QgzPj&#10;GX+z881nn57tjSY7EaJytqGTg5oSYblrld009OOH1YtjSmJitmXaWdHQGxHp2fz5s9Pez8TUdU63&#10;IhCA2DjrfUO7lPysqiLvhGHxwHlhEZQuGJbghk3VBtYD3ehqWtevq96F1gfHRYzYXQ5BOiKGpwA6&#10;KRUXS8e3Rtg0oAahWUJLsVM+0nn5WikFT5dSRpGIbig6TWVFEdjrvFbzUzbbBOY7xcdPYE/5hEc9&#10;GaYsit5BLVliZBvUX1BG8eCik+mAO1MNjRRG0MWkfsTNdce8KL2A6ujvSI//D5a/310FolooYXJC&#10;iWUGI//19fvPH99I3gE/vY8zpF37qzB6EWZudi+Dyf9og+wLpzd3nIp9Ihybk/rl8dGUEo7Q4auj&#10;AbK6P+tDTG+FMyQbDQ2YWCGS7S5iQj2k3qbkUtatlNZlatqSHvjToxrD5AxSlJAATOPRTrQbSpje&#10;QOM8hQIZnVZtPp6BYtisz3UgO5aVUb+pV0UMKPdHWq69ZLEb8kpo0IxRCddAK9PQ4zr/8jZOa5vR&#10;RZHe2EEmcKAsW2vX3oDy4AYtRs9XCkUuWExXLEB86AbXM11ikdqhRTdalHQufPnXfs6HJhClpIeY&#10;0f7nLQuCEv3OQi0nk8PDrP7iYApTOOFhZP0wYrfm3IGVCR4Cz4uZ85O+NWVw5hNu8SJXRYhZjtoD&#10;0aNznoZLhneAi8WipEHxnqULe+15Bh/GudgmJ1WZ9D07YDI70HzhdLyf+VI99EvW/Zs0/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6Kj+52QAAAAsBAAAPAAAAAAAAAAEAIAAAACIAAABkcnMvZG93&#10;bnJldi54bWxQSwECFAAUAAAACACHTuJAoLWkfnECAADbBAAADgAAAAAAAAABACAAAAAoAQAAZHJz&#10;L2Uyb0RvYy54bWxQSwUGAAAAAAYABgBZAQAACwYAAAAA&#10;">
                <v:fill on="f" focussize="0,0"/>
                <v:stroke weight="1pt" color="#00B0F0 [3204]" miterlimit="8" joinstyle="miter"/>
                <v:imagedata o:title=""/>
                <o:lock v:ext="edit" aspectratio="f"/>
              </v:rect>
            </w:pict>
          </mc:Fallback>
        </mc:AlternateContent>
      </w:r>
      <w:bookmarkStart w:id="25" w:name="_Ref61613599"/>
      <w:r>
        <w:rPr>
          <w:rFonts w:ascii="Times New Roman" w:hAnsi="Times New Roman" w:eastAsia="宋体" w:cs="Times New Roman"/>
          <w:b/>
          <w:kern w:val="2"/>
          <w:sz w:val="21"/>
          <w:szCs w:val="21"/>
          <w:lang w:val="en-US" w:eastAsia="zh-CN" w:bidi="ar-SA"/>
        </w:rPr>
        <w:t xml:space="preserve">图 </w:t>
      </w:r>
      <w:r>
        <w:rPr>
          <w:rFonts w:hint="eastAsia" w:ascii="Times New Roman" w:hAnsi="Times New Roman" w:eastAsia="宋体" w:cs="Times New Roman"/>
          <w:b/>
          <w:kern w:val="2"/>
          <w:sz w:val="21"/>
          <w:szCs w:val="21"/>
          <w:lang w:val="en-US" w:eastAsia="zh-CN" w:bidi="ar-SA"/>
        </w:rPr>
        <w:t>3.6</w:t>
      </w:r>
      <w:r>
        <w:rPr>
          <w:rFonts w:ascii="Times New Roman" w:hAnsi="Times New Roman" w:eastAsia="宋体" w:cs="Times New Roman"/>
          <w:b/>
          <w:kern w:val="2"/>
          <w:sz w:val="21"/>
          <w:szCs w:val="21"/>
          <w:lang w:val="en-US" w:eastAsia="zh-CN" w:bidi="ar-SA"/>
        </w:rPr>
        <w:noBreakHyphen/>
      </w:r>
      <w:bookmarkEnd w:id="25"/>
      <w:r>
        <w:rPr>
          <w:rFonts w:ascii="Times New Roman" w:hAnsi="Times New Roman" w:eastAsia="宋体" w:cs="Times New Roman"/>
          <w:b/>
          <w:kern w:val="2"/>
          <w:sz w:val="21"/>
          <w:szCs w:val="21"/>
          <w:lang w:val="en-US" w:eastAsia="zh-CN" w:bidi="ar-SA"/>
        </w:rPr>
        <w:t xml:space="preserve">2  </w:t>
      </w:r>
      <w:r>
        <w:rPr>
          <w:rFonts w:hint="eastAsia" w:cs="Times New Roman"/>
          <w:b/>
          <w:kern w:val="2"/>
          <w:sz w:val="21"/>
          <w:szCs w:val="21"/>
          <w:lang w:val="en-US" w:eastAsia="zh-CN" w:bidi="ar-SA"/>
        </w:rPr>
        <w:t>宜昌市B-WJ1302管理单元</w:t>
      </w:r>
      <w:r>
        <w:rPr>
          <w:rFonts w:ascii="Times New Roman" w:hAnsi="Times New Roman" w:eastAsia="宋体" w:cs="Times New Roman"/>
          <w:b/>
          <w:kern w:val="2"/>
          <w:sz w:val="21"/>
          <w:szCs w:val="21"/>
          <w:lang w:val="en-US" w:eastAsia="zh-CN" w:bidi="ar-SA"/>
        </w:rPr>
        <w:t>土地利用规划图</w:t>
      </w:r>
    </w:p>
    <w:p>
      <w:pPr>
        <w:ind w:firstLine="0" w:firstLineChars="0"/>
        <w:sectPr>
          <w:pgSz w:w="16838" w:h="11906" w:orient="landscape"/>
          <w:pgMar w:top="1418" w:right="1440" w:bottom="1418" w:left="1440" w:header="851" w:footer="907" w:gutter="0"/>
          <w:cols w:space="425" w:num="1"/>
          <w:docGrid w:type="lines" w:linePitch="326" w:charSpace="0"/>
        </w:sectPr>
      </w:pPr>
    </w:p>
    <w:p>
      <w:pPr>
        <w:keepNext/>
        <w:keepLines/>
        <w:pageBreakBefore/>
        <w:numPr>
          <w:ilvl w:val="0"/>
          <w:numId w:val="1"/>
        </w:numPr>
        <w:adjustRightInd w:val="0"/>
        <w:snapToGrid w:val="0"/>
        <w:spacing w:before="156" w:beforeLines="50" w:after="156" w:afterLines="5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26" w:name="_Toc14020"/>
      <w:r>
        <w:rPr>
          <w:rFonts w:hint="eastAsia" w:ascii="Times New Roman" w:hAnsi="Times New Roman" w:eastAsia="宋体" w:cs="Times New Roman"/>
          <w:b/>
          <w:bCs/>
          <w:kern w:val="44"/>
          <w:sz w:val="30"/>
          <w:szCs w:val="44"/>
          <w:lang w:val="en-US" w:eastAsia="zh-CN" w:bidi="ar-SA"/>
        </w:rPr>
        <w:t>资料分析</w:t>
      </w:r>
      <w:bookmarkEnd w:id="26"/>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基础信息调查属于《土壤污染状况调查技术导则》（HJ 25.1-2019）确定的地块调查第一阶段工作，主要包括资料收集、现场踏勘、人员访谈、污染识别等工作内容，信息采集是采样布点方案制定的必要前提和数据来源，也为后续其他相关工作提供重要依据和保障。目的是收集与地块相关的污染源、迁移途径和受体等要素有关的重要资料，完成第一阶段调查工作总结报告的编制，初步判断地块风险水平；同时，相关信息也为识别疑似污染区域、筛选采样调查区域、确定布点位置等后续工作提供借鉴和参考。</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调查期间主要通过现场踏勘、人员访谈、历史影像辨识、信息检索、环保部门档案室调阅资料等途径收集了该地块相关信息，收集信息包括地块历史建设和现状开发情况、后期土地利用规划、地块自然环境状况、地质资料等信息，资料收集情况如下：</w:t>
      </w:r>
    </w:p>
    <w:p>
      <w:pPr>
        <w:keepNext/>
        <w:adjustRightInd w:val="0"/>
        <w:snapToGrid w:val="0"/>
        <w:spacing w:before="0" w:beforeLines="0" w:after="156" w:afterLines="50" w:line="240" w:lineRule="auto"/>
        <w:jc w:val="center"/>
        <w:rPr>
          <w:rFonts w:ascii="Times New Roman" w:hAnsi="Times New Roman" w:eastAsia="宋体" w:cs="Times New Roman"/>
          <w:b/>
          <w:sz w:val="21"/>
          <w:szCs w:val="21"/>
          <w:lang w:val="en-US" w:eastAsia="zh-CN" w:bidi="ar-SA"/>
        </w:rPr>
      </w:pPr>
      <w:r>
        <w:rPr>
          <w:rFonts w:hint="eastAsia" w:ascii="Times New Roman" w:hAnsi="Times New Roman" w:eastAsia="宋体" w:cs="Times New Roman"/>
          <w:b/>
          <w:sz w:val="21"/>
          <w:szCs w:val="21"/>
          <w:lang w:val="en-US" w:eastAsia="zh-CN" w:bidi="ar-SA"/>
        </w:rPr>
        <w:t xml:space="preserve">表 </w:t>
      </w:r>
      <w:r>
        <w:rPr>
          <w:rFonts w:hint="eastAsia" w:cs="Times New Roman"/>
          <w:b/>
          <w:sz w:val="21"/>
          <w:szCs w:val="21"/>
          <w:lang w:val="en-US" w:eastAsia="zh-CN" w:bidi="ar-SA"/>
        </w:rPr>
        <w:t>4.1</w:t>
      </w:r>
      <w:r>
        <w:rPr>
          <w:rFonts w:hint="eastAsia" w:ascii="Times New Roman" w:hAnsi="Times New Roman" w:eastAsia="宋体" w:cs="Times New Roman"/>
          <w:b/>
          <w:sz w:val="21"/>
          <w:szCs w:val="21"/>
          <w:lang w:val="en-US" w:eastAsia="zh-CN" w:bidi="ar-SA"/>
        </w:rPr>
        <w:t>-1</w:t>
      </w:r>
      <w:r>
        <w:rPr>
          <w:rFonts w:ascii="Times New Roman" w:hAnsi="Times New Roman" w:eastAsia="宋体" w:cs="Times New Roman"/>
          <w:b/>
          <w:sz w:val="21"/>
          <w:szCs w:val="21"/>
          <w:lang w:val="en-US" w:eastAsia="zh-CN" w:bidi="ar-SA"/>
        </w:rPr>
        <w:t xml:space="preserve">  </w:t>
      </w:r>
      <w:r>
        <w:rPr>
          <w:rFonts w:hint="eastAsia" w:ascii="Times New Roman" w:hAnsi="Times New Roman" w:eastAsia="宋体" w:cs="Times New Roman"/>
          <w:b/>
          <w:sz w:val="21"/>
          <w:szCs w:val="21"/>
          <w:lang w:val="en-US" w:eastAsia="zh-CN" w:bidi="ar-SA"/>
        </w:rPr>
        <w:t>资料收集情况一览表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2"/>
        <w:gridCol w:w="4595"/>
        <w:gridCol w:w="489"/>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344"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b/>
                <w:bCs/>
                <w:sz w:val="21"/>
                <w:szCs w:val="21"/>
                <w:lang w:eastAsia="zh-CN"/>
              </w:rPr>
              <w:t>序号</w:t>
            </w:r>
          </w:p>
        </w:tc>
        <w:tc>
          <w:tcPr>
            <w:tcW w:w="2763"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b/>
                <w:bCs/>
                <w:sz w:val="21"/>
                <w:szCs w:val="21"/>
                <w:lang w:eastAsia="zh-CN"/>
              </w:rPr>
              <w:t>资料信息</w:t>
            </w:r>
          </w:p>
        </w:tc>
        <w:tc>
          <w:tcPr>
            <w:tcW w:w="294" w:type="pct"/>
            <w:vAlign w:val="center"/>
          </w:tcPr>
          <w:p>
            <w:pPr>
              <w:pStyle w:val="21"/>
              <w:adjustRightInd w:val="0"/>
              <w:snapToGrid w:val="0"/>
              <w:ind w:left="-120" w:leftChars="-50" w:right="-120" w:rightChars="-50"/>
              <w:jc w:val="center"/>
              <w:rPr>
                <w:rFonts w:ascii="宋体" w:hAnsi="宋体" w:eastAsia="宋体" w:cs="宋体"/>
                <w:sz w:val="21"/>
                <w:szCs w:val="21"/>
              </w:rPr>
            </w:pPr>
            <w:r>
              <w:rPr>
                <w:rFonts w:ascii="宋体" w:hAnsi="宋体" w:eastAsia="宋体" w:cs="宋体"/>
                <w:b/>
                <w:bCs/>
                <w:sz w:val="21"/>
                <w:szCs w:val="21"/>
              </w:rPr>
              <w:t>有</w:t>
            </w:r>
            <w:r>
              <w:rPr>
                <w:rFonts w:ascii="Times New Roman" w:hAnsi="Times New Roman" w:eastAsia="Times New Roman" w:cs="Times New Roman"/>
                <w:b/>
                <w:bCs/>
                <w:sz w:val="21"/>
                <w:szCs w:val="21"/>
              </w:rPr>
              <w:t>/</w:t>
            </w:r>
            <w:r>
              <w:rPr>
                <w:rFonts w:ascii="宋体" w:hAnsi="宋体" w:eastAsia="宋体" w:cs="宋体"/>
                <w:b/>
                <w:bCs/>
                <w:sz w:val="21"/>
                <w:szCs w:val="21"/>
              </w:rPr>
              <w:t>无</w:t>
            </w:r>
          </w:p>
        </w:tc>
        <w:tc>
          <w:tcPr>
            <w:tcW w:w="1599"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b/>
                <w:bCs/>
                <w:sz w:val="21"/>
                <w:szCs w:val="21"/>
                <w:lang w:eastAsia="zh-CN"/>
              </w:rPr>
              <w:t>资料来源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b/>
                <w:w w:val="99"/>
                <w:sz w:val="21"/>
                <w:szCs w:val="22"/>
              </w:rPr>
              <w:t>1</w:t>
            </w:r>
          </w:p>
        </w:tc>
        <w:tc>
          <w:tcPr>
            <w:tcW w:w="4656" w:type="pct"/>
            <w:gridSpan w:val="3"/>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b/>
                <w:bCs/>
                <w:sz w:val="21"/>
                <w:szCs w:val="21"/>
                <w:lang w:eastAsia="zh-CN"/>
              </w:rPr>
              <w:t>地块利用变迁资料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1.1</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用来辨识地块及其邻近区域的开发及活动状况的航片或卫星照片</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ascii="Times New Roman" w:hAnsi="Times New Roman" w:eastAsia="Times New Roman" w:cs="Times New Roman"/>
                <w:sz w:val="21"/>
                <w:szCs w:val="21"/>
                <w:lang w:eastAsia="zh-CN"/>
              </w:rPr>
              <w:t>Google</w:t>
            </w:r>
            <w:r>
              <w:rPr>
                <w:rFonts w:hint="eastAsia" w:ascii="宋体" w:hAnsi="宋体" w:eastAsia="宋体" w:cs="宋体"/>
                <w:sz w:val="21"/>
                <w:szCs w:val="21"/>
                <w:lang w:eastAsia="zh-CN"/>
              </w:rPr>
              <w:t>历史影像、人员访谈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1.2</w:t>
            </w:r>
          </w:p>
        </w:tc>
        <w:tc>
          <w:tcPr>
            <w:tcW w:w="2763" w:type="pct"/>
            <w:vAlign w:val="center"/>
          </w:tcPr>
          <w:p>
            <w:pPr>
              <w:pStyle w:val="21"/>
              <w:adjustRightInd w:val="0"/>
              <w:snapToGrid w:val="0"/>
              <w:jc w:val="center"/>
              <w:rPr>
                <w:rFonts w:ascii="宋体" w:hAnsi="宋体" w:eastAsia="宋体" w:cs="宋体"/>
                <w:sz w:val="21"/>
                <w:szCs w:val="21"/>
                <w:highlight w:val="yellow"/>
                <w:lang w:eastAsia="zh-CN"/>
              </w:rPr>
            </w:pPr>
            <w:r>
              <w:rPr>
                <w:rFonts w:ascii="宋体" w:hAnsi="宋体" w:eastAsia="宋体" w:cs="宋体"/>
                <w:sz w:val="21"/>
                <w:szCs w:val="21"/>
                <w:lang w:eastAsia="zh-CN"/>
              </w:rPr>
              <w:t>土地管理机构的土地登记资料</w:t>
            </w:r>
          </w:p>
        </w:tc>
        <w:tc>
          <w:tcPr>
            <w:tcW w:w="294" w:type="pct"/>
            <w:vAlign w:val="center"/>
          </w:tcPr>
          <w:p>
            <w:pPr>
              <w:pStyle w:val="21"/>
              <w:adjustRightInd w:val="0"/>
              <w:snapToGrid w:val="0"/>
              <w:jc w:val="center"/>
              <w:rPr>
                <w:rFonts w:ascii="Times New Roman" w:hAnsi="Times New Roman" w:eastAsia="Times New Roman" w:cs="Times New Roman"/>
                <w:sz w:val="21"/>
                <w:szCs w:val="21"/>
                <w:highlight w:val="yellow"/>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highlight w:val="yellow"/>
                <w:lang w:eastAsia="zh-CN"/>
              </w:rPr>
            </w:pPr>
            <w:r>
              <w:rPr>
                <w:rFonts w:hint="eastAsia" w:ascii="宋体" w:hAnsi="宋体" w:eastAsia="宋体" w:cs="宋体"/>
                <w:sz w:val="21"/>
                <w:szCs w:val="21"/>
                <w:lang w:eastAsia="zh-CN"/>
              </w:rPr>
              <w:t>宜昌市土地储备中心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1.3</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地块的土地使用和规划资料</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宜昌市自然资源和规划局、宜昌市人民政府网站公示信息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1.4</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评价地块污染的历史资料如平面布置图、地形图</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Google历史影像</w:t>
            </w:r>
            <w:r>
              <w:rPr>
                <w:rFonts w:hint="eastAsia" w:ascii="Times New Roman" w:hAnsi="Times New Roman" w:eastAsia="宋体" w:cs="Times New Roman"/>
                <w:sz w:val="21"/>
                <w:szCs w:val="21"/>
                <w:lang w:eastAsia="zh-CN"/>
              </w:rPr>
              <w:t>和现场踏勘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1.5</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地块利用变迁过程中的地块内建筑、设施、工艺</w:t>
            </w:r>
          </w:p>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流程和生产污染等的变化情况</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ascii="Times New Roman" w:hAnsi="Times New Roman" w:eastAsia="Times New Roman" w:cs="Times New Roman"/>
                <w:sz w:val="21"/>
                <w:szCs w:val="21"/>
                <w:lang w:eastAsia="zh-CN"/>
              </w:rPr>
              <w:t>Google</w:t>
            </w:r>
            <w:r>
              <w:rPr>
                <w:rFonts w:hint="eastAsia" w:ascii="宋体" w:hAnsi="宋体" w:eastAsia="宋体" w:cs="宋体"/>
                <w:sz w:val="21"/>
                <w:szCs w:val="21"/>
                <w:lang w:eastAsia="zh-CN"/>
              </w:rPr>
              <w:t>地图、人员访谈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b/>
                <w:w w:val="99"/>
                <w:sz w:val="21"/>
                <w:szCs w:val="22"/>
              </w:rPr>
              <w:t>2</w:t>
            </w:r>
          </w:p>
        </w:tc>
        <w:tc>
          <w:tcPr>
            <w:tcW w:w="4656" w:type="pct"/>
            <w:gridSpan w:val="3"/>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b/>
                <w:bCs/>
                <w:sz w:val="21"/>
                <w:szCs w:val="21"/>
                <w:lang w:eastAsia="zh-CN"/>
              </w:rPr>
              <w:t>地块利用资料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2.1</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地块内土壤及地下水污染记录</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2.2</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地块内危险废弃物堆放记录</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sz w:val="21"/>
                <w:szCs w:val="22"/>
                <w:lang w:eastAsia="zh-CN"/>
              </w:rPr>
            </w:pPr>
            <w:r>
              <w:rPr>
                <w:rFonts w:hint="eastAsia" w:ascii="Times New Roman"/>
                <w:sz w:val="21"/>
                <w:szCs w:val="22"/>
                <w:lang w:eastAsia="zh-CN"/>
              </w:rPr>
              <w:t>2</w:t>
            </w:r>
            <w:r>
              <w:rPr>
                <w:rFonts w:ascii="Times New Roman"/>
                <w:sz w:val="21"/>
                <w:szCs w:val="22"/>
                <w:lang w:eastAsia="zh-CN"/>
              </w:rPr>
              <w:t>.3</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危险废物处置记录</w:t>
            </w:r>
          </w:p>
        </w:tc>
        <w:tc>
          <w:tcPr>
            <w:tcW w:w="294"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highlight w:val="yellow"/>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2.4</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地块与自然保护区和水源地保护区的位置关系</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《宜昌市中心城区环境控制性详细规</w:t>
            </w:r>
            <w:r>
              <w:rPr>
                <w:rFonts w:ascii="Times New Roman" w:hAnsi="Times New Roman" w:eastAsia="宋体" w:cs="Times New Roman"/>
                <w:sz w:val="21"/>
                <w:szCs w:val="21"/>
                <w:lang w:eastAsia="zh-CN"/>
              </w:rPr>
              <w:t>划（2018-2030</w:t>
            </w:r>
            <w:r>
              <w:rPr>
                <w:rFonts w:hint="eastAsia" w:ascii="宋体" w:hAnsi="宋体" w:eastAsia="宋体" w:cs="宋体"/>
                <w:sz w:val="21"/>
                <w:szCs w:val="21"/>
                <w:lang w:eastAsia="zh-CN"/>
              </w:rPr>
              <w:t>）》《湖北省乡镇集中式饮用水水源保护区划分方案》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b/>
                <w:w w:val="99"/>
                <w:sz w:val="21"/>
                <w:szCs w:val="22"/>
              </w:rPr>
              <w:t>3</w:t>
            </w:r>
          </w:p>
        </w:tc>
        <w:tc>
          <w:tcPr>
            <w:tcW w:w="4656" w:type="pct"/>
            <w:gridSpan w:val="3"/>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b/>
                <w:bCs/>
                <w:sz w:val="21"/>
                <w:szCs w:val="21"/>
                <w:lang w:eastAsia="zh-CN"/>
              </w:rPr>
              <w:t>地块相关记录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3.1</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pacing w:val="-5"/>
                <w:sz w:val="21"/>
                <w:szCs w:val="21"/>
                <w:lang w:eastAsia="zh-CN"/>
              </w:rPr>
              <w:t>产品、原辅材料清单</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sz w:val="21"/>
                <w:szCs w:val="22"/>
                <w:lang w:eastAsia="zh-CN"/>
              </w:rPr>
            </w:pPr>
            <w:r>
              <w:rPr>
                <w:rFonts w:hint="eastAsia" w:ascii="Times New Roman"/>
                <w:sz w:val="21"/>
                <w:szCs w:val="22"/>
                <w:lang w:eastAsia="zh-CN"/>
              </w:rPr>
              <w:t>3</w:t>
            </w:r>
            <w:r>
              <w:rPr>
                <w:rFonts w:ascii="Times New Roman"/>
                <w:sz w:val="21"/>
                <w:szCs w:val="22"/>
                <w:lang w:eastAsia="zh-CN"/>
              </w:rPr>
              <w:t>.2</w:t>
            </w:r>
          </w:p>
        </w:tc>
        <w:tc>
          <w:tcPr>
            <w:tcW w:w="2763" w:type="pct"/>
            <w:vAlign w:val="center"/>
          </w:tcPr>
          <w:p>
            <w:pPr>
              <w:pStyle w:val="21"/>
              <w:adjustRightInd w:val="0"/>
              <w:snapToGrid w:val="0"/>
              <w:jc w:val="center"/>
              <w:rPr>
                <w:rFonts w:ascii="宋体" w:hAnsi="宋体" w:eastAsia="宋体" w:cs="宋体"/>
                <w:spacing w:val="-5"/>
                <w:sz w:val="21"/>
                <w:szCs w:val="21"/>
                <w:lang w:eastAsia="zh-CN"/>
              </w:rPr>
            </w:pPr>
            <w:r>
              <w:rPr>
                <w:rFonts w:ascii="宋体" w:hAnsi="宋体" w:eastAsia="宋体" w:cs="宋体"/>
                <w:spacing w:val="-5"/>
                <w:sz w:val="21"/>
                <w:szCs w:val="21"/>
                <w:lang w:eastAsia="zh-CN"/>
              </w:rPr>
              <w:t>平面布置图</w:t>
            </w:r>
            <w:r>
              <w:rPr>
                <w:rFonts w:ascii="宋体" w:hAnsi="宋体" w:eastAsia="宋体" w:cs="宋体"/>
                <w:sz w:val="21"/>
                <w:szCs w:val="21"/>
                <w:lang w:eastAsia="zh-CN"/>
              </w:rPr>
              <w:t>工艺流程图</w:t>
            </w:r>
          </w:p>
        </w:tc>
        <w:tc>
          <w:tcPr>
            <w:tcW w:w="294"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3.3</w:t>
            </w:r>
          </w:p>
        </w:tc>
        <w:tc>
          <w:tcPr>
            <w:tcW w:w="2763" w:type="pct"/>
            <w:vAlign w:val="center"/>
          </w:tcPr>
          <w:p>
            <w:pPr>
              <w:pStyle w:val="21"/>
              <w:adjustRightInd w:val="0"/>
              <w:snapToGrid w:val="0"/>
              <w:jc w:val="center"/>
              <w:rPr>
                <w:rFonts w:ascii="宋体" w:hAnsi="宋体" w:eastAsia="宋体" w:cs="宋体"/>
                <w:sz w:val="21"/>
                <w:szCs w:val="21"/>
                <w:highlight w:val="yellow"/>
                <w:lang w:eastAsia="zh-CN"/>
              </w:rPr>
            </w:pPr>
            <w:r>
              <w:rPr>
                <w:rFonts w:ascii="宋体" w:hAnsi="宋体" w:eastAsia="宋体" w:cs="宋体"/>
                <w:sz w:val="21"/>
                <w:szCs w:val="21"/>
                <w:lang w:eastAsia="zh-CN"/>
              </w:rPr>
              <w:t>地下管线图</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sz w:val="21"/>
                <w:szCs w:val="22"/>
                <w:lang w:eastAsia="zh-CN"/>
              </w:rPr>
            </w:pPr>
            <w:r>
              <w:rPr>
                <w:rFonts w:hint="eastAsia" w:ascii="Times New Roman"/>
                <w:sz w:val="21"/>
                <w:szCs w:val="22"/>
                <w:lang w:eastAsia="zh-CN"/>
              </w:rPr>
              <w:t>3</w:t>
            </w:r>
            <w:r>
              <w:rPr>
                <w:rFonts w:ascii="Times New Roman"/>
                <w:sz w:val="21"/>
                <w:szCs w:val="22"/>
                <w:lang w:eastAsia="zh-CN"/>
              </w:rPr>
              <w:t>.4</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化学品储存和使用清单、泄漏记录、废物管理记录</w:t>
            </w:r>
          </w:p>
        </w:tc>
        <w:tc>
          <w:tcPr>
            <w:tcW w:w="294"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3.5</w:t>
            </w:r>
          </w:p>
        </w:tc>
        <w:tc>
          <w:tcPr>
            <w:tcW w:w="2763"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sz w:val="21"/>
                <w:szCs w:val="21"/>
                <w:lang w:eastAsia="zh-CN"/>
              </w:rPr>
              <w:t>环境检测数据</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3.6</w:t>
            </w:r>
          </w:p>
        </w:tc>
        <w:tc>
          <w:tcPr>
            <w:tcW w:w="2763"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sz w:val="21"/>
                <w:szCs w:val="21"/>
                <w:lang w:eastAsia="zh-CN"/>
              </w:rPr>
              <w:t>地块勘探报告</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val="en-US" w:eastAsia="zh-CN"/>
              </w:rPr>
              <w:t>无</w:t>
            </w:r>
          </w:p>
        </w:tc>
        <w:tc>
          <w:tcPr>
            <w:tcW w:w="1599" w:type="pct"/>
            <w:vAlign w:val="center"/>
          </w:tcPr>
          <w:p>
            <w:pPr>
              <w:pStyle w:val="21"/>
              <w:adjustRightInd w:val="0"/>
              <w:snapToGrid w:val="0"/>
              <w:ind w:left="120" w:leftChars="50" w:right="120" w:rightChars="50"/>
              <w:jc w:val="center"/>
              <w:rPr>
                <w:rFonts w:ascii="宋体" w:hAnsi="宋体" w:eastAsia="宋体" w:cs="宋体"/>
                <w:sz w:val="21"/>
                <w:szCs w:val="21"/>
                <w:lang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b/>
                <w:w w:val="99"/>
                <w:sz w:val="21"/>
                <w:szCs w:val="22"/>
              </w:rPr>
              <w:t>4</w:t>
            </w:r>
          </w:p>
        </w:tc>
        <w:tc>
          <w:tcPr>
            <w:tcW w:w="4656" w:type="pct"/>
            <w:gridSpan w:val="3"/>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b/>
                <w:bCs/>
                <w:sz w:val="21"/>
                <w:szCs w:val="21"/>
                <w:lang w:eastAsia="zh-CN"/>
              </w:rPr>
              <w:t>由政府机关和权威机构所保存和发布的环境资料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4.1</w:t>
            </w:r>
          </w:p>
        </w:tc>
        <w:tc>
          <w:tcPr>
            <w:tcW w:w="2763"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sz w:val="21"/>
                <w:szCs w:val="21"/>
                <w:lang w:eastAsia="zh-CN"/>
              </w:rPr>
              <w:t>环境质量公告</w:t>
            </w:r>
          </w:p>
        </w:tc>
        <w:tc>
          <w:tcPr>
            <w:tcW w:w="294" w:type="pct"/>
            <w:vAlign w:val="center"/>
          </w:tcPr>
          <w:p>
            <w:pPr>
              <w:pStyle w:val="21"/>
              <w:adjustRightInd w:val="0"/>
              <w:snapToGrid w:val="0"/>
              <w:jc w:val="center"/>
              <w:rPr>
                <w:rFonts w:ascii="宋体" w:hAnsi="宋体" w:eastAsia="宋体" w:cs="宋体"/>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宜昌市生态环境局网站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4.2</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企业在政府部门相关环境备案和批复</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无</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4.3</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生态和水源保护区规划</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《宜昌市中心城区环境控制性详细规划（</w:t>
            </w:r>
            <w:r>
              <w:rPr>
                <w:rFonts w:ascii="Times New Roman" w:hAnsi="Times New Roman" w:eastAsia="宋体" w:cs="Times New Roman"/>
                <w:sz w:val="21"/>
                <w:szCs w:val="21"/>
                <w:lang w:eastAsia="zh-CN"/>
              </w:rPr>
              <w:t>2018-2030</w:t>
            </w:r>
            <w:r>
              <w:rPr>
                <w:rFonts w:hint="eastAsia" w:ascii="宋体" w:hAnsi="宋体" w:eastAsia="宋体" w:cs="宋体"/>
                <w:sz w:val="21"/>
                <w:szCs w:val="21"/>
                <w:lang w:eastAsia="zh-CN"/>
              </w:rPr>
              <w:t>）》《市人民政府办公室关于同意宜昌市地表水、环境空气、声环境功能区类别划分方案》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b/>
                <w:w w:val="99"/>
                <w:sz w:val="21"/>
                <w:szCs w:val="22"/>
              </w:rPr>
              <w:t>5</w:t>
            </w:r>
          </w:p>
        </w:tc>
        <w:tc>
          <w:tcPr>
            <w:tcW w:w="4656" w:type="pct"/>
            <w:gridSpan w:val="3"/>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b/>
                <w:bCs/>
                <w:sz w:val="21"/>
                <w:szCs w:val="21"/>
                <w:lang w:eastAsia="zh-CN"/>
              </w:rPr>
              <w:t>地块所在区域的自然和社会经济信息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5.1</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z w:val="21"/>
                <w:szCs w:val="21"/>
                <w:lang w:eastAsia="zh-CN"/>
              </w:rPr>
              <w:t>地理位置图、地形、地貌、土壤、水文、地质、气象资料，地方性基本统计信息</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宜昌市统计年鉴</w:t>
            </w:r>
            <w:r>
              <w:rPr>
                <w:rFonts w:ascii="Times New Roman" w:hAnsi="Times New Roman" w:eastAsia="宋体" w:cs="Times New Roman"/>
                <w:sz w:val="21"/>
                <w:szCs w:val="21"/>
                <w:lang w:eastAsia="zh-CN"/>
              </w:rPr>
              <w:t>、ALOS DEM12.5米精度地形数据、全国地质资料馆网站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44" w:type="pct"/>
            <w:vAlign w:val="center"/>
          </w:tcPr>
          <w:p>
            <w:pPr>
              <w:pStyle w:val="21"/>
              <w:adjustRightInd w:val="0"/>
              <w:snapToGrid w:val="0"/>
              <w:jc w:val="center"/>
              <w:rPr>
                <w:rFonts w:ascii="Times New Roman" w:hAnsi="Times New Roman" w:eastAsia="Times New Roman" w:cs="Times New Roman"/>
                <w:sz w:val="21"/>
                <w:szCs w:val="21"/>
              </w:rPr>
            </w:pPr>
            <w:r>
              <w:rPr>
                <w:rFonts w:ascii="Times New Roman"/>
                <w:sz w:val="21"/>
                <w:szCs w:val="22"/>
              </w:rPr>
              <w:t>5.2</w:t>
            </w:r>
          </w:p>
        </w:tc>
        <w:tc>
          <w:tcPr>
            <w:tcW w:w="2763" w:type="pct"/>
            <w:vAlign w:val="center"/>
          </w:tcPr>
          <w:p>
            <w:pPr>
              <w:pStyle w:val="21"/>
              <w:adjustRightInd w:val="0"/>
              <w:snapToGrid w:val="0"/>
              <w:jc w:val="center"/>
              <w:rPr>
                <w:rFonts w:ascii="宋体" w:hAnsi="宋体" w:eastAsia="宋体" w:cs="宋体"/>
                <w:sz w:val="21"/>
                <w:szCs w:val="21"/>
                <w:lang w:eastAsia="zh-CN"/>
              </w:rPr>
            </w:pPr>
            <w:r>
              <w:rPr>
                <w:rFonts w:ascii="宋体" w:hAnsi="宋体" w:eastAsia="宋体" w:cs="宋体"/>
                <w:spacing w:val="-5"/>
                <w:sz w:val="21"/>
                <w:szCs w:val="21"/>
                <w:lang w:eastAsia="zh-CN"/>
              </w:rPr>
              <w:t>地块所在地的社会信息，如人口密度和分布</w:t>
            </w:r>
            <w:r>
              <w:rPr>
                <w:rFonts w:ascii="宋体" w:hAnsi="宋体" w:eastAsia="宋体" w:cs="宋体"/>
                <w:sz w:val="21"/>
                <w:szCs w:val="21"/>
                <w:lang w:eastAsia="zh-CN"/>
              </w:rPr>
              <w:t>敏感目标分布</w:t>
            </w:r>
          </w:p>
        </w:tc>
        <w:tc>
          <w:tcPr>
            <w:tcW w:w="294" w:type="pct"/>
            <w:vAlign w:val="center"/>
          </w:tcPr>
          <w:p>
            <w:pPr>
              <w:pStyle w:val="21"/>
              <w:adjustRightInd w:val="0"/>
              <w:snapToGrid w:val="0"/>
              <w:jc w:val="center"/>
              <w:rPr>
                <w:rFonts w:ascii="Times New Roman" w:hAnsi="Times New Roman" w:eastAsia="Times New Roman" w:cs="Times New Roman"/>
                <w:sz w:val="21"/>
                <w:szCs w:val="21"/>
              </w:rPr>
            </w:pPr>
            <w:r>
              <w:rPr>
                <w:rFonts w:hint="eastAsia" w:ascii="宋体" w:hAnsi="宋体" w:eastAsia="宋体" w:cs="宋体"/>
                <w:sz w:val="21"/>
                <w:szCs w:val="21"/>
                <w:lang w:eastAsia="zh-CN"/>
              </w:rPr>
              <w:t>有</w:t>
            </w:r>
          </w:p>
        </w:tc>
        <w:tc>
          <w:tcPr>
            <w:tcW w:w="1599" w:type="pct"/>
            <w:vAlign w:val="center"/>
          </w:tcPr>
          <w:p>
            <w:pPr>
              <w:pStyle w:val="21"/>
              <w:adjustRightInd w:val="0"/>
              <w:snapToGrid w:val="0"/>
              <w:jc w:val="center"/>
              <w:rPr>
                <w:rFonts w:ascii="宋体" w:hAnsi="宋体" w:eastAsia="宋体" w:cs="宋体"/>
                <w:sz w:val="21"/>
                <w:szCs w:val="21"/>
                <w:lang w:eastAsia="zh-CN"/>
              </w:rPr>
            </w:pPr>
            <w:r>
              <w:rPr>
                <w:rFonts w:hint="eastAsia" w:ascii="宋体" w:hAnsi="宋体" w:eastAsia="宋体" w:cs="宋体"/>
                <w:sz w:val="21"/>
                <w:szCs w:val="21"/>
                <w:lang w:eastAsia="zh-CN"/>
              </w:rPr>
              <w:t>卫星地图识别和现场踏勘</w:t>
            </w:r>
          </w:p>
        </w:tc>
      </w:tr>
    </w:tbl>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27" w:name="_Toc13679"/>
      <w:r>
        <w:rPr>
          <w:rFonts w:hint="eastAsia" w:ascii="Times New Roman" w:hAnsi="Times New Roman" w:eastAsia="宋体" w:cs="Times New Roman"/>
          <w:b/>
          <w:bCs/>
          <w:sz w:val="28"/>
          <w:szCs w:val="32"/>
          <w:lang w:val="en-US" w:eastAsia="zh-CN" w:bidi="ar-SA"/>
        </w:rPr>
        <w:t>政府和权威机构资料收集和分析</w:t>
      </w:r>
      <w:bookmarkEnd w:id="27"/>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本次调查收集了</w:t>
      </w:r>
      <w:r>
        <w:rPr>
          <w:rFonts w:hint="eastAsia" w:cs="Times New Roman"/>
          <w:kern w:val="2"/>
          <w:sz w:val="24"/>
          <w:szCs w:val="24"/>
          <w:lang w:val="en-US" w:eastAsia="zh-CN" w:bidi="ar-SA"/>
        </w:rPr>
        <w:t>宜昌市B-WJ1302管理单元局部用地（峡州大道合益路交会处地块）控制性详细规划调整论证报告、</w:t>
      </w:r>
      <w:r>
        <w:rPr>
          <w:rFonts w:hint="eastAsia" w:ascii="Times New Roman" w:hAnsi="Times New Roman" w:eastAsia="宋体" w:cs="Times New Roman"/>
          <w:kern w:val="2"/>
          <w:sz w:val="24"/>
          <w:szCs w:val="24"/>
          <w:lang w:val="en-US" w:eastAsia="zh-CN" w:bidi="ar-SA"/>
        </w:rPr>
        <w:t>地块</w:t>
      </w:r>
      <w:r>
        <w:rPr>
          <w:rFonts w:hint="eastAsia" w:cs="Times New Roman"/>
          <w:kern w:val="2"/>
          <w:sz w:val="24"/>
          <w:szCs w:val="24"/>
          <w:lang w:val="en-US" w:eastAsia="zh-CN" w:bidi="ar-SA"/>
        </w:rPr>
        <w:t>权属调查明细、权属调查工作图</w:t>
      </w:r>
      <w:r>
        <w:rPr>
          <w:rFonts w:hint="eastAsia" w:ascii="Times New Roman" w:hAnsi="Times New Roman" w:eastAsia="宋体" w:cs="Times New Roman"/>
          <w:kern w:val="2"/>
          <w:sz w:val="24"/>
          <w:szCs w:val="24"/>
          <w:lang w:val="en-US" w:eastAsia="zh-CN" w:bidi="ar-SA"/>
        </w:rPr>
        <w:t>等政府和权威机构资料。</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通过以上收集到的资料分析，可得以下结论：</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1</w:t>
      </w:r>
      <w:r>
        <w:rPr>
          <w:rFonts w:hint="eastAsia" w:ascii="Times New Roman" w:hAnsi="Times New Roman" w:eastAsia="宋体" w:cs="Times New Roman"/>
          <w:kern w:val="2"/>
          <w:sz w:val="24"/>
          <w:szCs w:val="24"/>
          <w:lang w:val="en-US" w:eastAsia="zh-CN" w:bidi="ar-SA"/>
        </w:rPr>
        <w:t>）地块规划用地性质为</w:t>
      </w:r>
      <w:r>
        <w:rPr>
          <w:rFonts w:hint="eastAsia" w:cs="Times New Roman"/>
          <w:kern w:val="2"/>
          <w:sz w:val="24"/>
          <w:szCs w:val="24"/>
          <w:lang w:val="en-US" w:eastAsia="zh-CN" w:bidi="ar-SA"/>
        </w:rPr>
        <w:t>二类</w:t>
      </w:r>
      <w:r>
        <w:rPr>
          <w:rFonts w:hint="eastAsia" w:ascii="Times New Roman" w:hAnsi="Times New Roman" w:eastAsia="宋体" w:cs="Times New Roman"/>
          <w:kern w:val="2"/>
          <w:sz w:val="24"/>
          <w:szCs w:val="24"/>
          <w:lang w:val="en-US" w:eastAsia="zh-CN" w:bidi="ar-SA"/>
        </w:rPr>
        <w:t>城镇住宅用地，根据《中华人民共和国土壤污染防治法》第五十九条：用途变更为住宅、公共管理与公共服务用地的，变更前应当按照规定进行土壤污染状况调查。</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 xml:space="preserve">）地块总面积 </w:t>
      </w:r>
      <w:r>
        <w:rPr>
          <w:rFonts w:hint="eastAsia" w:cs="Times New Roman"/>
          <w:kern w:val="2"/>
          <w:sz w:val="24"/>
          <w:szCs w:val="24"/>
          <w:lang w:val="en-US" w:eastAsia="zh-CN" w:bidi="ar-SA"/>
        </w:rPr>
        <w:t>77494.71</w:t>
      </w:r>
      <w:r>
        <w:rPr>
          <w:rFonts w:hint="eastAsia" w:ascii="Times New Roman" w:hAnsi="Times New Roman" w:eastAsia="宋体" w:cs="Times New Roman"/>
          <w:kern w:val="2"/>
          <w:sz w:val="24"/>
          <w:szCs w:val="24"/>
          <w:lang w:val="en-US" w:eastAsia="zh-CN" w:bidi="ar-SA"/>
        </w:rPr>
        <w:t xml:space="preserve"> </w:t>
      </w:r>
      <w:r>
        <w:rPr>
          <w:rFonts w:hint="eastAsia" w:cs="Times New Roman"/>
          <w:kern w:val="2"/>
          <w:sz w:val="24"/>
          <w:szCs w:val="24"/>
          <w:lang w:val="en-US" w:eastAsia="zh-CN" w:bidi="ar-SA"/>
        </w:rPr>
        <w:t>m</w:t>
      </w:r>
      <w:r>
        <w:rPr>
          <w:rFonts w:hint="eastAsia" w:cs="Times New Roman"/>
          <w:kern w:val="2"/>
          <w:sz w:val="24"/>
          <w:szCs w:val="24"/>
          <w:vertAlign w:val="superscript"/>
          <w:lang w:val="en-US" w:eastAsia="zh-CN" w:bidi="ar-SA"/>
        </w:rPr>
        <w:t>2</w:t>
      </w:r>
      <w:r>
        <w:rPr>
          <w:rFonts w:hint="eastAsia" w:ascii="Times New Roman" w:hAnsi="Times New Roman" w:eastAsia="宋体" w:cs="Times New Roman"/>
          <w:kern w:val="2"/>
          <w:sz w:val="24"/>
          <w:szCs w:val="24"/>
          <w:lang w:val="en-US" w:eastAsia="zh-CN" w:bidi="ar-SA"/>
        </w:rPr>
        <w:t>，位置为：生物产业园峡州大道与合益路交会处东侧。</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28" w:name="_Toc8795"/>
      <w:r>
        <w:rPr>
          <w:rFonts w:hint="eastAsia" w:ascii="Times New Roman" w:hAnsi="Times New Roman" w:eastAsia="宋体" w:cs="Times New Roman"/>
          <w:b/>
          <w:bCs/>
          <w:sz w:val="28"/>
          <w:szCs w:val="32"/>
          <w:lang w:val="en-US" w:eastAsia="zh-CN" w:bidi="ar-SA"/>
        </w:rPr>
        <w:t>地块资料收集和分析</w:t>
      </w:r>
      <w:bookmarkEnd w:id="28"/>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本次调查地块资料收集了地块现状、不同时期遥感卫星图以及人员访谈记录表等。根据人员访谈记录及不同时期遥感卫星图等资料收集分析，地块内历史上一直主要为水田、坑塘水面和农村宅基地，历史上不涉及工矿用途、规模化养殖、有毒有害物质储存与输送；历史上不存在环境污染事故、危险废物堆放、固废堆放与倾倒、固废填埋等情况；历史上不涉及工业废水污染；该地块历史上无检测数据表明土壤存在污染；历史上不存在其他可能造成土壤污染的情况；地块紧邻周边无污染源。</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综上，现场调查地块不存在土壤、地下水污染迹象，土壤被污染的可能性较小。</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29" w:name="_Toc1984"/>
      <w:r>
        <w:rPr>
          <w:rFonts w:hint="eastAsia" w:ascii="Times New Roman" w:hAnsi="Times New Roman" w:eastAsia="宋体" w:cs="Times New Roman"/>
          <w:b/>
          <w:bCs/>
          <w:sz w:val="28"/>
          <w:szCs w:val="32"/>
          <w:lang w:val="en-US" w:eastAsia="zh-CN" w:bidi="ar-SA"/>
        </w:rPr>
        <w:t>其他资料收集和分析</w:t>
      </w:r>
      <w:bookmarkEnd w:id="29"/>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本次调查其他资料收集了区域自然气象资料、区域地质及土壤资料、区域水文地质资料、周围工业企业分布、周围环境敏感目标分布及人员访谈记录表等。根据资料收集分析，地块周边 1km 范围内环境敏感目标详见表 3.3-1 及</w:t>
      </w:r>
      <w:r>
        <w:rPr>
          <w:rFonts w:hint="eastAsia" w:cs="Times New Roman"/>
          <w:kern w:val="0"/>
          <w:sz w:val="24"/>
          <w:szCs w:val="24"/>
          <w:lang w:val="en-US" w:eastAsia="zh-CN"/>
        </w:rPr>
        <w:t>附</w:t>
      </w:r>
      <w:r>
        <w:rPr>
          <w:rFonts w:hint="eastAsia" w:ascii="Times New Roman" w:hAnsi="Times New Roman" w:eastAsia="宋体" w:cs="Times New Roman"/>
          <w:kern w:val="0"/>
          <w:sz w:val="24"/>
          <w:szCs w:val="24"/>
          <w:lang w:val="en-US" w:eastAsia="zh-CN"/>
        </w:rPr>
        <w:t>图 3。</w:t>
      </w:r>
    </w:p>
    <w:p>
      <w:pPr>
        <w:widowControl/>
        <w:adjustRightInd w:val="0"/>
        <w:snapToGrid w:val="0"/>
        <w:spacing w:line="360" w:lineRule="auto"/>
        <w:ind w:firstLine="480" w:firstLineChars="200"/>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本次调查地块周边企业分布为：</w:t>
      </w:r>
      <w:r>
        <w:rPr>
          <w:rFonts w:hint="eastAsia" w:cs="Times New Roman"/>
          <w:kern w:val="0"/>
          <w:sz w:val="24"/>
          <w:szCs w:val="24"/>
          <w:lang w:val="en-US" w:eastAsia="zh-CN"/>
        </w:rPr>
        <w:t>东</w:t>
      </w:r>
      <w:r>
        <w:rPr>
          <w:rFonts w:hint="default" w:ascii="Times New Roman" w:hAnsi="Times New Roman" w:eastAsia="宋体" w:cs="Times New Roman"/>
          <w:kern w:val="0"/>
          <w:sz w:val="24"/>
          <w:szCs w:val="24"/>
          <w:lang w:val="en-US" w:eastAsia="zh-CN"/>
        </w:rPr>
        <w:t>侧为安琪健康食品产业园，南侧为</w:t>
      </w:r>
      <w:r>
        <w:rPr>
          <w:rFonts w:hint="eastAsia" w:cs="Times New Roman"/>
          <w:kern w:val="2"/>
          <w:sz w:val="24"/>
          <w:szCs w:val="24"/>
          <w:lang w:val="en-US" w:eastAsia="zh-CN" w:bidi="ar-SA"/>
        </w:rPr>
        <w:t>宜昌市统领傢俬有限公司</w:t>
      </w:r>
      <w:r>
        <w:rPr>
          <w:rFonts w:hint="default" w:ascii="Times New Roman" w:hAnsi="Times New Roman" w:eastAsia="宋体" w:cs="Times New Roman"/>
          <w:kern w:val="0"/>
          <w:sz w:val="24"/>
          <w:szCs w:val="24"/>
          <w:lang w:val="en-US" w:eastAsia="zh-CN"/>
        </w:rPr>
        <w:t>。通过调查与访谈，周边企业运营过程中均未发生危化品、废水等的泄漏和洒落等事故。因此周边企业对本地块的影响较小。</w:t>
      </w:r>
    </w:p>
    <w:p>
      <w:pPr>
        <w:keepNext/>
        <w:keepLines/>
        <w:pageBreakBefore/>
        <w:numPr>
          <w:ilvl w:val="0"/>
          <w:numId w:val="1"/>
        </w:numPr>
        <w:adjustRightInd w:val="0"/>
        <w:snapToGrid w:val="0"/>
        <w:spacing w:before="156" w:beforeLines="50" w:after="156" w:afterLines="5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30" w:name="_Toc24134"/>
      <w:r>
        <w:rPr>
          <w:rFonts w:hint="eastAsia" w:ascii="Times New Roman" w:hAnsi="Times New Roman" w:eastAsia="宋体" w:cs="Times New Roman"/>
          <w:b/>
          <w:bCs/>
          <w:kern w:val="44"/>
          <w:sz w:val="30"/>
          <w:szCs w:val="44"/>
          <w:lang w:val="en-US" w:eastAsia="zh-CN" w:bidi="ar-SA"/>
        </w:rPr>
        <w:t>现场踏勘和人员访谈</w:t>
      </w:r>
      <w:bookmarkEnd w:id="30"/>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1" w:name="_Toc25862"/>
      <w:r>
        <w:rPr>
          <w:rFonts w:hint="eastAsia" w:ascii="Times New Roman" w:hAnsi="Times New Roman" w:eastAsia="宋体" w:cs="Times New Roman"/>
          <w:b/>
          <w:bCs/>
          <w:sz w:val="28"/>
          <w:szCs w:val="32"/>
          <w:lang w:val="en-US" w:eastAsia="zh-CN" w:bidi="ar-SA"/>
        </w:rPr>
        <w:t>现场踏勘</w:t>
      </w:r>
      <w:bookmarkEnd w:id="31"/>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bookmarkStart w:id="32" w:name="_Hlk98332402"/>
      <w:r>
        <w:rPr>
          <w:rFonts w:hint="eastAsia" w:ascii="Times New Roman" w:hAnsi="Times New Roman" w:eastAsia="宋体" w:cs="Times New Roman"/>
          <w:kern w:val="0"/>
          <w:sz w:val="24"/>
          <w:szCs w:val="24"/>
          <w:lang w:val="en-US" w:eastAsia="zh-CN"/>
        </w:rPr>
        <w:t>2023 年 4 月，我公司组织相关人员对调查地块及周边区域进行了现场踏勘。踏勘主要方法为气味辨识、照相、现场笔记等。踏勘范围为本地块及周围区域，踏勘主要内容为：地块的现状与历史情况，相邻地块的现状与历史情况，周围区域的现状与历史情况，区域的地质、水文地质和地形的描述等。重点关注有毒有害物质的使用、处理、储存、处置；生产过程和设备，储罐与管线；恶臭、化学品味道和刺激性气味，污染和腐蚀的痕迹；排水管或渠、污水池或其它地表水体、废物堆放地、井等。同时应观察和记录地块及周围是否有可能受污染物影响的居民区、学校、医院、饮用水源保护区以及其它公共场所等。</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根据踏勘结果，踏勘过程中未闻到异常或刺激性气味，本地块和相邻地块未发现可能造成土壤和地下水污染的异常迹象，未发现罐、槽以及废物临时堆放污染痕迹。</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调查地块周围区域主要环境敏感目标为张家台、刘家湾、孙家湾、燕子别院；</w:t>
      </w:r>
      <w:r>
        <w:rPr>
          <w:rFonts w:hint="eastAsia" w:cs="Times New Roman"/>
          <w:kern w:val="2"/>
          <w:sz w:val="24"/>
          <w:szCs w:val="24"/>
          <w:lang w:val="en-US" w:eastAsia="zh-CN" w:bidi="ar-SA"/>
        </w:rPr>
        <w:t>地块</w:t>
      </w:r>
      <w:r>
        <w:rPr>
          <w:rFonts w:hint="eastAsia" w:ascii="Times New Roman" w:hAnsi="Times New Roman" w:eastAsia="宋体" w:cs="Times New Roman"/>
          <w:kern w:val="2"/>
          <w:sz w:val="24"/>
          <w:szCs w:val="24"/>
          <w:lang w:val="en-US" w:eastAsia="zh-CN" w:bidi="ar-SA"/>
        </w:rPr>
        <w:t>北侧为山体，山体以北为</w:t>
      </w:r>
      <w:r>
        <w:rPr>
          <w:rFonts w:hint="eastAsia" w:cs="Times New Roman"/>
          <w:kern w:val="2"/>
          <w:sz w:val="24"/>
          <w:szCs w:val="24"/>
          <w:lang w:val="en-US" w:eastAsia="zh-CN" w:bidi="ar-SA"/>
        </w:rPr>
        <w:t>合益路</w:t>
      </w:r>
      <w:r>
        <w:rPr>
          <w:rFonts w:hint="eastAsia" w:ascii="Times New Roman" w:hAnsi="Times New Roman" w:eastAsia="宋体" w:cs="Times New Roman"/>
          <w:kern w:val="2"/>
          <w:sz w:val="24"/>
          <w:szCs w:val="24"/>
          <w:lang w:val="en-US" w:eastAsia="zh-CN" w:bidi="ar-SA"/>
        </w:rPr>
        <w:t>；东侧为</w:t>
      </w:r>
      <w:r>
        <w:rPr>
          <w:rFonts w:hint="eastAsia" w:cs="Times New Roman"/>
          <w:kern w:val="2"/>
          <w:sz w:val="24"/>
          <w:szCs w:val="24"/>
          <w:lang w:val="en-US" w:eastAsia="zh-CN" w:bidi="ar-SA"/>
        </w:rPr>
        <w:t>安琪健康食品产业园</w:t>
      </w:r>
      <w:r>
        <w:rPr>
          <w:rFonts w:hint="eastAsia" w:ascii="Times New Roman" w:hAnsi="Times New Roman" w:eastAsia="宋体" w:cs="Times New Roman"/>
          <w:kern w:val="2"/>
          <w:sz w:val="24"/>
          <w:szCs w:val="24"/>
          <w:lang w:val="en-US" w:eastAsia="zh-CN" w:bidi="ar-SA"/>
        </w:rPr>
        <w:t>；南侧紧临</w:t>
      </w:r>
      <w:r>
        <w:rPr>
          <w:rFonts w:hint="eastAsia" w:cs="Times New Roman"/>
          <w:kern w:val="2"/>
          <w:sz w:val="24"/>
          <w:szCs w:val="24"/>
          <w:lang w:val="en-US" w:eastAsia="zh-CN" w:bidi="ar-SA"/>
        </w:rPr>
        <w:t>宜昌市统领傢俬有限公司</w:t>
      </w:r>
      <w:r>
        <w:rPr>
          <w:rFonts w:hint="eastAsia" w:ascii="Times New Roman" w:hAnsi="Times New Roman" w:eastAsia="宋体" w:cs="Times New Roman"/>
          <w:kern w:val="2"/>
          <w:sz w:val="24"/>
          <w:szCs w:val="24"/>
          <w:lang w:val="en-US" w:eastAsia="zh-CN" w:bidi="ar-SA"/>
        </w:rPr>
        <w:t>；西侧为</w:t>
      </w:r>
      <w:r>
        <w:rPr>
          <w:rFonts w:hint="eastAsia" w:cs="Times New Roman"/>
          <w:kern w:val="2"/>
          <w:sz w:val="24"/>
          <w:szCs w:val="24"/>
          <w:lang w:val="en-US" w:eastAsia="zh-CN" w:bidi="ar-SA"/>
        </w:rPr>
        <w:t>山体</w:t>
      </w:r>
      <w:r>
        <w:rPr>
          <w:rFonts w:hint="eastAsia"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0"/>
          <w:sz w:val="24"/>
          <w:szCs w:val="24"/>
          <w:lang w:val="en-US" w:eastAsia="zh-CN"/>
        </w:rPr>
        <w:t>地块周边企业不存在环境污染事故、危险废物堆放、固废堆放与倾倒、固废填埋等情况，地块周边不存在土壤、地下水污染迹象。调查地块周边区域没有发现对调查地块造成污染来源。现场踏勘汇总表见表5.1-1。</w:t>
      </w:r>
    </w:p>
    <w:p>
      <w:pPr>
        <w:keepNext/>
        <w:adjustRightInd w:val="0"/>
        <w:snapToGrid w:val="0"/>
        <w:spacing w:before="97" w:beforeLines="30" w:after="163" w:afterLines="50" w:line="240" w:lineRule="auto"/>
        <w:jc w:val="center"/>
        <w:rPr>
          <w:rFonts w:ascii="Times New Roman" w:hAnsi="Times New Roman" w:eastAsia="宋体" w:cs="Times New Roman"/>
          <w:b/>
          <w:lang w:val="en-US" w:eastAsia="zh-CN" w:bidi="ar-SA"/>
        </w:rPr>
      </w:pPr>
      <w:r>
        <w:rPr>
          <w:rFonts w:hint="eastAsia" w:ascii="Times New Roman" w:hAnsi="Times New Roman" w:eastAsia="宋体" w:cs="Times New Roman"/>
          <w:b/>
          <w:lang w:val="en-US" w:eastAsia="zh-CN" w:bidi="ar-SA"/>
        </w:rPr>
        <w:t>表 5.1-</w:t>
      </w:r>
      <w:r>
        <w:rPr>
          <w:rFonts w:ascii="Times New Roman" w:hAnsi="Times New Roman" w:eastAsia="宋体" w:cs="Times New Roman"/>
          <w:b/>
          <w:lang w:val="en-US" w:eastAsia="zh-CN" w:bidi="ar-SA"/>
        </w:rPr>
        <w:fldChar w:fldCharType="begin"/>
      </w:r>
      <w:r>
        <w:rPr>
          <w:rFonts w:ascii="Times New Roman" w:hAnsi="Times New Roman" w:eastAsia="宋体" w:cs="Times New Roman"/>
          <w:b/>
          <w:lang w:val="en-US" w:eastAsia="zh-CN" w:bidi="ar-SA"/>
        </w:rPr>
        <w:instrText xml:space="preserve"> </w:instrText>
      </w:r>
      <w:r>
        <w:rPr>
          <w:rFonts w:hint="eastAsia" w:ascii="Times New Roman" w:hAnsi="Times New Roman" w:eastAsia="宋体" w:cs="Times New Roman"/>
          <w:b/>
          <w:lang w:val="en-US" w:eastAsia="zh-CN" w:bidi="ar-SA"/>
        </w:rPr>
        <w:instrText xml:space="preserve">SEQ 表 \* ARABIC \s 2</w:instrText>
      </w:r>
      <w:r>
        <w:rPr>
          <w:rFonts w:ascii="Times New Roman" w:hAnsi="Times New Roman" w:eastAsia="宋体" w:cs="Times New Roman"/>
          <w:b/>
          <w:lang w:val="en-US" w:eastAsia="zh-CN" w:bidi="ar-SA"/>
        </w:rPr>
        <w:instrText xml:space="preserve"> </w:instrText>
      </w:r>
      <w:r>
        <w:rPr>
          <w:rFonts w:ascii="Times New Roman" w:hAnsi="Times New Roman" w:eastAsia="宋体" w:cs="Times New Roman"/>
          <w:b/>
          <w:lang w:val="en-US" w:eastAsia="zh-CN" w:bidi="ar-SA"/>
        </w:rPr>
        <w:fldChar w:fldCharType="separate"/>
      </w:r>
      <w:r>
        <w:rPr>
          <w:rFonts w:ascii="Times New Roman" w:hAnsi="Times New Roman" w:eastAsia="宋体" w:cs="Times New Roman"/>
          <w:b/>
          <w:lang w:val="en-US" w:eastAsia="zh-CN" w:bidi="ar-SA"/>
        </w:rPr>
        <w:t>1</w:t>
      </w:r>
      <w:r>
        <w:rPr>
          <w:rFonts w:ascii="Times New Roman" w:hAnsi="Times New Roman" w:eastAsia="宋体" w:cs="Times New Roman"/>
          <w:b/>
          <w:lang w:val="en-US" w:eastAsia="zh-CN" w:bidi="ar-SA"/>
        </w:rPr>
        <w:fldChar w:fldCharType="end"/>
      </w:r>
      <w:r>
        <w:rPr>
          <w:rFonts w:ascii="Times New Roman" w:hAnsi="Times New Roman" w:eastAsia="宋体" w:cs="Times New Roman"/>
          <w:b/>
          <w:lang w:val="en-US" w:eastAsia="zh-CN" w:bidi="ar-SA"/>
        </w:rPr>
        <w:t xml:space="preserve">  </w:t>
      </w:r>
      <w:r>
        <w:rPr>
          <w:rFonts w:hint="eastAsia" w:ascii="Times New Roman" w:hAnsi="Times New Roman" w:eastAsia="宋体" w:cs="Times New Roman"/>
          <w:b/>
          <w:lang w:val="en-US" w:eastAsia="zh-CN" w:bidi="ar-SA"/>
        </w:rPr>
        <w:t>现场踏勘汇总表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5"/>
        <w:gridCol w:w="3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66" w:type="pct"/>
            <w:vAlign w:val="center"/>
          </w:tcPr>
          <w:p>
            <w:pPr>
              <w:widowControl w:val="0"/>
              <w:autoSpaceDE w:val="0"/>
              <w:autoSpaceDN w:val="0"/>
              <w:adjustRightInd w:val="0"/>
              <w:snapToGrid w:val="0"/>
              <w:spacing w:line="240" w:lineRule="auto"/>
              <w:jc w:val="center"/>
              <w:rPr>
                <w:rFonts w:hint="default" w:ascii="Times New Roman" w:hAnsi="Times New Roman" w:eastAsia="宋体" w:cs="Times New Roman"/>
                <w:b/>
                <w:bCs w:val="0"/>
                <w:sz w:val="21"/>
                <w:szCs w:val="21"/>
                <w:lang w:val="en-US" w:eastAsia="zh-CN" w:bidi="ar-SA"/>
              </w:rPr>
            </w:pPr>
            <w:r>
              <w:rPr>
                <w:rFonts w:hint="eastAsia" w:ascii="Times New Roman" w:hAnsi="Times New Roman" w:eastAsia="宋体" w:cs="Times New Roman"/>
                <w:b/>
                <w:bCs w:val="0"/>
                <w:sz w:val="21"/>
                <w:szCs w:val="21"/>
                <w:lang w:val="en-US" w:eastAsia="zh-CN" w:bidi="ar-SA"/>
              </w:rPr>
              <w:t>重点关注内容</w:t>
            </w:r>
          </w:p>
        </w:tc>
        <w:tc>
          <w:tcPr>
            <w:tcW w:w="2333" w:type="pct"/>
            <w:vAlign w:val="center"/>
          </w:tcPr>
          <w:p>
            <w:pPr>
              <w:widowControl w:val="0"/>
              <w:autoSpaceDE w:val="0"/>
              <w:autoSpaceDN w:val="0"/>
              <w:adjustRightInd w:val="0"/>
              <w:snapToGrid w:val="0"/>
              <w:spacing w:line="240" w:lineRule="auto"/>
              <w:jc w:val="center"/>
              <w:rPr>
                <w:rFonts w:hint="default" w:ascii="Times New Roman" w:hAnsi="Times New Roman" w:eastAsia="宋体" w:cs="Times New Roman"/>
                <w:b/>
                <w:bCs w:val="0"/>
                <w:sz w:val="21"/>
                <w:szCs w:val="21"/>
                <w:lang w:val="en-US" w:eastAsia="zh-CN" w:bidi="ar-SA"/>
              </w:rPr>
            </w:pPr>
            <w:r>
              <w:rPr>
                <w:rFonts w:hint="eastAsia" w:ascii="Times New Roman" w:hAnsi="Times New Roman" w:eastAsia="宋体" w:cs="Times New Roman"/>
                <w:b/>
                <w:bCs w:val="0"/>
                <w:sz w:val="21"/>
                <w:szCs w:val="21"/>
                <w:lang w:val="en-US" w:eastAsia="zh-CN" w:bidi="ar-SA"/>
              </w:rPr>
              <w:t>本次踏勘情况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66" w:type="pct"/>
            <w:vAlign w:val="center"/>
          </w:tcPr>
          <w:p>
            <w:pPr>
              <w:widowControl w:val="0"/>
              <w:autoSpaceDE w:val="0"/>
              <w:autoSpaceDN w:val="0"/>
              <w:adjustRightInd w:val="0"/>
              <w:snapToGrid w:val="0"/>
              <w:spacing w:line="240" w:lineRule="auto"/>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有毒有害物质的储存、使用和处置情况</w:t>
            </w:r>
          </w:p>
        </w:tc>
        <w:tc>
          <w:tcPr>
            <w:tcW w:w="2333" w:type="pct"/>
            <w:vAlign w:val="center"/>
          </w:tcPr>
          <w:p>
            <w:pPr>
              <w:widowControl w:val="0"/>
              <w:autoSpaceDE w:val="0"/>
              <w:autoSpaceDN w:val="0"/>
              <w:adjustRightInd w:val="0"/>
              <w:snapToGrid w:val="0"/>
              <w:spacing w:line="240" w:lineRule="auto"/>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地块内无有毒有害物质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66" w:type="pct"/>
            <w:vAlign w:val="center"/>
          </w:tcPr>
          <w:p>
            <w:pPr>
              <w:widowControl w:val="0"/>
              <w:autoSpaceDE w:val="0"/>
              <w:autoSpaceDN w:val="0"/>
              <w:adjustRightInd w:val="0"/>
              <w:snapToGrid w:val="0"/>
              <w:spacing w:line="240" w:lineRule="auto"/>
              <w:ind w:left="-120" w:leftChars="-50" w:right="-120" w:rightChars="-50"/>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各类槽罐内的物质和泄漏情况</w:t>
            </w:r>
          </w:p>
        </w:tc>
        <w:tc>
          <w:tcPr>
            <w:tcW w:w="2333" w:type="pct"/>
            <w:vAlign w:val="center"/>
          </w:tcPr>
          <w:p>
            <w:pPr>
              <w:widowControl w:val="0"/>
              <w:autoSpaceDE w:val="0"/>
              <w:autoSpaceDN w:val="0"/>
              <w:adjustRightInd w:val="0"/>
              <w:snapToGrid w:val="0"/>
              <w:spacing w:line="240" w:lineRule="auto"/>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地块内无槽罐等设施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66" w:type="pct"/>
            <w:vAlign w:val="center"/>
          </w:tcPr>
          <w:p>
            <w:pPr>
              <w:widowControl w:val="0"/>
              <w:autoSpaceDE w:val="0"/>
              <w:autoSpaceDN w:val="0"/>
              <w:adjustRightInd w:val="0"/>
              <w:snapToGrid w:val="0"/>
              <w:spacing w:line="240" w:lineRule="auto"/>
              <w:ind w:left="-120" w:leftChars="-50" w:right="-120" w:rightChars="-50"/>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固体废物和危险废物的处理情况</w:t>
            </w:r>
          </w:p>
        </w:tc>
        <w:tc>
          <w:tcPr>
            <w:tcW w:w="2333" w:type="pct"/>
            <w:vAlign w:val="center"/>
          </w:tcPr>
          <w:p>
            <w:pPr>
              <w:widowControl w:val="0"/>
              <w:autoSpaceDE w:val="0"/>
              <w:autoSpaceDN w:val="0"/>
              <w:adjustRightInd w:val="0"/>
              <w:snapToGrid w:val="0"/>
              <w:spacing w:line="240" w:lineRule="auto"/>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地块内无固体废物及危险废物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66" w:type="pct"/>
            <w:vAlign w:val="center"/>
          </w:tcPr>
          <w:p>
            <w:pPr>
              <w:widowControl w:val="0"/>
              <w:autoSpaceDE w:val="0"/>
              <w:autoSpaceDN w:val="0"/>
              <w:adjustRightInd w:val="0"/>
              <w:snapToGrid w:val="0"/>
              <w:spacing w:line="240" w:lineRule="auto"/>
              <w:ind w:left="-120" w:leftChars="-50" w:right="-120" w:rightChars="-50"/>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管线、沟渠泄漏情况</w:t>
            </w:r>
          </w:p>
        </w:tc>
        <w:tc>
          <w:tcPr>
            <w:tcW w:w="2333" w:type="pct"/>
            <w:vAlign w:val="center"/>
          </w:tcPr>
          <w:p>
            <w:pPr>
              <w:widowControl w:val="0"/>
              <w:autoSpaceDE w:val="0"/>
              <w:autoSpaceDN w:val="0"/>
              <w:adjustRightInd w:val="0"/>
              <w:snapToGrid w:val="0"/>
              <w:spacing w:line="240" w:lineRule="auto"/>
              <w:jc w:val="center"/>
              <w:rPr>
                <w:rFonts w:ascii="Times New Roman" w:hAnsi="Times New Roman" w:eastAsia="宋体" w:cs="Times New Roman"/>
                <w:bCs/>
                <w:sz w:val="21"/>
                <w:szCs w:val="21"/>
                <w:lang w:val="en-US" w:eastAsia="zh-CN" w:bidi="ar-SA"/>
              </w:rPr>
            </w:pPr>
            <w:r>
              <w:rPr>
                <w:rFonts w:hint="eastAsia" w:ascii="Times New Roman" w:hAnsi="Times New Roman" w:eastAsia="宋体" w:cs="Times New Roman"/>
                <w:bCs/>
                <w:sz w:val="21"/>
                <w:szCs w:val="21"/>
                <w:lang w:val="en-US" w:eastAsia="zh-CN" w:bidi="ar-SA"/>
              </w:rPr>
              <w:t>地块内无管线沟渠等设施</w:t>
            </w:r>
          </w:p>
        </w:tc>
      </w:tr>
      <w:bookmarkEnd w:id="32"/>
    </w:tbl>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3" w:name="_Toc5761"/>
      <w:r>
        <w:rPr>
          <w:rFonts w:hint="eastAsia" w:ascii="Times New Roman" w:hAnsi="Times New Roman" w:eastAsia="宋体" w:cs="Times New Roman"/>
          <w:b/>
          <w:bCs/>
          <w:sz w:val="28"/>
          <w:szCs w:val="32"/>
          <w:lang w:val="en-US" w:eastAsia="zh-CN" w:bidi="ar-SA"/>
        </w:rPr>
        <w:t>人员访谈</w:t>
      </w:r>
      <w:bookmarkEnd w:id="33"/>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根据《建设用地土壤污染状况调查技术导则》（HJ25.1-2019）对第一阶段调查的工作要求，我公司对本地块开展了现场踏勘和人员访谈工作。</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本次人员访谈内容包括资料收集涉及的疑问，信息补充和已有资料的考证。访谈人员包括土地使用者、宜昌市自然资源与规划局高新区分局管理人员以及地块周边区域工作人员或居民等，</w:t>
      </w:r>
      <w:r>
        <w:rPr>
          <w:rFonts w:hint="eastAsia"/>
          <w:sz w:val="24"/>
          <w:szCs w:val="24"/>
        </w:rPr>
        <w:t>访谈人员信息详见下表</w:t>
      </w:r>
      <w:r>
        <w:rPr>
          <w:sz w:val="24"/>
          <w:szCs w:val="24"/>
        </w:rPr>
        <w:t>5.2</w:t>
      </w:r>
      <w:r>
        <w:rPr>
          <w:rFonts w:hint="eastAsia"/>
          <w:sz w:val="24"/>
          <w:szCs w:val="24"/>
        </w:rPr>
        <w:t>-1，</w:t>
      </w:r>
      <w:r>
        <w:rPr>
          <w:rFonts w:hint="eastAsia" w:ascii="Times New Roman" w:hAnsi="Times New Roman" w:eastAsia="宋体" w:cs="Times New Roman"/>
          <w:kern w:val="0"/>
          <w:sz w:val="24"/>
          <w:szCs w:val="24"/>
          <w:lang w:val="en-US" w:eastAsia="zh-CN"/>
        </w:rPr>
        <w:t>人员访谈记录见附件，人员访谈现场照片见图 5.2-1。</w:t>
      </w:r>
    </w:p>
    <w:p>
      <w:pPr>
        <w:pStyle w:val="5"/>
        <w:keepNext/>
        <w:spacing w:before="97" w:after="97" w:afterLines="30"/>
        <w:rPr>
          <w:sz w:val="21"/>
          <w:szCs w:val="21"/>
        </w:rPr>
      </w:pPr>
      <w:bookmarkStart w:id="34" w:name="_Ref68629780"/>
      <w:r>
        <w:rPr>
          <w:rFonts w:hint="eastAsia"/>
          <w:sz w:val="21"/>
          <w:szCs w:val="21"/>
        </w:rPr>
        <w:t>表</w:t>
      </w:r>
      <w:bookmarkEnd w:id="34"/>
      <w:r>
        <w:rPr>
          <w:sz w:val="21"/>
          <w:szCs w:val="21"/>
        </w:rPr>
        <w:t>5.2</w:t>
      </w:r>
      <w:r>
        <w:rPr>
          <w:rFonts w:hint="eastAsia"/>
          <w:sz w:val="21"/>
          <w:szCs w:val="21"/>
        </w:rPr>
        <w:t>-1</w:t>
      </w:r>
      <w:r>
        <w:rPr>
          <w:sz w:val="21"/>
          <w:szCs w:val="21"/>
        </w:rPr>
        <w:t xml:space="preserve">  </w:t>
      </w:r>
      <w:r>
        <w:rPr>
          <w:rFonts w:hint="eastAsia"/>
          <w:sz w:val="21"/>
          <w:szCs w:val="21"/>
        </w:rPr>
        <w:t xml:space="preserve"> </w:t>
      </w:r>
      <w:r>
        <w:rPr>
          <w:rFonts w:hint="eastAsia"/>
          <w:sz w:val="21"/>
          <w:szCs w:val="21"/>
          <w:lang w:val="en-US" w:eastAsia="zh-CN"/>
        </w:rPr>
        <w:t>3</w:t>
      </w:r>
      <w:r>
        <w:rPr>
          <w:sz w:val="21"/>
          <w:szCs w:val="21"/>
        </w:rPr>
        <w:t>号地块</w:t>
      </w:r>
      <w:r>
        <w:rPr>
          <w:rFonts w:hint="eastAsia"/>
          <w:sz w:val="21"/>
          <w:szCs w:val="21"/>
        </w:rPr>
        <w:t>人员访谈信息汇总表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005"/>
        <w:gridCol w:w="3465"/>
        <w:gridCol w:w="1716"/>
        <w:gridCol w:w="1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673" w:type="dxa"/>
            <w:vAlign w:val="center"/>
          </w:tcPr>
          <w:p>
            <w:pPr>
              <w:pStyle w:val="17"/>
              <w:spacing w:line="240" w:lineRule="auto"/>
              <w:ind w:firstLine="0" w:firstLineChars="0"/>
              <w:jc w:val="center"/>
              <w:rPr>
                <w:b/>
                <w:bCs/>
                <w:sz w:val="21"/>
              </w:rPr>
            </w:pPr>
            <w:r>
              <w:rPr>
                <w:rFonts w:hint="eastAsia"/>
                <w:b/>
                <w:bCs/>
                <w:sz w:val="21"/>
              </w:rPr>
              <w:t>序号</w:t>
            </w:r>
          </w:p>
        </w:tc>
        <w:tc>
          <w:tcPr>
            <w:tcW w:w="1005" w:type="dxa"/>
            <w:vAlign w:val="center"/>
          </w:tcPr>
          <w:p>
            <w:pPr>
              <w:pStyle w:val="17"/>
              <w:spacing w:line="240" w:lineRule="auto"/>
              <w:ind w:firstLine="0" w:firstLineChars="0"/>
              <w:jc w:val="center"/>
              <w:rPr>
                <w:b/>
                <w:bCs/>
                <w:sz w:val="21"/>
              </w:rPr>
            </w:pPr>
            <w:r>
              <w:rPr>
                <w:rFonts w:hint="eastAsia"/>
                <w:b/>
                <w:bCs/>
                <w:sz w:val="21"/>
              </w:rPr>
              <w:t>姓名</w:t>
            </w:r>
          </w:p>
        </w:tc>
        <w:tc>
          <w:tcPr>
            <w:tcW w:w="3465" w:type="dxa"/>
            <w:vAlign w:val="center"/>
          </w:tcPr>
          <w:p>
            <w:pPr>
              <w:pStyle w:val="17"/>
              <w:spacing w:line="240" w:lineRule="auto"/>
              <w:ind w:firstLine="0" w:firstLineChars="0"/>
              <w:jc w:val="center"/>
              <w:rPr>
                <w:b/>
                <w:bCs/>
                <w:sz w:val="21"/>
              </w:rPr>
            </w:pPr>
            <w:r>
              <w:rPr>
                <w:rFonts w:hint="eastAsia"/>
                <w:b/>
                <w:bCs/>
                <w:sz w:val="21"/>
              </w:rPr>
              <w:t>单位</w:t>
            </w:r>
          </w:p>
        </w:tc>
        <w:tc>
          <w:tcPr>
            <w:tcW w:w="1716" w:type="dxa"/>
            <w:vAlign w:val="center"/>
          </w:tcPr>
          <w:p>
            <w:pPr>
              <w:pStyle w:val="17"/>
              <w:spacing w:line="240" w:lineRule="auto"/>
              <w:ind w:firstLine="0" w:firstLineChars="0"/>
              <w:jc w:val="center"/>
              <w:rPr>
                <w:b/>
                <w:bCs/>
                <w:sz w:val="21"/>
              </w:rPr>
            </w:pPr>
            <w:r>
              <w:rPr>
                <w:rFonts w:hint="eastAsia"/>
                <w:b/>
                <w:bCs/>
                <w:sz w:val="21"/>
              </w:rPr>
              <w:t>职务/职称</w:t>
            </w:r>
          </w:p>
        </w:tc>
        <w:tc>
          <w:tcPr>
            <w:tcW w:w="1663" w:type="dxa"/>
            <w:vAlign w:val="center"/>
          </w:tcPr>
          <w:p>
            <w:pPr>
              <w:pStyle w:val="17"/>
              <w:spacing w:line="240" w:lineRule="auto"/>
              <w:ind w:firstLine="0" w:firstLineChars="0"/>
              <w:jc w:val="center"/>
              <w:rPr>
                <w:b/>
                <w:bCs/>
                <w:sz w:val="21"/>
              </w:rPr>
            </w:pPr>
            <w:r>
              <w:rPr>
                <w:rFonts w:hint="eastAsia"/>
                <w:b/>
                <w:bCs/>
                <w:sz w:val="21"/>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sz w:val="21"/>
              </w:rPr>
            </w:pPr>
            <w:r>
              <w:rPr>
                <w:rFonts w:hint="eastAsia"/>
                <w:sz w:val="21"/>
              </w:rPr>
              <w:t>1</w:t>
            </w:r>
          </w:p>
        </w:tc>
        <w:tc>
          <w:tcPr>
            <w:tcW w:w="1005"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周燕</w:t>
            </w:r>
          </w:p>
        </w:tc>
        <w:tc>
          <w:tcPr>
            <w:tcW w:w="3465"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原宜昌市土地储备中心</w:t>
            </w:r>
          </w:p>
        </w:tc>
        <w:tc>
          <w:tcPr>
            <w:tcW w:w="1716"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工作人员</w:t>
            </w:r>
          </w:p>
        </w:tc>
        <w:tc>
          <w:tcPr>
            <w:tcW w:w="1663"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18908608928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rFonts w:hint="eastAsia"/>
                <w:sz w:val="21"/>
              </w:rPr>
            </w:pPr>
            <w:r>
              <w:rPr>
                <w:rFonts w:hint="eastAsia"/>
                <w:sz w:val="21"/>
              </w:rPr>
              <w:t>2</w:t>
            </w:r>
          </w:p>
        </w:tc>
        <w:tc>
          <w:tcPr>
            <w:tcW w:w="1005" w:type="dxa"/>
            <w:vAlign w:val="center"/>
          </w:tcPr>
          <w:p>
            <w:pPr>
              <w:pStyle w:val="17"/>
              <w:spacing w:line="240" w:lineRule="auto"/>
              <w:ind w:firstLine="0" w:firstLineChars="0"/>
              <w:jc w:val="center"/>
              <w:rPr>
                <w:rFonts w:hint="default"/>
                <w:sz w:val="21"/>
                <w:lang w:val="en-US" w:eastAsia="zh-CN"/>
              </w:rPr>
            </w:pPr>
            <w:r>
              <w:rPr>
                <w:rFonts w:hint="eastAsia"/>
                <w:sz w:val="21"/>
              </w:rPr>
              <w:t>谢赵亮</w:t>
            </w:r>
          </w:p>
        </w:tc>
        <w:tc>
          <w:tcPr>
            <w:tcW w:w="3465" w:type="dxa"/>
            <w:vAlign w:val="center"/>
          </w:tcPr>
          <w:p>
            <w:pPr>
              <w:pStyle w:val="17"/>
              <w:spacing w:line="240" w:lineRule="auto"/>
              <w:ind w:firstLine="0" w:firstLineChars="0"/>
              <w:jc w:val="center"/>
              <w:rPr>
                <w:rFonts w:hint="eastAsia"/>
                <w:sz w:val="21"/>
                <w:lang w:val="en-US" w:eastAsia="zh-CN"/>
              </w:rPr>
            </w:pPr>
            <w:r>
              <w:rPr>
                <w:rFonts w:hint="eastAsia"/>
                <w:sz w:val="21"/>
              </w:rPr>
              <w:t>宜昌市生态环境局高新区分局</w:t>
            </w:r>
          </w:p>
        </w:tc>
        <w:tc>
          <w:tcPr>
            <w:tcW w:w="1716" w:type="dxa"/>
            <w:vAlign w:val="center"/>
          </w:tcPr>
          <w:p>
            <w:pPr>
              <w:pStyle w:val="17"/>
              <w:spacing w:line="240" w:lineRule="auto"/>
              <w:ind w:firstLine="0" w:firstLineChars="0"/>
              <w:jc w:val="center"/>
              <w:rPr>
                <w:rFonts w:hint="eastAsia"/>
                <w:sz w:val="21"/>
                <w:lang w:val="en-US" w:eastAsia="zh-CN"/>
              </w:rPr>
            </w:pPr>
            <w:r>
              <w:rPr>
                <w:rFonts w:hint="eastAsia"/>
                <w:sz w:val="21"/>
              </w:rPr>
              <w:t>副局长</w:t>
            </w:r>
          </w:p>
        </w:tc>
        <w:tc>
          <w:tcPr>
            <w:tcW w:w="1663" w:type="dxa"/>
            <w:vAlign w:val="center"/>
          </w:tcPr>
          <w:p>
            <w:pPr>
              <w:pStyle w:val="17"/>
              <w:spacing w:line="240" w:lineRule="auto"/>
              <w:ind w:firstLine="0" w:firstLineChars="0"/>
              <w:jc w:val="center"/>
              <w:rPr>
                <w:rFonts w:hint="eastAsia"/>
                <w:sz w:val="21"/>
                <w:lang w:val="en-US" w:eastAsia="zh-CN"/>
              </w:rPr>
            </w:pPr>
            <w:r>
              <w:rPr>
                <w:rFonts w:hint="eastAsia"/>
                <w:sz w:val="21"/>
              </w:rPr>
              <w:t>1</w:t>
            </w:r>
            <w:r>
              <w:rPr>
                <w:sz w:val="21"/>
              </w:rPr>
              <w:t>8607200320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sz w:val="21"/>
              </w:rPr>
            </w:pPr>
            <w:r>
              <w:rPr>
                <w:rFonts w:hint="eastAsia"/>
                <w:sz w:val="21"/>
              </w:rPr>
              <w:t>3</w:t>
            </w:r>
          </w:p>
        </w:tc>
        <w:tc>
          <w:tcPr>
            <w:tcW w:w="1005" w:type="dxa"/>
            <w:vAlign w:val="center"/>
          </w:tcPr>
          <w:p>
            <w:pPr>
              <w:pStyle w:val="17"/>
              <w:spacing w:line="240" w:lineRule="auto"/>
              <w:ind w:firstLine="0" w:firstLineChars="0"/>
              <w:jc w:val="center"/>
              <w:rPr>
                <w:sz w:val="21"/>
              </w:rPr>
            </w:pPr>
            <w:r>
              <w:rPr>
                <w:rFonts w:hint="eastAsia"/>
                <w:sz w:val="21"/>
              </w:rPr>
              <w:t>张强</w:t>
            </w:r>
          </w:p>
        </w:tc>
        <w:tc>
          <w:tcPr>
            <w:tcW w:w="3465" w:type="dxa"/>
            <w:vAlign w:val="center"/>
          </w:tcPr>
          <w:p>
            <w:pPr>
              <w:pStyle w:val="17"/>
              <w:spacing w:line="240" w:lineRule="auto"/>
              <w:ind w:firstLine="0" w:firstLineChars="0"/>
              <w:jc w:val="center"/>
              <w:rPr>
                <w:sz w:val="21"/>
              </w:rPr>
            </w:pPr>
            <w:r>
              <w:rPr>
                <w:rFonts w:hint="eastAsia"/>
                <w:sz w:val="21"/>
              </w:rPr>
              <w:t>宜昌市自然资源和规划局高新分局</w:t>
            </w:r>
          </w:p>
        </w:tc>
        <w:tc>
          <w:tcPr>
            <w:tcW w:w="1716" w:type="dxa"/>
            <w:vAlign w:val="center"/>
          </w:tcPr>
          <w:p>
            <w:pPr>
              <w:pStyle w:val="17"/>
              <w:spacing w:line="240" w:lineRule="auto"/>
              <w:ind w:firstLine="0" w:firstLineChars="0"/>
              <w:jc w:val="center"/>
              <w:rPr>
                <w:sz w:val="21"/>
              </w:rPr>
            </w:pPr>
          </w:p>
        </w:tc>
        <w:tc>
          <w:tcPr>
            <w:tcW w:w="1663" w:type="dxa"/>
            <w:vAlign w:val="center"/>
          </w:tcPr>
          <w:p>
            <w:pPr>
              <w:pStyle w:val="17"/>
              <w:spacing w:line="240" w:lineRule="auto"/>
              <w:ind w:firstLine="0" w:firstLineChars="0"/>
              <w:jc w:val="center"/>
              <w:rPr>
                <w:sz w:val="21"/>
              </w:rPr>
            </w:pPr>
            <w:r>
              <w:rPr>
                <w:rFonts w:hint="eastAsia"/>
                <w:sz w:val="21"/>
              </w:rPr>
              <w:t>1</w:t>
            </w:r>
            <w:r>
              <w:rPr>
                <w:sz w:val="21"/>
              </w:rPr>
              <w:t>8271332112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sz w:val="21"/>
              </w:rPr>
            </w:pPr>
            <w:r>
              <w:rPr>
                <w:rFonts w:hint="eastAsia"/>
                <w:sz w:val="21"/>
              </w:rPr>
              <w:t>4</w:t>
            </w:r>
          </w:p>
        </w:tc>
        <w:tc>
          <w:tcPr>
            <w:tcW w:w="1005"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郑朝辉</w:t>
            </w:r>
          </w:p>
        </w:tc>
        <w:tc>
          <w:tcPr>
            <w:tcW w:w="3465"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中铁十二局集团有限公司宜兴铁路ZQ-1标项目经理部一工区</w:t>
            </w:r>
          </w:p>
        </w:tc>
        <w:tc>
          <w:tcPr>
            <w:tcW w:w="1716"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副经理</w:t>
            </w:r>
          </w:p>
        </w:tc>
        <w:tc>
          <w:tcPr>
            <w:tcW w:w="1663"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15342306999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sz w:val="21"/>
              </w:rPr>
            </w:pPr>
            <w:r>
              <w:rPr>
                <w:rFonts w:hint="eastAsia"/>
                <w:sz w:val="21"/>
              </w:rPr>
              <w:t>5</w:t>
            </w:r>
          </w:p>
        </w:tc>
        <w:tc>
          <w:tcPr>
            <w:tcW w:w="1005"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汪静</w:t>
            </w:r>
          </w:p>
        </w:tc>
        <w:tc>
          <w:tcPr>
            <w:tcW w:w="3465"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梅花村</w:t>
            </w:r>
          </w:p>
        </w:tc>
        <w:tc>
          <w:tcPr>
            <w:tcW w:w="1716"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村两委工作人员</w:t>
            </w:r>
          </w:p>
        </w:tc>
        <w:tc>
          <w:tcPr>
            <w:tcW w:w="1663"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18827254983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sz w:val="21"/>
              </w:rPr>
            </w:pPr>
            <w:r>
              <w:rPr>
                <w:rFonts w:hint="eastAsia"/>
                <w:sz w:val="21"/>
              </w:rPr>
              <w:t>6</w:t>
            </w:r>
          </w:p>
        </w:tc>
        <w:tc>
          <w:tcPr>
            <w:tcW w:w="1005"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贺文文</w:t>
            </w:r>
          </w:p>
        </w:tc>
        <w:tc>
          <w:tcPr>
            <w:tcW w:w="3465" w:type="dxa"/>
            <w:vAlign w:val="center"/>
          </w:tcPr>
          <w:p>
            <w:pPr>
              <w:pStyle w:val="17"/>
              <w:spacing w:line="240" w:lineRule="auto"/>
              <w:ind w:firstLine="0" w:firstLineChars="0"/>
              <w:jc w:val="center"/>
              <w:rPr>
                <w:sz w:val="21"/>
              </w:rPr>
            </w:pPr>
            <w:r>
              <w:rPr>
                <w:rFonts w:hint="eastAsia"/>
                <w:sz w:val="21"/>
                <w:lang w:val="en-US" w:eastAsia="zh-CN"/>
              </w:rPr>
              <w:t>梅花村</w:t>
            </w:r>
          </w:p>
        </w:tc>
        <w:tc>
          <w:tcPr>
            <w:tcW w:w="1716"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村民</w:t>
            </w:r>
          </w:p>
        </w:tc>
        <w:tc>
          <w:tcPr>
            <w:tcW w:w="1663"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17771271282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7</w:t>
            </w:r>
          </w:p>
        </w:tc>
        <w:tc>
          <w:tcPr>
            <w:tcW w:w="1005"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黄大珍</w:t>
            </w:r>
          </w:p>
        </w:tc>
        <w:tc>
          <w:tcPr>
            <w:tcW w:w="3465" w:type="dxa"/>
            <w:vAlign w:val="center"/>
          </w:tcPr>
          <w:p>
            <w:pPr>
              <w:pStyle w:val="17"/>
              <w:spacing w:line="240" w:lineRule="auto"/>
              <w:ind w:firstLine="0" w:firstLineChars="0"/>
              <w:jc w:val="center"/>
              <w:rPr>
                <w:sz w:val="21"/>
              </w:rPr>
            </w:pPr>
            <w:r>
              <w:rPr>
                <w:rFonts w:hint="eastAsia"/>
                <w:sz w:val="21"/>
                <w:lang w:val="en-US" w:eastAsia="zh-CN"/>
              </w:rPr>
              <w:t>梅花村</w:t>
            </w:r>
          </w:p>
        </w:tc>
        <w:tc>
          <w:tcPr>
            <w:tcW w:w="1716" w:type="dxa"/>
            <w:vAlign w:val="center"/>
          </w:tcPr>
          <w:p>
            <w:pPr>
              <w:pStyle w:val="17"/>
              <w:spacing w:line="240" w:lineRule="auto"/>
              <w:ind w:firstLine="0" w:firstLineChars="0"/>
              <w:jc w:val="center"/>
              <w:rPr>
                <w:sz w:val="21"/>
              </w:rPr>
            </w:pPr>
            <w:r>
              <w:rPr>
                <w:rFonts w:hint="eastAsia"/>
                <w:sz w:val="21"/>
                <w:lang w:val="en-US" w:eastAsia="zh-CN"/>
              </w:rPr>
              <w:t>村民</w:t>
            </w:r>
          </w:p>
        </w:tc>
        <w:tc>
          <w:tcPr>
            <w:tcW w:w="1663"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13997695956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vAlign w:val="center"/>
          </w:tcPr>
          <w:p>
            <w:pPr>
              <w:pStyle w:val="17"/>
              <w:spacing w:line="240" w:lineRule="auto"/>
              <w:ind w:firstLine="0" w:firstLineChars="0"/>
              <w:jc w:val="center"/>
              <w:rPr>
                <w:rFonts w:hint="eastAsia" w:eastAsia="宋体"/>
                <w:sz w:val="21"/>
                <w:lang w:val="en-US" w:eastAsia="zh-CN"/>
              </w:rPr>
            </w:pPr>
            <w:r>
              <w:rPr>
                <w:rFonts w:hint="eastAsia"/>
                <w:sz w:val="21"/>
                <w:lang w:val="en-US" w:eastAsia="zh-CN"/>
              </w:rPr>
              <w:t>8</w:t>
            </w:r>
          </w:p>
        </w:tc>
        <w:tc>
          <w:tcPr>
            <w:tcW w:w="1005" w:type="dxa"/>
            <w:vAlign w:val="center"/>
          </w:tcPr>
          <w:p>
            <w:pPr>
              <w:pStyle w:val="17"/>
              <w:spacing w:line="240" w:lineRule="auto"/>
              <w:ind w:firstLine="0" w:firstLineChars="0"/>
              <w:jc w:val="center"/>
              <w:rPr>
                <w:rFonts w:hint="default"/>
                <w:sz w:val="21"/>
                <w:lang w:val="en-US" w:eastAsia="zh-CN"/>
              </w:rPr>
            </w:pPr>
            <w:r>
              <w:rPr>
                <w:rFonts w:hint="eastAsia"/>
                <w:sz w:val="21"/>
                <w:lang w:val="en-US" w:eastAsia="zh-CN"/>
              </w:rPr>
              <w:t>蔡佳宝</w:t>
            </w:r>
          </w:p>
        </w:tc>
        <w:tc>
          <w:tcPr>
            <w:tcW w:w="3465" w:type="dxa"/>
            <w:vAlign w:val="center"/>
          </w:tcPr>
          <w:p>
            <w:pPr>
              <w:pStyle w:val="17"/>
              <w:spacing w:line="240" w:lineRule="auto"/>
              <w:ind w:firstLine="0" w:firstLineChars="0"/>
              <w:jc w:val="center"/>
              <w:rPr>
                <w:sz w:val="21"/>
              </w:rPr>
            </w:pPr>
            <w:r>
              <w:rPr>
                <w:rFonts w:hint="eastAsia"/>
                <w:sz w:val="21"/>
                <w:lang w:val="en-US" w:eastAsia="zh-CN"/>
              </w:rPr>
              <w:t>梅花村</w:t>
            </w:r>
          </w:p>
        </w:tc>
        <w:tc>
          <w:tcPr>
            <w:tcW w:w="1716" w:type="dxa"/>
            <w:vAlign w:val="center"/>
          </w:tcPr>
          <w:p>
            <w:pPr>
              <w:pStyle w:val="17"/>
              <w:spacing w:line="240" w:lineRule="auto"/>
              <w:ind w:firstLine="0" w:firstLineChars="0"/>
              <w:jc w:val="center"/>
              <w:rPr>
                <w:sz w:val="21"/>
              </w:rPr>
            </w:pPr>
            <w:r>
              <w:rPr>
                <w:rFonts w:hint="eastAsia"/>
                <w:sz w:val="21"/>
                <w:lang w:val="en-US" w:eastAsia="zh-CN"/>
              </w:rPr>
              <w:t>村民</w:t>
            </w:r>
          </w:p>
        </w:tc>
        <w:tc>
          <w:tcPr>
            <w:tcW w:w="1663" w:type="dxa"/>
            <w:vAlign w:val="center"/>
          </w:tcPr>
          <w:p>
            <w:pPr>
              <w:pStyle w:val="17"/>
              <w:spacing w:line="240" w:lineRule="auto"/>
              <w:ind w:firstLine="0" w:firstLineChars="0"/>
              <w:jc w:val="center"/>
              <w:rPr>
                <w:rFonts w:hint="default" w:eastAsia="宋体"/>
                <w:sz w:val="21"/>
                <w:lang w:val="en-US" w:eastAsia="zh-CN"/>
              </w:rPr>
            </w:pPr>
            <w:r>
              <w:rPr>
                <w:rFonts w:hint="eastAsia"/>
                <w:sz w:val="21"/>
                <w:lang w:val="en-US" w:eastAsia="zh-CN"/>
              </w:rPr>
              <w:t>18371710705</w:t>
            </w:r>
          </w:p>
        </w:tc>
      </w:tr>
    </w:tbl>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6"/>
        <w:gridCol w:w="4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5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312"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540000" cy="1905000"/>
                  <wp:effectExtent l="0" t="0" r="12700" b="0"/>
                  <wp:docPr id="77" name="图片 77" descr="47eb46b059ac02ad73b4095d47504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47eb46b059ac02ad73b4095d47504cd"/>
                          <pic:cNvPicPr>
                            <a:picLocks noChangeAspect="1"/>
                          </pic:cNvPicPr>
                        </pic:nvPicPr>
                        <pic:blipFill>
                          <a:blip r:embed="rId40"/>
                          <a:stretch>
                            <a:fillRect/>
                          </a:stretch>
                        </pic:blipFill>
                        <pic:spPr>
                          <a:xfrm>
                            <a:off x="0" y="0"/>
                            <a:ext cx="2540000" cy="1905000"/>
                          </a:xfrm>
                          <a:prstGeom prst="rect">
                            <a:avLst/>
                          </a:prstGeom>
                        </pic:spPr>
                      </pic:pic>
                    </a:graphicData>
                  </a:graphic>
                </wp:inline>
              </w:drawing>
            </w:r>
          </w:p>
        </w:tc>
        <w:tc>
          <w:tcPr>
            <w:tcW w:w="4263"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312" w:lineRule="auto"/>
              <w:ind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567305" cy="1926590"/>
                  <wp:effectExtent l="0" t="0" r="4445" b="16510"/>
                  <wp:docPr id="78" name="图片 78" descr="c0ecc643a609c8c95d022f70c0b5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0ecc643a609c8c95d022f70c0b5697"/>
                          <pic:cNvPicPr>
                            <a:picLocks noChangeAspect="1"/>
                          </pic:cNvPicPr>
                        </pic:nvPicPr>
                        <pic:blipFill>
                          <a:blip r:embed="rId41"/>
                          <a:stretch>
                            <a:fillRect/>
                          </a:stretch>
                        </pic:blipFill>
                        <pic:spPr>
                          <a:xfrm>
                            <a:off x="0" y="0"/>
                            <a:ext cx="2567305" cy="19265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5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551430" cy="1913890"/>
                  <wp:effectExtent l="0" t="0" r="1270" b="10160"/>
                  <wp:docPr id="79" name="图片 79" descr="34e84baa93d448aad2cd194e85c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34e84baa93d448aad2cd194e85c3538"/>
                          <pic:cNvPicPr>
                            <a:picLocks noChangeAspect="1"/>
                          </pic:cNvPicPr>
                        </pic:nvPicPr>
                        <pic:blipFill>
                          <a:blip r:embed="rId42"/>
                          <a:stretch>
                            <a:fillRect/>
                          </a:stretch>
                        </pic:blipFill>
                        <pic:spPr>
                          <a:xfrm>
                            <a:off x="0" y="0"/>
                            <a:ext cx="2551430" cy="1913890"/>
                          </a:xfrm>
                          <a:prstGeom prst="rect">
                            <a:avLst/>
                          </a:prstGeom>
                        </pic:spPr>
                      </pic:pic>
                    </a:graphicData>
                  </a:graphic>
                </wp:inline>
              </w:drawing>
            </w:r>
          </w:p>
        </w:tc>
        <w:tc>
          <w:tcPr>
            <w:tcW w:w="4263"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before="97" w:beforeLines="30" w:line="240" w:lineRule="auto"/>
              <w:ind w:left="-120" w:leftChars="-50" w:right="-120" w:rightChars="-50" w:firstLine="0" w:firstLineChars="0"/>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drawing>
                <wp:inline distT="0" distB="0" distL="114300" distR="114300">
                  <wp:extent cx="2567305" cy="1926590"/>
                  <wp:effectExtent l="0" t="0" r="4445" b="16510"/>
                  <wp:docPr id="80" name="图片 80" descr="7b3fd8610da84a18db3a529c52dbd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7b3fd8610da84a18db3a529c52dbde9"/>
                          <pic:cNvPicPr>
                            <a:picLocks noChangeAspect="1"/>
                          </pic:cNvPicPr>
                        </pic:nvPicPr>
                        <pic:blipFill>
                          <a:blip r:embed="rId43"/>
                          <a:stretch>
                            <a:fillRect/>
                          </a:stretch>
                        </pic:blipFill>
                        <pic:spPr>
                          <a:xfrm>
                            <a:off x="0" y="0"/>
                            <a:ext cx="2567305" cy="1926590"/>
                          </a:xfrm>
                          <a:prstGeom prst="rect">
                            <a:avLst/>
                          </a:prstGeom>
                        </pic:spPr>
                      </pic:pic>
                    </a:graphicData>
                  </a:graphic>
                </wp:inline>
              </w:drawing>
            </w:r>
          </w:p>
        </w:tc>
      </w:tr>
    </w:tbl>
    <w:p>
      <w:pPr>
        <w:keepNext/>
        <w:adjustRightInd w:val="0"/>
        <w:snapToGrid w:val="0"/>
        <w:spacing w:before="97" w:beforeLines="30" w:after="163" w:afterLines="50" w:line="240" w:lineRule="auto"/>
        <w:jc w:val="center"/>
        <w:rPr>
          <w:rFonts w:ascii="Times New Roman" w:hAnsi="Times New Roman" w:eastAsia="宋体" w:cs="Times New Roman"/>
          <w:b/>
          <w:lang w:val="en-US" w:eastAsia="zh-CN" w:bidi="ar-SA"/>
        </w:rPr>
      </w:pPr>
      <w:r>
        <w:rPr>
          <w:rFonts w:hint="eastAsia" w:ascii="Times New Roman" w:hAnsi="Times New Roman" w:eastAsia="宋体" w:cs="Times New Roman"/>
          <w:b/>
          <w:lang w:val="en-US" w:eastAsia="zh-CN" w:bidi="ar-SA"/>
        </w:rPr>
        <w:t>图 5.2-</w:t>
      </w:r>
      <w:r>
        <w:rPr>
          <w:rFonts w:ascii="Times New Roman" w:hAnsi="Times New Roman" w:eastAsia="宋体" w:cs="Times New Roman"/>
          <w:b/>
          <w:lang w:val="en-US" w:eastAsia="zh-CN" w:bidi="ar-SA"/>
        </w:rPr>
        <w:fldChar w:fldCharType="begin"/>
      </w:r>
      <w:r>
        <w:rPr>
          <w:rFonts w:ascii="Times New Roman" w:hAnsi="Times New Roman" w:eastAsia="宋体" w:cs="Times New Roman"/>
          <w:b/>
          <w:lang w:val="en-US" w:eastAsia="zh-CN" w:bidi="ar-SA"/>
        </w:rPr>
        <w:instrText xml:space="preserve"> </w:instrText>
      </w:r>
      <w:r>
        <w:rPr>
          <w:rFonts w:hint="eastAsia" w:ascii="Times New Roman" w:hAnsi="Times New Roman" w:eastAsia="宋体" w:cs="Times New Roman"/>
          <w:b/>
          <w:lang w:val="en-US" w:eastAsia="zh-CN" w:bidi="ar-SA"/>
        </w:rPr>
        <w:instrText xml:space="preserve">SEQ 表 \* ARABIC \s 2</w:instrText>
      </w:r>
      <w:r>
        <w:rPr>
          <w:rFonts w:ascii="Times New Roman" w:hAnsi="Times New Roman" w:eastAsia="宋体" w:cs="Times New Roman"/>
          <w:b/>
          <w:lang w:val="en-US" w:eastAsia="zh-CN" w:bidi="ar-SA"/>
        </w:rPr>
        <w:instrText xml:space="preserve"> </w:instrText>
      </w:r>
      <w:r>
        <w:rPr>
          <w:rFonts w:ascii="Times New Roman" w:hAnsi="Times New Roman" w:eastAsia="宋体" w:cs="Times New Roman"/>
          <w:b/>
          <w:lang w:val="en-US" w:eastAsia="zh-CN" w:bidi="ar-SA"/>
        </w:rPr>
        <w:fldChar w:fldCharType="separate"/>
      </w:r>
      <w:r>
        <w:rPr>
          <w:rFonts w:ascii="Times New Roman" w:hAnsi="Times New Roman" w:eastAsia="宋体" w:cs="Times New Roman"/>
          <w:b/>
          <w:lang w:val="en-US" w:eastAsia="zh-CN" w:bidi="ar-SA"/>
        </w:rPr>
        <w:t>1</w:t>
      </w:r>
      <w:r>
        <w:rPr>
          <w:rFonts w:ascii="Times New Roman" w:hAnsi="Times New Roman" w:eastAsia="宋体" w:cs="Times New Roman"/>
          <w:b/>
          <w:lang w:val="en-US" w:eastAsia="zh-CN" w:bidi="ar-SA"/>
        </w:rPr>
        <w:fldChar w:fldCharType="end"/>
      </w:r>
      <w:r>
        <w:rPr>
          <w:rFonts w:ascii="Times New Roman" w:hAnsi="Times New Roman" w:eastAsia="宋体" w:cs="Times New Roman"/>
          <w:b/>
          <w:lang w:val="en-US" w:eastAsia="zh-CN" w:bidi="ar-SA"/>
        </w:rPr>
        <w:t xml:space="preserve">  </w:t>
      </w:r>
      <w:r>
        <w:rPr>
          <w:rFonts w:hint="eastAsia" w:ascii="Times New Roman" w:hAnsi="Times New Roman" w:eastAsia="宋体" w:cs="Times New Roman"/>
          <w:b/>
          <w:lang w:val="en-US" w:eastAsia="zh-CN" w:bidi="ar-SA"/>
        </w:rPr>
        <w:t>人员访谈现场照片</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根据访谈内容可得出以下结论：</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（1）该地块一直以来主要为水田、坑塘水面和农村宅基地。</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地块区域不涉及工矿用途、规模化养殖、有毒有害物质储存与输送；历史上不存在环境污染事故、危险废物堆放、固废堆放与倾倒、固废填埋等情况；历史上不涉及工业废水污染；该地块历史上无检测数据表明土壤存在污染；历史上不存在其他可能造成土壤污染的情况。</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（3）地块南侧紧邻</w:t>
      </w:r>
      <w:r>
        <w:rPr>
          <w:rFonts w:hint="eastAsia" w:cs="Times New Roman"/>
          <w:kern w:val="2"/>
          <w:sz w:val="24"/>
          <w:szCs w:val="24"/>
          <w:lang w:val="en-US" w:eastAsia="zh-CN" w:bidi="ar-SA"/>
        </w:rPr>
        <w:t>宜昌市统领傢俬有限公司，</w:t>
      </w:r>
      <w:r>
        <w:rPr>
          <w:rFonts w:hint="eastAsia" w:ascii="Times New Roman" w:hAnsi="Times New Roman" w:eastAsia="宋体" w:cs="Times New Roman"/>
          <w:kern w:val="2"/>
          <w:sz w:val="24"/>
          <w:szCs w:val="24"/>
          <w:lang w:val="en-US" w:eastAsia="zh-CN" w:bidi="ar-SA"/>
        </w:rPr>
        <w:t>东侧为</w:t>
      </w:r>
      <w:r>
        <w:rPr>
          <w:rFonts w:hint="eastAsia" w:cs="Times New Roman"/>
          <w:kern w:val="2"/>
          <w:sz w:val="24"/>
          <w:szCs w:val="24"/>
          <w:lang w:val="en-US" w:eastAsia="zh-CN" w:bidi="ar-SA"/>
        </w:rPr>
        <w:t>安琪健康食品产业园</w:t>
      </w:r>
      <w:r>
        <w:rPr>
          <w:rFonts w:hint="eastAsia" w:ascii="Times New Roman" w:hAnsi="Times New Roman" w:eastAsia="宋体" w:cs="Times New Roman"/>
          <w:kern w:val="0"/>
          <w:sz w:val="24"/>
          <w:szCs w:val="24"/>
          <w:lang w:val="en-US" w:eastAsia="zh-CN"/>
        </w:rPr>
        <w:t>。地块周边企业不存在环境污染事故、危险废物堆放、固废堆放与倾倒、固废填埋等情况，地块周边不存在土壤、地下水污染迹象。</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（4）未发现地块土壤存在颜色异常和异味等情况。</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（5）地块内未发生过污染泄漏事故，无固体废物和危险废物倾倒历史，无外来堆土回填。</w:t>
      </w:r>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（6）地块未开展过土壤监测。</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5" w:name="_Toc17102"/>
      <w:r>
        <w:rPr>
          <w:rFonts w:hint="eastAsia" w:ascii="Times New Roman" w:hAnsi="Times New Roman" w:eastAsia="宋体" w:cs="Times New Roman"/>
          <w:b/>
          <w:bCs/>
          <w:sz w:val="28"/>
          <w:szCs w:val="32"/>
          <w:lang w:val="en-US" w:eastAsia="zh-CN" w:bidi="ar-SA"/>
        </w:rPr>
        <w:t>有毒有害物质的存储、使用和处置情况分析</w:t>
      </w:r>
      <w:bookmarkEnd w:id="35"/>
    </w:p>
    <w:p>
      <w:pPr>
        <w:widowControl/>
        <w:adjustRightInd w:val="0"/>
        <w:snapToGrid w:val="0"/>
        <w:spacing w:line="360" w:lineRule="auto"/>
        <w:ind w:firstLine="480" w:firstLineChars="200"/>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根据人员访谈和现场踏勘，本地块一直以来主要为水田、坑塘水面和农村宅基地，</w:t>
      </w:r>
      <w:r>
        <w:rPr>
          <w:rFonts w:hint="eastAsia" w:cs="Times New Roman"/>
          <w:kern w:val="2"/>
          <w:sz w:val="24"/>
          <w:szCs w:val="24"/>
          <w:lang w:val="en-US" w:eastAsia="zh-CN" w:bidi="ar-SA"/>
        </w:rPr>
        <w:t>宜昌市统领傢俬有限公司、安琪健康食品产业园</w:t>
      </w:r>
      <w:r>
        <w:rPr>
          <w:rFonts w:hint="eastAsia" w:ascii="Times New Roman" w:hAnsi="Times New Roman" w:eastAsia="宋体" w:cs="Times New Roman"/>
          <w:kern w:val="0"/>
          <w:sz w:val="24"/>
          <w:szCs w:val="24"/>
          <w:lang w:val="en-US" w:eastAsia="zh-CN"/>
        </w:rPr>
        <w:t>未发过环境污染事故，不存在有毒有害物质。</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6" w:name="_Toc1504"/>
      <w:r>
        <w:rPr>
          <w:rFonts w:hint="eastAsia" w:ascii="Times New Roman" w:hAnsi="Times New Roman" w:eastAsia="宋体" w:cs="Times New Roman"/>
          <w:b/>
          <w:bCs/>
          <w:sz w:val="28"/>
          <w:szCs w:val="32"/>
          <w:lang w:val="en-US" w:eastAsia="zh-CN" w:bidi="ar-SA"/>
        </w:rPr>
        <w:t>各类槽罐内的物质和泄漏评价</w:t>
      </w:r>
      <w:bookmarkEnd w:id="36"/>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根据人员访谈和现场踏勘，本地块一直以来主要为水田、坑塘水面和农村宅基地，</w:t>
      </w:r>
      <w:r>
        <w:rPr>
          <w:rFonts w:hint="eastAsia" w:cs="Times New Roman"/>
          <w:kern w:val="2"/>
          <w:sz w:val="24"/>
          <w:szCs w:val="24"/>
          <w:lang w:val="en-US" w:eastAsia="zh-CN" w:bidi="ar-SA"/>
        </w:rPr>
        <w:t>宜昌市统领傢俬有限公司、安琪健康食品产业园</w:t>
      </w:r>
      <w:r>
        <w:rPr>
          <w:rFonts w:hint="eastAsia" w:ascii="Times New Roman" w:hAnsi="Times New Roman" w:eastAsia="宋体" w:cs="Times New Roman"/>
          <w:kern w:val="2"/>
          <w:sz w:val="24"/>
          <w:szCs w:val="24"/>
          <w:lang w:val="en-US" w:eastAsia="zh-CN" w:bidi="ar-SA"/>
        </w:rPr>
        <w:t>未发过环境污染事故，不存在各类槽罐内的物质和泄漏情况。</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7" w:name="_Toc1580"/>
      <w:r>
        <w:rPr>
          <w:rFonts w:hint="eastAsia" w:ascii="Times New Roman" w:hAnsi="Times New Roman" w:eastAsia="宋体" w:cs="Times New Roman"/>
          <w:b/>
          <w:bCs/>
          <w:sz w:val="28"/>
          <w:szCs w:val="32"/>
          <w:lang w:val="en-US" w:eastAsia="zh-CN" w:bidi="ar-SA"/>
        </w:rPr>
        <w:t>固体废物和危险废物的处理评价</w:t>
      </w:r>
      <w:bookmarkEnd w:id="37"/>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根据人员访谈和现场踏勘，本地块一直以来主要为水田、坑塘水面和农村宅基地，</w:t>
      </w:r>
      <w:r>
        <w:rPr>
          <w:rFonts w:hint="eastAsia" w:cs="Times New Roman"/>
          <w:kern w:val="2"/>
          <w:sz w:val="24"/>
          <w:szCs w:val="24"/>
          <w:lang w:val="en-US" w:eastAsia="zh-CN" w:bidi="ar-SA"/>
        </w:rPr>
        <w:t>宜昌市统领傢俬有限公司、安琪健康食品产业园</w:t>
      </w:r>
      <w:r>
        <w:rPr>
          <w:rFonts w:hint="eastAsia" w:ascii="Times New Roman" w:hAnsi="Times New Roman" w:eastAsia="宋体" w:cs="Times New Roman"/>
          <w:kern w:val="2"/>
          <w:sz w:val="24"/>
          <w:szCs w:val="24"/>
          <w:lang w:val="en-US" w:eastAsia="zh-CN" w:bidi="ar-SA"/>
        </w:rPr>
        <w:t>未发过环境污染事故，不存在固体废物和危险废物。</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8" w:name="_Toc1134"/>
      <w:r>
        <w:rPr>
          <w:rFonts w:hint="eastAsia" w:ascii="Times New Roman" w:hAnsi="Times New Roman" w:eastAsia="宋体" w:cs="Times New Roman"/>
          <w:b/>
          <w:bCs/>
          <w:sz w:val="28"/>
          <w:szCs w:val="32"/>
          <w:lang w:val="en-US" w:eastAsia="zh-CN" w:bidi="ar-SA"/>
        </w:rPr>
        <w:t>管线、沟渠泄漏评价</w:t>
      </w:r>
      <w:bookmarkEnd w:id="38"/>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根据人员访谈和现场踏勘，本地块一直以来主要为水田、坑塘水面和农村宅基地，</w:t>
      </w:r>
      <w:r>
        <w:rPr>
          <w:rFonts w:hint="eastAsia" w:cs="Times New Roman"/>
          <w:kern w:val="2"/>
          <w:sz w:val="24"/>
          <w:szCs w:val="24"/>
          <w:lang w:val="en-US" w:eastAsia="zh-CN" w:bidi="ar-SA"/>
        </w:rPr>
        <w:t>宜昌市统领傢俬有限公司、安琪健康食品产业园</w:t>
      </w:r>
      <w:r>
        <w:rPr>
          <w:rFonts w:hint="eastAsia" w:ascii="Times New Roman" w:hAnsi="Times New Roman" w:eastAsia="宋体" w:cs="Times New Roman"/>
          <w:kern w:val="2"/>
          <w:sz w:val="24"/>
          <w:szCs w:val="24"/>
          <w:lang w:val="en-US" w:eastAsia="zh-CN" w:bidi="ar-SA"/>
        </w:rPr>
        <w:t>未发过环境污染事故，不存在</w:t>
      </w:r>
      <w:r>
        <w:rPr>
          <w:rFonts w:hint="eastAsia" w:cs="Times New Roman"/>
          <w:kern w:val="2"/>
          <w:sz w:val="24"/>
          <w:szCs w:val="24"/>
          <w:lang w:val="en-US" w:eastAsia="zh-CN" w:bidi="ar-SA"/>
        </w:rPr>
        <w:t>管线、沟渠泄露</w:t>
      </w:r>
      <w:r>
        <w:rPr>
          <w:rFonts w:hint="eastAsia" w:ascii="Times New Roman" w:hAnsi="Times New Roman" w:eastAsia="宋体" w:cs="Times New Roman"/>
          <w:kern w:val="2"/>
          <w:sz w:val="24"/>
          <w:szCs w:val="24"/>
          <w:lang w:val="en-US" w:eastAsia="zh-CN" w:bidi="ar-SA"/>
        </w:rPr>
        <w:t>。</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39" w:name="_Toc14629"/>
      <w:r>
        <w:rPr>
          <w:rFonts w:hint="eastAsia" w:ascii="Times New Roman" w:hAnsi="Times New Roman" w:eastAsia="宋体" w:cs="Times New Roman"/>
          <w:b/>
          <w:bCs/>
          <w:sz w:val="28"/>
          <w:szCs w:val="32"/>
          <w:lang w:val="en-US" w:eastAsia="zh-CN" w:bidi="ar-SA"/>
        </w:rPr>
        <w:t>与污染物迁移相关的环境因素分析</w:t>
      </w:r>
      <w:bookmarkEnd w:id="39"/>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根据人员访谈和现场踏勘并结合地块所处区域的水文地质情况分析，地块周边企业产生的污染物都能达标排放和妥善处置，且地块周边企业未发过环境污染事故，不存在与污染物迁移相关的环境因素。</w:t>
      </w:r>
    </w:p>
    <w:p>
      <w:pPr>
        <w:keepNext/>
        <w:keepLines/>
        <w:pageBreakBefore/>
        <w:numPr>
          <w:ilvl w:val="0"/>
          <w:numId w:val="1"/>
        </w:numPr>
        <w:adjustRightInd w:val="0"/>
        <w:snapToGrid w:val="0"/>
        <w:spacing w:before="156" w:beforeLines="50" w:after="156" w:afterLines="5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40" w:name="_Toc17850"/>
      <w:r>
        <w:rPr>
          <w:rFonts w:hint="eastAsia" w:ascii="Times New Roman" w:hAnsi="Times New Roman" w:eastAsia="宋体" w:cs="Times New Roman"/>
          <w:b/>
          <w:bCs/>
          <w:kern w:val="44"/>
          <w:sz w:val="30"/>
          <w:szCs w:val="44"/>
          <w:lang w:val="en-US" w:eastAsia="zh-CN" w:bidi="ar-SA"/>
        </w:rPr>
        <w:t>结果和分析</w:t>
      </w:r>
      <w:bookmarkEnd w:id="40"/>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41" w:name="_Toc13373"/>
      <w:r>
        <w:rPr>
          <w:rFonts w:hint="eastAsia" w:ascii="Times New Roman" w:hAnsi="Times New Roman" w:eastAsia="宋体" w:cs="Times New Roman"/>
          <w:b/>
          <w:bCs/>
          <w:sz w:val="28"/>
          <w:szCs w:val="32"/>
          <w:lang w:val="en-US" w:eastAsia="zh-CN" w:bidi="ar-SA"/>
        </w:rPr>
        <w:t>调查结果</w:t>
      </w:r>
      <w:bookmarkEnd w:id="41"/>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高新区生物产业园</w:t>
      </w:r>
      <w:r>
        <w:rPr>
          <w:rFonts w:hint="eastAsia" w:ascii="Times New Roman" w:hAnsi="Times New Roman" w:eastAsia="宋体" w:cs="Times New Roman"/>
          <w:kern w:val="2"/>
          <w:sz w:val="24"/>
          <w:szCs w:val="24"/>
          <w:lang w:val="en-US" w:eastAsia="zh-CN" w:bidi="ar-SA"/>
        </w:rPr>
        <w:t>峡州大道与合益路交会处东侧地块（3号地块）中心经纬坐标为东经</w:t>
      </w:r>
      <w:r>
        <w:rPr>
          <w:rFonts w:hint="default" w:ascii="Times New Roman" w:hAnsi="Times New Roman" w:eastAsia="宋体" w:cs="Times New Roman"/>
          <w:kern w:val="2"/>
          <w:sz w:val="24"/>
          <w:szCs w:val="24"/>
          <w:lang w:val="en-US" w:eastAsia="zh-CN" w:bidi="ar-SA"/>
        </w:rPr>
        <w:t>111.3751</w:t>
      </w:r>
      <w:r>
        <w:rPr>
          <w:rFonts w:hint="eastAsia"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北纬30.68551</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总</w:t>
      </w:r>
      <w:r>
        <w:rPr>
          <w:rFonts w:hint="eastAsia" w:ascii="Times New Roman" w:hAnsi="Times New Roman" w:eastAsia="宋体" w:cs="Times New Roman"/>
          <w:kern w:val="2"/>
          <w:sz w:val="24"/>
          <w:szCs w:val="24"/>
          <w:lang w:val="en-US" w:eastAsia="zh-CN" w:bidi="ar-SA"/>
        </w:rPr>
        <w:t>面积为</w:t>
      </w:r>
      <w:r>
        <w:rPr>
          <w:rFonts w:hint="eastAsia" w:cs="Times New Roman"/>
          <w:kern w:val="2"/>
          <w:sz w:val="24"/>
          <w:szCs w:val="24"/>
          <w:lang w:val="en-US" w:eastAsia="zh-CN" w:bidi="ar-SA"/>
        </w:rPr>
        <w:t>77494.71m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（A区30617.74m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、B区46876.97m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本地块</w:t>
      </w:r>
      <w:r>
        <w:rPr>
          <w:rFonts w:hint="eastAsia" w:ascii="Times New Roman" w:hAnsi="Times New Roman" w:eastAsia="宋体" w:cs="Times New Roman"/>
          <w:kern w:val="2"/>
          <w:sz w:val="24"/>
          <w:szCs w:val="24"/>
          <w:lang w:val="en-US" w:eastAsia="zh-CN" w:bidi="ar-SA"/>
        </w:rPr>
        <w:t>北侧为山体，山体以北为</w:t>
      </w:r>
      <w:r>
        <w:rPr>
          <w:rFonts w:hint="eastAsia" w:cs="Times New Roman"/>
          <w:kern w:val="2"/>
          <w:sz w:val="24"/>
          <w:szCs w:val="24"/>
          <w:lang w:val="en-US" w:eastAsia="zh-CN" w:bidi="ar-SA"/>
        </w:rPr>
        <w:t>合益路</w:t>
      </w:r>
      <w:r>
        <w:rPr>
          <w:rFonts w:hint="eastAsia" w:ascii="Times New Roman" w:hAnsi="Times New Roman" w:eastAsia="宋体" w:cs="Times New Roman"/>
          <w:kern w:val="2"/>
          <w:sz w:val="24"/>
          <w:szCs w:val="24"/>
          <w:lang w:val="en-US" w:eastAsia="zh-CN" w:bidi="ar-SA"/>
        </w:rPr>
        <w:t>；东侧为</w:t>
      </w:r>
      <w:r>
        <w:rPr>
          <w:rFonts w:hint="eastAsia" w:cs="Times New Roman"/>
          <w:kern w:val="2"/>
          <w:sz w:val="24"/>
          <w:szCs w:val="24"/>
          <w:lang w:val="en-US" w:eastAsia="zh-CN" w:bidi="ar-SA"/>
        </w:rPr>
        <w:t>安琪健康食品产业园</w:t>
      </w:r>
      <w:r>
        <w:rPr>
          <w:rFonts w:hint="eastAsia" w:ascii="Times New Roman" w:hAnsi="Times New Roman" w:eastAsia="宋体" w:cs="Times New Roman"/>
          <w:kern w:val="2"/>
          <w:sz w:val="24"/>
          <w:szCs w:val="24"/>
          <w:lang w:val="en-US" w:eastAsia="zh-CN" w:bidi="ar-SA"/>
        </w:rPr>
        <w:t>；南侧紧临</w:t>
      </w:r>
      <w:r>
        <w:rPr>
          <w:rFonts w:hint="eastAsia" w:cs="Times New Roman"/>
          <w:kern w:val="2"/>
          <w:sz w:val="24"/>
          <w:szCs w:val="24"/>
          <w:lang w:val="en-US" w:eastAsia="zh-CN" w:bidi="ar-SA"/>
        </w:rPr>
        <w:t>宜昌市统领傢俬有限公司</w:t>
      </w:r>
      <w:r>
        <w:rPr>
          <w:rFonts w:hint="eastAsia" w:ascii="Times New Roman" w:hAnsi="Times New Roman" w:eastAsia="宋体" w:cs="Times New Roman"/>
          <w:kern w:val="2"/>
          <w:sz w:val="24"/>
          <w:szCs w:val="24"/>
          <w:lang w:val="en-US" w:eastAsia="zh-CN" w:bidi="ar-SA"/>
        </w:rPr>
        <w:t>；西侧为</w:t>
      </w:r>
      <w:r>
        <w:rPr>
          <w:rFonts w:hint="eastAsia" w:cs="Times New Roman"/>
          <w:kern w:val="2"/>
          <w:sz w:val="24"/>
          <w:szCs w:val="24"/>
          <w:lang w:val="en-US" w:eastAsia="zh-CN" w:bidi="ar-SA"/>
        </w:rPr>
        <w:t>山体，山体西侧为峡州大道</w:t>
      </w:r>
      <w:r>
        <w:rPr>
          <w:rFonts w:hint="eastAsia" w:ascii="Times New Roman" w:hAnsi="Times New Roman" w:eastAsia="宋体" w:cs="Times New Roman"/>
          <w:kern w:val="2"/>
          <w:sz w:val="24"/>
          <w:szCs w:val="24"/>
          <w:lang w:val="en-US" w:eastAsia="zh-CN" w:bidi="ar-SA"/>
        </w:rPr>
        <w:t>。</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我公司组织相关人员对调查地块及周边区域进行了现场踏勘、人员访谈及地块相关资料收集。该地块一直以来主要为水田、坑塘水面和农村宅基地，规划用地性质为</w:t>
      </w:r>
      <w:r>
        <w:rPr>
          <w:rFonts w:hint="eastAsia" w:cs="Times New Roman"/>
          <w:kern w:val="2"/>
          <w:sz w:val="24"/>
          <w:szCs w:val="24"/>
          <w:lang w:val="en-US" w:eastAsia="zh-CN" w:bidi="ar-SA"/>
        </w:rPr>
        <w:t>二类城镇住宅</w:t>
      </w:r>
      <w:r>
        <w:rPr>
          <w:rFonts w:hint="eastAsia" w:ascii="Times New Roman" w:hAnsi="Times New Roman" w:eastAsia="宋体" w:cs="Times New Roman"/>
          <w:kern w:val="2"/>
          <w:sz w:val="24"/>
          <w:szCs w:val="24"/>
          <w:lang w:val="en-US" w:eastAsia="zh-CN" w:bidi="ar-SA"/>
        </w:rPr>
        <w:t>用地。现场踏勘过程中未闻到异常或刺激性气味，本地块和相邻地块未发现可能造成土壤和地下水污染的异常迹象，未发现罐、槽以及废物临时堆放污染痕迹。地块区域内历史上不涉及工矿用途、规模化养殖、有毒有害物质储存与输送；历史上不存在环境污染事故、危险废物堆放、固废堆放与倾倒、固废填埋等情况；历史上不涉及工业废水污染，地块内及周边地块未发生过污染泄漏事故，无外来堆土回填。</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42" w:name="_Toc11935"/>
      <w:r>
        <w:rPr>
          <w:rFonts w:hint="eastAsia" w:ascii="Times New Roman" w:hAnsi="Times New Roman" w:eastAsia="宋体" w:cs="Times New Roman"/>
          <w:b/>
          <w:bCs/>
          <w:sz w:val="28"/>
          <w:szCs w:val="32"/>
          <w:lang w:val="en-US" w:eastAsia="zh-CN" w:bidi="ar-SA"/>
        </w:rPr>
        <w:t>结果分析</w:t>
      </w:r>
      <w:bookmarkEnd w:id="42"/>
    </w:p>
    <w:p>
      <w:pPr>
        <w:widowControl w:val="0"/>
        <w:adjustRightInd w:val="0"/>
        <w:snapToGrid w:val="0"/>
        <w:spacing w:line="360" w:lineRule="auto"/>
        <w:ind w:firstLine="480" w:firstLineChars="200"/>
        <w:jc w:val="both"/>
        <w:rPr>
          <w:rFonts w:hint="eastAsia"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该地块一直以来主要为水田、坑塘水面和农村宅基地，地块内</w:t>
      </w:r>
      <w:r>
        <w:rPr>
          <w:rFonts w:hint="eastAsia" w:cs="Times New Roman"/>
          <w:kern w:val="2"/>
          <w:sz w:val="24"/>
          <w:szCs w:val="24"/>
          <w:lang w:val="en-US" w:eastAsia="zh-CN" w:bidi="ar-SA"/>
        </w:rPr>
        <w:t>历史上</w:t>
      </w:r>
      <w:r>
        <w:rPr>
          <w:rFonts w:hint="eastAsia" w:ascii="Times New Roman" w:hAnsi="Times New Roman" w:eastAsia="宋体" w:cs="Times New Roman"/>
          <w:kern w:val="2"/>
          <w:sz w:val="24"/>
          <w:szCs w:val="24"/>
          <w:lang w:val="en-US" w:eastAsia="zh-CN" w:bidi="ar-SA"/>
        </w:rPr>
        <w:t>不涉及工矿用途、规模化养殖、有毒有害物质储存与输送；历史上不存在环境污染事故、危险废物堆放、固废堆放与倾倒、固废填埋等情况；历史上不涉及工业废水污染；该地块历史上无检测数据表明存在污染；</w:t>
      </w:r>
      <w:r>
        <w:rPr>
          <w:rFonts w:hint="eastAsia"/>
          <w:sz w:val="24"/>
          <w:szCs w:val="24"/>
        </w:rPr>
        <w:t>历史上不曾长时间使用较难降解的农药；</w:t>
      </w:r>
      <w:r>
        <w:rPr>
          <w:rFonts w:hint="eastAsia" w:ascii="Times New Roman" w:hAnsi="Times New Roman" w:eastAsia="宋体" w:cs="Times New Roman"/>
          <w:kern w:val="2"/>
          <w:sz w:val="24"/>
          <w:szCs w:val="24"/>
          <w:lang w:val="en-US" w:eastAsia="zh-CN" w:bidi="ar-SA"/>
        </w:rPr>
        <w:t>历史上不存在其他可能造成土壤污染的情况；地块紧邻周边无污染型工业企业；现场调查不存在土壤、地下水污染迹象</w:t>
      </w:r>
      <w:r>
        <w:rPr>
          <w:rFonts w:hint="eastAsia" w:cs="Times New Roman"/>
          <w:kern w:val="2"/>
          <w:sz w:val="24"/>
          <w:szCs w:val="24"/>
          <w:lang w:val="en-US" w:eastAsia="zh-CN" w:bidi="ar-SA"/>
        </w:rPr>
        <w:t>。</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sz w:val="24"/>
          <w:szCs w:val="24"/>
        </w:rPr>
        <w:t>综上，地块相关资料较齐全，判断依据充分，本次土壤污染状况调查认为高新区东山园区港窑路与青岛路交会处东侧地块（8号地块）及相邻地块当前及历史上均未发现潜在污染源，本地块的土壤环境状况可以满足二类城镇住宅用地建设要求。因此，本地块可在第一阶段土壤污染状况调查结束，不需要进行第二阶段土壤污染状况调查。</w:t>
      </w:r>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43" w:name="_Toc9634"/>
      <w:r>
        <w:rPr>
          <w:rFonts w:hint="eastAsia" w:ascii="Times New Roman" w:hAnsi="Times New Roman" w:eastAsia="宋体" w:cs="Times New Roman"/>
          <w:b/>
          <w:bCs/>
          <w:sz w:val="28"/>
          <w:szCs w:val="32"/>
          <w:lang w:val="en-US" w:eastAsia="zh-CN" w:bidi="ar-SA"/>
        </w:rPr>
        <w:t>不确定性分析</w:t>
      </w:r>
      <w:bookmarkEnd w:id="43"/>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报告是基于实际调查，以科学理论为依据，结合专业判断来进行逻辑推论与结果分析。通过对目前所掌握的调查资料的判别和分析，并结合项目成本、地块条件等多因素的综合考虑来完成的专业判断。因此，报告中所做的分析以及调查结论会受到调查资料完整性、技术手段、工作时间和项目成本等多因素影响。</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本次第一阶段调查工作的开展存在以下不确定性，现总结如下：</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（1））本报告的结论或推论均是调查人员根据有限的资料和数据，通过人员访谈、资料分析和逻辑推理得出。因此，其准确性和适用性与客观情况可能会有偏差。</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本报告所记录的内容和调查发现仅能体现本次土壤污染状况调查期间地块的现场情况及周边环境的状况，需要强调的是本报告并不能体现本次土壤污染状况调查结束后该地块上发生的行为所导致任何现场状况及土壤环境状况的改变。</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综上所述，由于人为及自然等因素的影响，本报告是仅针对现阶段的实际情况进行的分析。如果之后场地状况有改变，可能会改变污染物的种类、浓度和分布等，进而对本报告的准确性和有效性造成影响。本报告的文件和内容仅限本项目的委托方使用，任何其他用户因使用本报告中的调查结论或建议而产生的风险由用户自行负责。</w:t>
      </w:r>
    </w:p>
    <w:p>
      <w:pPr>
        <w:keepNext/>
        <w:keepLines/>
        <w:pageBreakBefore/>
        <w:numPr>
          <w:ilvl w:val="0"/>
          <w:numId w:val="1"/>
        </w:numPr>
        <w:adjustRightInd w:val="0"/>
        <w:snapToGrid w:val="0"/>
        <w:spacing w:before="156" w:beforeLines="50" w:after="156" w:afterLines="50" w:line="360" w:lineRule="auto"/>
        <w:ind w:left="431" w:hanging="431"/>
        <w:jc w:val="center"/>
        <w:outlineLvl w:val="0"/>
        <w:rPr>
          <w:rFonts w:ascii="Times New Roman" w:hAnsi="Times New Roman" w:eastAsia="宋体" w:cs="Times New Roman"/>
          <w:b/>
          <w:bCs/>
          <w:kern w:val="44"/>
          <w:sz w:val="30"/>
          <w:szCs w:val="44"/>
          <w:lang w:val="en-US" w:eastAsia="zh-CN" w:bidi="ar-SA"/>
        </w:rPr>
      </w:pPr>
      <w:bookmarkStart w:id="44" w:name="_Toc9810"/>
      <w:r>
        <w:rPr>
          <w:rFonts w:hint="eastAsia" w:ascii="Times New Roman" w:hAnsi="Times New Roman" w:eastAsia="宋体" w:cs="Times New Roman"/>
          <w:b/>
          <w:bCs/>
          <w:kern w:val="44"/>
          <w:sz w:val="30"/>
          <w:szCs w:val="44"/>
          <w:lang w:val="en-US" w:eastAsia="zh-CN" w:bidi="ar-SA"/>
        </w:rPr>
        <w:t>结论和建议</w:t>
      </w:r>
      <w:bookmarkEnd w:id="44"/>
    </w:p>
    <w:p>
      <w:pPr>
        <w:keepNext/>
        <w:keepLines/>
        <w:numPr>
          <w:ilvl w:val="1"/>
          <w:numId w:val="1"/>
        </w:numPr>
        <w:adjustRightInd w:val="0"/>
        <w:snapToGrid w:val="0"/>
        <w:spacing w:line="360" w:lineRule="auto"/>
        <w:jc w:val="both"/>
        <w:outlineLvl w:val="1"/>
        <w:rPr>
          <w:rFonts w:ascii="Times New Roman" w:hAnsi="Times New Roman" w:eastAsia="宋体" w:cs="Times New Roman"/>
          <w:b/>
          <w:bCs/>
          <w:sz w:val="28"/>
          <w:szCs w:val="32"/>
          <w:lang w:val="en-US" w:eastAsia="zh-CN" w:bidi="ar-SA"/>
        </w:rPr>
      </w:pPr>
      <w:bookmarkStart w:id="45" w:name="_Toc27277"/>
      <w:r>
        <w:rPr>
          <w:rFonts w:hint="eastAsia" w:ascii="Times New Roman" w:hAnsi="Times New Roman" w:eastAsia="宋体" w:cs="Times New Roman"/>
          <w:b/>
          <w:bCs/>
          <w:sz w:val="28"/>
          <w:szCs w:val="32"/>
          <w:lang w:val="en-US" w:eastAsia="zh-CN" w:bidi="ar-SA"/>
        </w:rPr>
        <w:t>结论</w:t>
      </w:r>
      <w:bookmarkEnd w:id="45"/>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高新区生物产业园</w:t>
      </w:r>
      <w:r>
        <w:rPr>
          <w:rFonts w:hint="eastAsia" w:ascii="Times New Roman" w:hAnsi="Times New Roman" w:eastAsia="宋体" w:cs="Times New Roman"/>
          <w:kern w:val="2"/>
          <w:sz w:val="24"/>
          <w:szCs w:val="24"/>
          <w:lang w:val="en-US" w:eastAsia="zh-CN" w:bidi="ar-SA"/>
        </w:rPr>
        <w:t>峡州大道与合益路交会处东侧地块（3号地块）中心经纬坐标为东经</w:t>
      </w:r>
      <w:r>
        <w:rPr>
          <w:rFonts w:hint="default" w:ascii="Times New Roman" w:hAnsi="Times New Roman" w:eastAsia="宋体" w:cs="Times New Roman"/>
          <w:kern w:val="2"/>
          <w:sz w:val="24"/>
          <w:szCs w:val="24"/>
          <w:lang w:val="en-US" w:eastAsia="zh-CN" w:bidi="ar-SA"/>
        </w:rPr>
        <w:t>111.3751</w:t>
      </w:r>
      <w:r>
        <w:rPr>
          <w:rFonts w:hint="eastAsia"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北纬30.68551</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w:t>
      </w:r>
      <w:r>
        <w:rPr>
          <w:rFonts w:hint="eastAsia" w:cs="Times New Roman"/>
          <w:kern w:val="2"/>
          <w:sz w:val="24"/>
          <w:szCs w:val="24"/>
          <w:lang w:val="en-US" w:eastAsia="zh-CN" w:bidi="ar-SA"/>
        </w:rPr>
        <w:t>总</w:t>
      </w:r>
      <w:r>
        <w:rPr>
          <w:rFonts w:hint="eastAsia" w:ascii="Times New Roman" w:hAnsi="Times New Roman" w:eastAsia="宋体" w:cs="Times New Roman"/>
          <w:kern w:val="2"/>
          <w:sz w:val="24"/>
          <w:szCs w:val="24"/>
          <w:lang w:val="en-US" w:eastAsia="zh-CN" w:bidi="ar-SA"/>
        </w:rPr>
        <w:t>面积为</w:t>
      </w:r>
      <w:r>
        <w:rPr>
          <w:rFonts w:hint="eastAsia" w:cs="Times New Roman"/>
          <w:kern w:val="2"/>
          <w:sz w:val="24"/>
          <w:szCs w:val="24"/>
          <w:lang w:val="en-US" w:eastAsia="zh-CN" w:bidi="ar-SA"/>
        </w:rPr>
        <w:t>77494.71m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（A区30617.74m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、B区46876.97m</w:t>
      </w:r>
      <w:r>
        <w:rPr>
          <w:rFonts w:hint="eastAsia" w:cs="Times New Roman"/>
          <w:kern w:val="2"/>
          <w:sz w:val="24"/>
          <w:szCs w:val="24"/>
          <w:vertAlign w:val="superscript"/>
          <w:lang w:val="en-US" w:eastAsia="zh-CN" w:bidi="ar-SA"/>
        </w:rPr>
        <w:t>2</w:t>
      </w:r>
      <w:r>
        <w:rPr>
          <w:rFonts w:hint="eastAsia" w:cs="Times New Roman"/>
          <w:kern w:val="2"/>
          <w:sz w:val="24"/>
          <w:szCs w:val="24"/>
          <w:lang w:val="en-US" w:eastAsia="zh-CN" w:bidi="ar-SA"/>
        </w:rPr>
        <w:t>），</w:t>
      </w:r>
      <w:r>
        <w:rPr>
          <w:rFonts w:hint="eastAsia" w:cs="Times New Roman"/>
          <w:sz w:val="24"/>
          <w:szCs w:val="24"/>
          <w:lang w:val="en-US" w:eastAsia="zh-CN"/>
        </w:rPr>
        <w:t>本地块调整后为</w:t>
      </w:r>
      <w:r>
        <w:rPr>
          <w:rFonts w:hint="eastAsia"/>
          <w:color w:val="auto"/>
          <w:sz w:val="24"/>
          <w:szCs w:val="24"/>
          <w:lang w:val="en-US" w:eastAsia="zh-CN"/>
        </w:rPr>
        <w:t>二类城镇住宅用地</w:t>
      </w:r>
      <w:r>
        <w:rPr>
          <w:rFonts w:hint="eastAsia" w:ascii="Times New Roman" w:hAnsi="Times New Roman" w:eastAsia="宋体" w:cs="Times New Roman"/>
          <w:kern w:val="2"/>
          <w:sz w:val="24"/>
          <w:szCs w:val="24"/>
          <w:lang w:val="en-US" w:eastAsia="zh-CN" w:bidi="ar-SA"/>
        </w:rPr>
        <w:t>。</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本次调查属于土壤污染状况调查第一阶段，根据现场踏勘、人员访谈和资料收集分析，结合现在和历史卫星影像图可知，项目本地块当前和历史上未进行过工业生产性活动。具体分析过程如下：</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（1）资料分析：通过对收集资料的分析，调查地块内当前和历史上均无工业生产活动，不存在可能的污染源，未发生过重大、特大污染事故。</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现场踏勘：现场踏勘时，本地块目前为临时停车场。地块内未发现《国家危险废物名录》（2021年版）中的危险废物，未发现有毒有害物质的储存、使用和处置设施。本地块现场无其他固废、危废以及其他造成土壤污染的污染源，也无可能造成土壤和地下水污染的异常迹象。</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人员访谈：通过人员访谈，地块区域原始地貌为丘陵，历史上不存在其他工业企业，历史上未发生过环境污染事故，本地块内土壤、地下水未曾受到过污染，本地块内未发生过化学品泄漏事故，未发生过其他环境污染事故，也无废气、工业废水排放且不存在任何正规或非正规的工业固体废物堆放场。</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（4）地块周边污染源：周边主要为</w:t>
      </w:r>
      <w:r>
        <w:rPr>
          <w:rFonts w:hint="eastAsia" w:cs="Times New Roman"/>
          <w:kern w:val="2"/>
          <w:sz w:val="24"/>
          <w:szCs w:val="24"/>
          <w:lang w:val="en-US" w:eastAsia="zh-CN" w:bidi="ar-SA"/>
        </w:rPr>
        <w:t>村庄</w:t>
      </w:r>
      <w:r>
        <w:rPr>
          <w:rFonts w:hint="eastAsia" w:ascii="Times New Roman" w:hAnsi="Times New Roman" w:eastAsia="宋体" w:cs="Times New Roman"/>
          <w:kern w:val="2"/>
          <w:sz w:val="24"/>
          <w:szCs w:val="24"/>
          <w:lang w:val="en-US" w:eastAsia="zh-CN" w:bidi="ar-SA"/>
        </w:rPr>
        <w:t>，周边生产工业企业对本地块无污染影响。因此，周边地块对本地块影响较小。</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通过资料收集、现场踏勘及人员访谈，确认本地块内当前和历史上不存在潜在的污染源，相邻区域地块当前及历史对本地块影响较小，地块土壤环境状况可接受，符合用地规划要求，第一阶段调查可结束，不需要进行第二阶段调查。</w:t>
      </w:r>
    </w:p>
    <w:p>
      <w:pPr>
        <w:widowControl w:val="0"/>
        <w:adjustRightInd w:val="0"/>
        <w:snapToGrid w:val="0"/>
        <w:spacing w:line="360" w:lineRule="auto"/>
        <w:ind w:firstLine="480" w:firstLineChars="200"/>
        <w:jc w:val="both"/>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由于人为及自然等因素的影响，本报告是仅针对现阶段的实际情况进行的分析。经过不确定性分析，本地块当前和历史上不存在潜在的污染源，相邻区域地块当前及历史对本地块影响较小，地块土壤环境状况可接受，符合用地规划要求，第一阶段调查可结束，不需要进行第二阶段调查。</w:t>
      </w:r>
    </w:p>
    <w:p>
      <w:pPr>
        <w:widowControl w:val="0"/>
        <w:adjustRightInd w:val="0"/>
        <w:snapToGrid w:val="0"/>
        <w:spacing w:line="360" w:lineRule="auto"/>
        <w:ind w:firstLine="480" w:firstLineChars="200"/>
        <w:jc w:val="both"/>
        <w:rPr>
          <w:rFonts w:ascii="Times New Roman" w:hAnsi="Times New Roman" w:eastAsia="宋体" w:cs="Times New Roman"/>
          <w:kern w:val="2"/>
          <w:sz w:val="24"/>
          <w:szCs w:val="24"/>
          <w:lang w:val="en-US" w:eastAsia="zh-CN" w:bidi="ar-SA"/>
        </w:rPr>
      </w:pPr>
      <w:r>
        <w:rPr>
          <w:rFonts w:hint="eastAsia" w:cs="Times New Roman"/>
          <w:color w:val="auto"/>
          <w:sz w:val="24"/>
          <w:szCs w:val="24"/>
        </w:rPr>
        <w:t>本次土壤污染状况调查认为</w:t>
      </w:r>
      <w:r>
        <w:rPr>
          <w:rFonts w:hint="eastAsia" w:cs="Times New Roman"/>
          <w:kern w:val="2"/>
          <w:sz w:val="24"/>
          <w:szCs w:val="24"/>
          <w:lang w:val="en-US" w:eastAsia="zh-CN" w:bidi="ar-SA"/>
        </w:rPr>
        <w:t>高新区生物产业园</w:t>
      </w:r>
      <w:r>
        <w:rPr>
          <w:rFonts w:hint="eastAsia" w:ascii="Times New Roman" w:hAnsi="Times New Roman" w:eastAsia="宋体" w:cs="Times New Roman"/>
          <w:kern w:val="2"/>
          <w:sz w:val="24"/>
          <w:szCs w:val="24"/>
          <w:lang w:val="en-US" w:eastAsia="zh-CN" w:bidi="ar-SA"/>
        </w:rPr>
        <w:t>峡州大道与合益路交会处东侧地块（3号地块）</w:t>
      </w:r>
      <w:r>
        <w:rPr>
          <w:rFonts w:hint="eastAsia" w:cs="Times New Roman"/>
          <w:kern w:val="2"/>
          <w:sz w:val="24"/>
          <w:szCs w:val="24"/>
          <w:lang w:val="en-US" w:eastAsia="zh-CN" w:bidi="ar-SA"/>
        </w:rPr>
        <w:t>区域的</w:t>
      </w:r>
      <w:r>
        <w:rPr>
          <w:rFonts w:hint="eastAsia" w:cs="Times New Roman"/>
          <w:color w:val="auto"/>
          <w:sz w:val="24"/>
          <w:szCs w:val="24"/>
        </w:rPr>
        <w:t>土壤环境状况可以满足项目建设要求，本地块可在第一阶段土壤污染状况调查结束，不需要进行第二阶段土壤污染状况调查。</w:t>
      </w:r>
    </w:p>
    <w:p>
      <w:pPr>
        <w:keepNext/>
        <w:keepLines/>
        <w:numPr>
          <w:ilvl w:val="1"/>
          <w:numId w:val="1"/>
        </w:numPr>
        <w:adjustRightInd w:val="0"/>
        <w:snapToGrid w:val="0"/>
        <w:spacing w:before="156" w:beforeLines="50" w:line="360" w:lineRule="auto"/>
        <w:jc w:val="both"/>
        <w:outlineLvl w:val="1"/>
        <w:rPr>
          <w:rFonts w:ascii="Times New Roman" w:hAnsi="Times New Roman" w:eastAsia="宋体" w:cs="Times New Roman"/>
          <w:b/>
          <w:bCs/>
          <w:sz w:val="28"/>
          <w:szCs w:val="32"/>
          <w:lang w:val="en-US" w:eastAsia="zh-CN" w:bidi="ar-SA"/>
        </w:rPr>
      </w:pPr>
      <w:bookmarkStart w:id="46" w:name="_Toc9387"/>
      <w:r>
        <w:rPr>
          <w:rFonts w:hint="eastAsia" w:ascii="Times New Roman" w:hAnsi="Times New Roman" w:eastAsia="宋体" w:cs="Times New Roman"/>
          <w:b/>
          <w:bCs/>
          <w:sz w:val="28"/>
          <w:szCs w:val="32"/>
          <w:lang w:val="en-US" w:eastAsia="zh-CN" w:bidi="ar-SA"/>
        </w:rPr>
        <w:t>建议</w:t>
      </w:r>
      <w:bookmarkEnd w:id="46"/>
    </w:p>
    <w:bookmarkEnd w:id="2"/>
    <w:p>
      <w:pPr>
        <w:widowControl w:val="0"/>
        <w:adjustRightInd w:val="0"/>
        <w:snapToGrid w:val="0"/>
        <w:spacing w:line="360" w:lineRule="auto"/>
        <w:ind w:firstLine="480" w:firstLineChars="200"/>
        <w:jc w:val="both"/>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建议在地块利用期间，相关单位针对地块采取封闭管理，并在下一步开发或建筑施工期间应保护地块不被外界人为环境污染，控制该地块保持现有良好状态，杜绝外来固废倾倒，废水偷排等现象。</w:t>
      </w:r>
    </w:p>
    <w:p>
      <w:pPr>
        <w:widowControl w:val="0"/>
        <w:adjustRightInd w:val="0"/>
        <w:snapToGrid w:val="0"/>
        <w:spacing w:line="360" w:lineRule="auto"/>
        <w:ind w:firstLine="480" w:firstLineChars="200"/>
        <w:jc w:val="both"/>
        <w:rPr>
          <w:rFonts w:hint="default"/>
          <w:lang w:val="en-US" w:eastAsia="zh-CN"/>
        </w:rPr>
      </w:pPr>
      <w:r>
        <w:rPr>
          <w:rFonts w:hint="eastAsia"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由于本次调查属于初步调查，调查结果存在一定的不确定性，基于施工安全考虑，建议在未来开发利用时应做好相应的环境应急预案，如遇突发环境问题，应当立即停工做好应急处置，并及时汇报给当地环境保护主管部门。</w:t>
      </w:r>
      <w:bookmarkStart w:id="47" w:name="_GoBack"/>
      <w:bookmarkEnd w:id="47"/>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简体">
    <w:altName w:val="楷体_GB2312"/>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adjustRightInd w:val="0"/>
      <w:snapToGrid w:val="0"/>
      <w:spacing w:line="360" w:lineRule="auto"/>
      <w:jc w:val="center"/>
      <w:rPr>
        <w:rFonts w:ascii="Times New Roman" w:hAnsi="Times New Roman" w:eastAsia="宋体" w:cs="Times New Roman"/>
        <w:sz w:val="21"/>
        <w:szCs w:val="21"/>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adjustRightInd w:val="0"/>
      <w:snapToGrid w:val="0"/>
      <w:spacing w:line="360" w:lineRule="auto"/>
      <w:jc w:val="center"/>
      <w:rPr>
        <w:rFonts w:ascii="Times New Roman" w:hAnsi="Times New Roman" w:eastAsia="宋体" w:cs="Times New Roman"/>
        <w:sz w:val="21"/>
        <w:szCs w:val="21"/>
        <w:lang w:val="en-US" w:eastAsia="zh-CN" w:bidi="ar-SA"/>
      </w:rPr>
    </w:pPr>
    <w:r>
      <w:rPr>
        <w:rFonts w:ascii="Times New Roman" w:hAnsi="Times New Roman" w:eastAsia="宋体" w:cs="Times New Roman"/>
        <w:sz w:val="21"/>
        <w:szCs w:val="21"/>
        <w:lang w:val="en-US" w:eastAsia="zh-CN" w:bidi="ar-SA"/>
      </w:rPr>
      <w:fldChar w:fldCharType="begin"/>
    </w:r>
    <w:r>
      <w:rPr>
        <w:rFonts w:ascii="Times New Roman" w:hAnsi="Times New Roman" w:eastAsia="宋体" w:cs="Times New Roman"/>
        <w:sz w:val="21"/>
        <w:szCs w:val="21"/>
        <w:lang w:val="en-US" w:eastAsia="zh-CN" w:bidi="ar-SA"/>
      </w:rPr>
      <w:instrText xml:space="preserve">PAGE    \* MERGEFORMAT</w:instrText>
    </w:r>
    <w:r>
      <w:rPr>
        <w:rFonts w:ascii="Times New Roman" w:hAnsi="Times New Roman" w:eastAsia="宋体" w:cs="Times New Roman"/>
        <w:sz w:val="21"/>
        <w:szCs w:val="21"/>
        <w:lang w:val="en-US" w:eastAsia="zh-CN" w:bidi="ar-SA"/>
      </w:rPr>
      <w:fldChar w:fldCharType="separate"/>
    </w:r>
    <w:r>
      <w:rPr>
        <w:rFonts w:ascii="Times New Roman" w:hAnsi="Times New Roman" w:eastAsia="宋体" w:cs="Times New Roman"/>
        <w:sz w:val="21"/>
        <w:lang w:val="zh-CN" w:eastAsia="zh-CN" w:bidi="ar-SA"/>
      </w:rPr>
      <w:t>III</w:t>
    </w:r>
    <w:r>
      <w:rPr>
        <w:rFonts w:ascii="Times New Roman" w:hAnsi="Times New Roman" w:eastAsia="宋体" w:cs="Times New Roman"/>
        <w:sz w:val="21"/>
        <w:szCs w:val="21"/>
        <w:lang w:val="en-US" w:eastAsia="zh-CN" w:bidi="ar-S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adjustRightInd w:val="0"/>
      <w:snapToGrid w:val="0"/>
      <w:spacing w:line="360" w:lineRule="auto"/>
      <w:jc w:val="center"/>
      <w:rPr>
        <w:rFonts w:ascii="Times New Roman" w:hAnsi="Times New Roman" w:eastAsia="宋体" w:cs="Times New Roman"/>
        <w:sz w:val="21"/>
        <w:szCs w:val="21"/>
        <w:lang w:val="en-US" w:eastAsia="zh-CN" w:bidi="ar-SA"/>
      </w:rPr>
    </w:pPr>
    <w:r>
      <w:rPr>
        <w:rFonts w:ascii="Times New Roman" w:hAnsi="Times New Roman" w:eastAsia="宋体" w:cs="Times New Roman"/>
        <w:sz w:val="21"/>
        <w:szCs w:val="21"/>
        <w:lang w:val="en-US" w:eastAsia="zh-CN" w:bidi="ar-SA"/>
      </w:rPr>
      <w:fldChar w:fldCharType="begin"/>
    </w:r>
    <w:r>
      <w:rPr>
        <w:rFonts w:ascii="Times New Roman" w:hAnsi="Times New Roman" w:eastAsia="宋体" w:cs="Times New Roman"/>
        <w:sz w:val="21"/>
        <w:szCs w:val="21"/>
        <w:lang w:val="en-US" w:eastAsia="zh-CN" w:bidi="ar-SA"/>
      </w:rPr>
      <w:instrText xml:space="preserve">PAGE    \* MERGEFORMAT</w:instrText>
    </w:r>
    <w:r>
      <w:rPr>
        <w:rFonts w:ascii="Times New Roman" w:hAnsi="Times New Roman" w:eastAsia="宋体" w:cs="Times New Roman"/>
        <w:sz w:val="21"/>
        <w:szCs w:val="21"/>
        <w:lang w:val="en-US" w:eastAsia="zh-CN" w:bidi="ar-SA"/>
      </w:rPr>
      <w:fldChar w:fldCharType="separate"/>
    </w:r>
    <w:r>
      <w:rPr>
        <w:rFonts w:ascii="Times New Roman" w:hAnsi="Times New Roman" w:eastAsia="宋体" w:cs="Times New Roman"/>
        <w:sz w:val="21"/>
        <w:lang w:val="zh-CN" w:eastAsia="zh-CN" w:bidi="ar-SA"/>
      </w:rPr>
      <w:t>39</w:t>
    </w:r>
    <w:r>
      <w:rPr>
        <w:rFonts w:ascii="Times New Roman" w:hAnsi="Times New Roman" w:eastAsia="宋体" w:cs="Times New Roman"/>
        <w:sz w:val="21"/>
        <w:szCs w:val="21"/>
        <w:lang w:val="en-US" w:eastAsia="zh-CN" w:bidi="ar-SA"/>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adjustRightInd w:val="0"/>
      <w:snapToGrid w:val="0"/>
      <w:spacing w:line="360" w:lineRule="auto"/>
      <w:rPr>
        <w:rFonts w:cs="Times New Roman"/>
        <w:kern w:val="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757EAB"/>
    <w:multiLevelType w:val="multilevel"/>
    <w:tmpl w:val="02757EAB"/>
    <w:lvl w:ilvl="0" w:tentative="0">
      <w:start w:val="1"/>
      <w:numFmt w:val="decimal"/>
      <w:suff w:val="nothing"/>
      <w:lvlText w:val="（%1）"/>
      <w:lvlJc w:val="left"/>
      <w:pPr>
        <w:ind w:left="0" w:firstLine="480"/>
      </w:pPr>
      <w:rPr>
        <w:rFonts w:hint="default" w:ascii="Times New Roman" w:hAnsi="Times New Roman" w:eastAsia="方正楷体简体" w:cs="Times New Roman"/>
        <w:spacing w:val="0"/>
        <w:w w:val="100"/>
        <w:position w:val="0"/>
        <w:vertAlign w:val="baseline"/>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32A06773"/>
    <w:multiLevelType w:val="multilevel"/>
    <w:tmpl w:val="32A06773"/>
    <w:lvl w:ilvl="0" w:tentative="0">
      <w:start w:val="1"/>
      <w:numFmt w:val="decimal"/>
      <w:suff w:val="nothing"/>
      <w:lvlText w:val="（%1）"/>
      <w:lvlJc w:val="left"/>
      <w:pPr>
        <w:ind w:left="0" w:firstLine="480"/>
      </w:pPr>
      <w:rPr>
        <w:rFonts w:hint="default" w:ascii="Times New Roman" w:hAnsi="Times New Roman" w:eastAsia="方正楷体简体"/>
        <w:spacing w:val="0"/>
        <w:w w:val="100"/>
        <w:position w:val="0"/>
        <w:vertAlign w:val="baseline"/>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3D0494F"/>
    <w:multiLevelType w:val="multilevel"/>
    <w:tmpl w:val="43D0494F"/>
    <w:lvl w:ilvl="0" w:tentative="0">
      <w:start w:val="1"/>
      <w:numFmt w:val="decimal"/>
      <w:suff w:val="nothing"/>
      <w:lvlText w:val="（%1）"/>
      <w:lvlJc w:val="left"/>
      <w:pPr>
        <w:ind w:left="0" w:firstLine="480"/>
      </w:pPr>
      <w:rPr>
        <w:rFonts w:hint="default" w:ascii="Times New Roman" w:hAnsi="Times New Roman" w:eastAsia="方正楷体简体"/>
        <w:spacing w:val="0"/>
        <w:w w:val="100"/>
        <w:position w:val="0"/>
        <w:vertAlign w:val="baseli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70B64B84"/>
    <w:multiLevelType w:val="multilevel"/>
    <w:tmpl w:val="70B64B84"/>
    <w:lvl w:ilvl="0" w:tentative="0">
      <w:start w:val="1"/>
      <w:numFmt w:val="decimal"/>
      <w:pStyle w:val="2"/>
      <w:suff w:val="space"/>
      <w:lvlText w:val="%1"/>
      <w:lvlJc w:val="left"/>
      <w:pPr>
        <w:ind w:left="432" w:hanging="432"/>
      </w:pPr>
      <w:rPr>
        <w:rFonts w:hint="eastAsia"/>
      </w:rPr>
    </w:lvl>
    <w:lvl w:ilvl="1" w:tentative="0">
      <w:start w:val="1"/>
      <w:numFmt w:val="decimal"/>
      <w:pStyle w:val="3"/>
      <w:suff w:val="space"/>
      <w:lvlText w:val="%1.%2"/>
      <w:lvlJc w:val="left"/>
      <w:pPr>
        <w:ind w:left="0" w:firstLine="0"/>
      </w:pPr>
      <w:rPr>
        <w:rFonts w:hint="eastAsia"/>
      </w:rPr>
    </w:lvl>
    <w:lvl w:ilvl="2" w:tentative="0">
      <w:start w:val="1"/>
      <w:numFmt w:val="decimal"/>
      <w:pStyle w:val="4"/>
      <w:suff w:val="space"/>
      <w:lvlText w:val="%1.%2.%3"/>
      <w:lvlJc w:val="left"/>
      <w:pPr>
        <w:ind w:left="142" w:firstLine="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7CE11971"/>
    <w:multiLevelType w:val="multilevel"/>
    <w:tmpl w:val="7CE11971"/>
    <w:lvl w:ilvl="0" w:tentative="0">
      <w:start w:val="1"/>
      <w:numFmt w:val="decimal"/>
      <w:suff w:val="nothing"/>
      <w:lvlText w:val="（%1）"/>
      <w:lvlJc w:val="left"/>
      <w:pPr>
        <w:ind w:left="0" w:firstLine="480"/>
      </w:pPr>
      <w:rPr>
        <w:rFonts w:hint="default" w:ascii="Times New Roman" w:hAnsi="Times New Roman" w:eastAsia="方正楷体简体"/>
        <w:spacing w:val="0"/>
        <w:w w:val="100"/>
        <w:position w:val="0"/>
        <w:vertAlign w:val="baseli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jMmJlZjUxNzBhOGFkZWIxMGQ2ZmIwZTBmZDFhMmUifQ=="/>
  </w:docVars>
  <w:rsids>
    <w:rsidRoot w:val="21E61652"/>
    <w:rsid w:val="14370DC9"/>
    <w:rsid w:val="21E61652"/>
    <w:rsid w:val="25F93002"/>
    <w:rsid w:val="269C423F"/>
    <w:rsid w:val="2CD958B3"/>
    <w:rsid w:val="2E646AFB"/>
    <w:rsid w:val="311952EE"/>
    <w:rsid w:val="33B87C26"/>
    <w:rsid w:val="34CD1C2C"/>
    <w:rsid w:val="40890A0B"/>
    <w:rsid w:val="40FC57D7"/>
    <w:rsid w:val="4A6E493F"/>
    <w:rsid w:val="4EB76B63"/>
    <w:rsid w:val="54FC4764"/>
    <w:rsid w:val="5994451B"/>
    <w:rsid w:val="619E0E36"/>
    <w:rsid w:val="712A2AA1"/>
    <w:rsid w:val="72EE7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4"/>
      <w:lang w:val="en-US" w:eastAsia="zh-CN" w:bidi="ar-SA"/>
    </w:rPr>
  </w:style>
  <w:style w:type="paragraph" w:styleId="2">
    <w:name w:val="heading 1"/>
    <w:basedOn w:val="1"/>
    <w:next w:val="3"/>
    <w:qFormat/>
    <w:uiPriority w:val="0"/>
    <w:pPr>
      <w:keepNext/>
      <w:keepLines/>
      <w:pageBreakBefore/>
      <w:numPr>
        <w:ilvl w:val="0"/>
        <w:numId w:val="1"/>
      </w:numPr>
      <w:spacing w:before="50" w:beforeLines="50" w:after="50" w:afterLines="50"/>
      <w:ind w:left="431" w:hanging="431"/>
      <w:jc w:val="center"/>
      <w:outlineLvl w:val="0"/>
    </w:pPr>
    <w:rPr>
      <w:b/>
      <w:bCs/>
      <w:kern w:val="44"/>
      <w:sz w:val="30"/>
      <w:szCs w:val="44"/>
    </w:rPr>
  </w:style>
  <w:style w:type="paragraph" w:styleId="3">
    <w:name w:val="heading 2"/>
    <w:basedOn w:val="1"/>
    <w:next w:val="1"/>
    <w:unhideWhenUsed/>
    <w:qFormat/>
    <w:uiPriority w:val="9"/>
    <w:pPr>
      <w:keepNext/>
      <w:keepLines/>
      <w:numPr>
        <w:ilvl w:val="1"/>
        <w:numId w:val="1"/>
      </w:numPr>
      <w:outlineLvl w:val="1"/>
    </w:pPr>
    <w:rPr>
      <w:rFonts w:eastAsiaTheme="majorEastAsia" w:cstheme="majorBidi"/>
      <w:b/>
      <w:bCs/>
      <w:sz w:val="28"/>
      <w:szCs w:val="32"/>
    </w:rPr>
  </w:style>
  <w:style w:type="paragraph" w:styleId="4">
    <w:name w:val="heading 3"/>
    <w:basedOn w:val="1"/>
    <w:next w:val="1"/>
    <w:unhideWhenUsed/>
    <w:qFormat/>
    <w:uiPriority w:val="0"/>
    <w:pPr>
      <w:keepNext/>
      <w:keepLines/>
      <w:numPr>
        <w:ilvl w:val="2"/>
        <w:numId w:val="1"/>
      </w:numPr>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caption"/>
    <w:basedOn w:val="1"/>
    <w:next w:val="1"/>
    <w:unhideWhenUsed/>
    <w:qFormat/>
    <w:uiPriority w:val="35"/>
    <w:pPr>
      <w:spacing w:before="30" w:beforeLines="30" w:after="50" w:afterLines="50" w:line="240" w:lineRule="auto"/>
      <w:jc w:val="center"/>
    </w:pPr>
    <w:rPr>
      <w:rFonts w:cstheme="majorBidi"/>
      <w:b/>
    </w:rPr>
  </w:style>
  <w:style w:type="paragraph" w:styleId="6">
    <w:name w:val="Body Text Indent 2"/>
    <w:basedOn w:val="1"/>
    <w:qFormat/>
    <w:uiPriority w:val="0"/>
    <w:pPr>
      <w:spacing w:after="120" w:afterLines="0" w:afterAutospacing="0" w:line="480" w:lineRule="auto"/>
      <w:ind w:left="420" w:leftChars="200"/>
    </w:pPr>
  </w:style>
  <w:style w:type="paragraph" w:styleId="7">
    <w:name w:val="footer"/>
    <w:basedOn w:val="1"/>
    <w:unhideWhenUsed/>
    <w:qFormat/>
    <w:uiPriority w:val="99"/>
    <w:pPr>
      <w:tabs>
        <w:tab w:val="center" w:pos="4153"/>
        <w:tab w:val="right" w:pos="8306"/>
      </w:tabs>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nhideWhenUsed/>
    <w:qFormat/>
    <w:uiPriority w:val="39"/>
    <w:pPr>
      <w:spacing w:line="360" w:lineRule="auto"/>
    </w:pPr>
    <w:rPr>
      <w:b/>
    </w:rPr>
  </w:style>
  <w:style w:type="paragraph" w:styleId="10">
    <w:name w:val="toc 2"/>
    <w:basedOn w:val="1"/>
    <w:next w:val="1"/>
    <w:unhideWhenUsed/>
    <w:qFormat/>
    <w:uiPriority w:val="39"/>
    <w:pPr>
      <w:spacing w:line="360" w:lineRule="auto"/>
      <w:ind w:left="420" w:leftChars="200"/>
    </w:p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paragraph" w:customStyle="1" w:styleId="15">
    <w:name w:val="景深段落"/>
    <w:qFormat/>
    <w:uiPriority w:val="0"/>
    <w:pPr>
      <w:adjustRightInd w:val="0"/>
      <w:snapToGrid w:val="0"/>
      <w:spacing w:line="440" w:lineRule="exact"/>
      <w:ind w:firstLine="200" w:firstLineChars="200"/>
      <w:jc w:val="both"/>
    </w:pPr>
    <w:rPr>
      <w:rFonts w:ascii="Times New Roman" w:hAnsi="Times New Roman" w:eastAsia="宋体" w:cs="Times New Roman"/>
      <w:color w:val="7030A0"/>
      <w:sz w:val="24"/>
      <w:lang w:val="en-US" w:eastAsia="zh-CN" w:bidi="ar-SA"/>
    </w:rPr>
  </w:style>
  <w:style w:type="paragraph" w:customStyle="1" w:styleId="16">
    <w:name w:val="表格5号"/>
    <w:qFormat/>
    <w:uiPriority w:val="0"/>
    <w:pPr>
      <w:adjustRightInd w:val="0"/>
      <w:snapToGrid w:val="0"/>
      <w:jc w:val="center"/>
      <w:textAlignment w:val="center"/>
    </w:pPr>
    <w:rPr>
      <w:rFonts w:ascii="Times New Roman" w:hAnsi="Times New Roman" w:eastAsia="宋体" w:cs="Times New Roman"/>
      <w:snapToGrid w:val="0"/>
      <w:color w:val="FF0000"/>
      <w:kern w:val="40"/>
      <w:sz w:val="21"/>
      <w:szCs w:val="18"/>
      <w:lang w:val="en-US" w:eastAsia="zh-CN" w:bidi="ar-SA"/>
    </w:rPr>
  </w:style>
  <w:style w:type="paragraph" w:customStyle="1" w:styleId="17">
    <w:name w:val="景深正文"/>
    <w:basedOn w:val="1"/>
    <w:qFormat/>
    <w:uiPriority w:val="0"/>
    <w:pPr>
      <w:widowControl w:val="0"/>
      <w:ind w:firstLine="200" w:firstLineChars="200"/>
    </w:pPr>
    <w:rPr>
      <w:rFonts w:cstheme="minorBidi"/>
      <w:kern w:val="2"/>
      <w:szCs w:val="21"/>
    </w:rPr>
  </w:style>
  <w:style w:type="paragraph" w:customStyle="1" w:styleId="18">
    <w:name w:val="表格文字样式"/>
    <w:basedOn w:val="1"/>
    <w:qFormat/>
    <w:uiPriority w:val="0"/>
    <w:pPr>
      <w:widowControl w:val="0"/>
      <w:spacing w:line="240" w:lineRule="auto"/>
    </w:pPr>
    <w:rPr>
      <w:kern w:val="2"/>
      <w:sz w:val="21"/>
      <w:szCs w:val="28"/>
    </w:rPr>
  </w:style>
  <w:style w:type="paragraph" w:customStyle="1" w:styleId="19">
    <w:name w:val="表中表5号"/>
    <w:basedOn w:val="1"/>
    <w:next w:val="1"/>
    <w:qFormat/>
    <w:uiPriority w:val="0"/>
    <w:pPr>
      <w:widowControl w:val="0"/>
      <w:autoSpaceDE w:val="0"/>
      <w:autoSpaceDN w:val="0"/>
      <w:spacing w:line="240" w:lineRule="auto"/>
      <w:jc w:val="center"/>
    </w:pPr>
    <w:rPr>
      <w:bCs/>
      <w:sz w:val="18"/>
      <w:szCs w:val="21"/>
    </w:rPr>
  </w:style>
  <w:style w:type="paragraph" w:styleId="20">
    <w:name w:val="List Paragraph"/>
    <w:basedOn w:val="1"/>
    <w:qFormat/>
    <w:uiPriority w:val="99"/>
    <w:pPr>
      <w:ind w:firstLine="420" w:firstLineChars="200"/>
    </w:pPr>
  </w:style>
  <w:style w:type="paragraph" w:customStyle="1" w:styleId="21">
    <w:name w:val="Table Paragraph"/>
    <w:basedOn w:val="1"/>
    <w:qFormat/>
    <w:uiPriority w:val="1"/>
    <w:pPr>
      <w:widowControl w:val="0"/>
      <w:adjustRightInd/>
      <w:snapToGrid/>
      <w:spacing w:line="240" w:lineRule="auto"/>
      <w:jc w:val="left"/>
    </w:pPr>
    <w:rPr>
      <w:rFonts w:asciiTheme="minorHAnsi" w:hAnsiTheme="minorHAnsi" w:eastAsiaTheme="minorEastAsia" w:cstheme="minorBidi"/>
      <w:sz w:val="22"/>
      <w:lang w:eastAsia="en-US"/>
    </w:rPr>
  </w:style>
  <w:style w:type="table" w:customStyle="1" w:styleId="22">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3">
    <w:name w:val="表头"/>
    <w:basedOn w:val="1"/>
    <w:qFormat/>
    <w:uiPriority w:val="0"/>
    <w:pPr>
      <w:widowControl w:val="0"/>
      <w:adjustRightInd/>
      <w:snapToGrid/>
    </w:pPr>
    <w:rPr>
      <w:rFonts w:eastAsia="方正楷体简体"/>
      <w:b/>
      <w:kern w:val="2"/>
      <w:szCs w:val="24"/>
    </w:rPr>
  </w:style>
  <w:style w:type="paragraph" w:customStyle="1" w:styleId="24">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5">
    <w:name w:val="Body text|1"/>
    <w:basedOn w:val="1"/>
    <w:qFormat/>
    <w:uiPriority w:val="0"/>
    <w:pPr>
      <w:widowControl w:val="0"/>
      <w:shd w:val="clear" w:color="auto" w:fill="auto"/>
      <w:ind w:firstLine="350"/>
    </w:pPr>
    <w:rPr>
      <w:rFonts w:ascii="宋体" w:hAnsi="宋体" w:eastAsia="宋体" w:cs="宋体"/>
      <w:sz w:val="22"/>
      <w:szCs w:val="22"/>
      <w:u w:val="none"/>
      <w:shd w:val="clear" w:color="auto" w:fill="auto"/>
      <w:lang w:val="zh-TW" w:eastAsia="zh-TW" w:bidi="zh-TW"/>
    </w:rPr>
  </w:style>
  <w:style w:type="paragraph" w:customStyle="1" w:styleId="26">
    <w:name w:val="报告书正文"/>
    <w:basedOn w:val="6"/>
    <w:qFormat/>
    <w:uiPriority w:val="0"/>
    <w:pPr>
      <w:tabs>
        <w:tab w:val="left" w:pos="6300"/>
      </w:tabs>
      <w:adjustRightInd w:val="0"/>
      <w:snapToGrid w:val="0"/>
      <w:spacing w:after="0" w:afterLines="0" w:line="480" w:lineRule="exact"/>
      <w:ind w:left="0" w:leftChars="0" w:firstLine="480" w:firstLineChars="200"/>
    </w:pPr>
    <w:rPr>
      <w:rFonts w:ascii="宋体" w:hAnsi="宋体" w:cs="Arial"/>
      <w:bCs/>
      <w:snapToGrid w:val="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footer" Target="foot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er" Target="foot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19074</Words>
  <Characters>21142</Characters>
  <Lines>0</Lines>
  <Paragraphs>0</Paragraphs>
  <TotalTime>48</TotalTime>
  <ScaleCrop>false</ScaleCrop>
  <LinksUpToDate>false</LinksUpToDate>
  <CharactersWithSpaces>21337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2023-04-11T07:01:00Z</dcterms:created>
  <dc:creator>Lily</dc:creator>
  <cp:lastModifiedBy>Lily</cp:lastModifiedBy>
  <dcterms:modified xsi:type="dcterms:W3CDTF">2023-05-08T04:51:11Z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9570B28A3B774C0AB10F3682E4043B57_11</vt:lpwstr>
  </property>
</Properties>
</file>