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ind w:left="2688" w:right="0" w:firstLine="0"/>
        <w:jc w:val="left"/>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易制毒化学品管理制度</w:t>
      </w:r>
    </w:p>
    <w:p>
      <w:pPr>
        <w:pStyle w:val="2"/>
        <w:spacing w:before="8"/>
        <w:ind w:left="0"/>
        <w:rPr>
          <w:rFonts w:ascii="黑体"/>
          <w:b/>
          <w:sz w:val="36"/>
        </w:rPr>
      </w:pPr>
    </w:p>
    <w:p>
      <w:pPr>
        <w:pStyle w:val="2"/>
        <w:spacing w:line="312" w:lineRule="auto"/>
        <w:ind w:right="113" w:firstLine="480"/>
        <w:rPr>
          <w:rFonts w:hint="eastAsia" w:ascii="仿宋" w:hAnsi="仿宋" w:eastAsia="仿宋" w:cs="仿宋"/>
          <w:sz w:val="32"/>
          <w:szCs w:val="32"/>
        </w:rPr>
      </w:pPr>
      <w:r>
        <w:rPr>
          <w:rFonts w:hint="eastAsia" w:ascii="仿宋" w:hAnsi="仿宋" w:eastAsia="仿宋" w:cs="仿宋"/>
          <w:spacing w:val="-10"/>
          <w:sz w:val="32"/>
          <w:szCs w:val="32"/>
        </w:rPr>
        <w:t>为加强</w:t>
      </w:r>
      <w:r>
        <w:rPr>
          <w:rFonts w:hint="eastAsia" w:ascii="仿宋" w:hAnsi="仿宋" w:eastAsia="仿宋" w:cs="仿宋"/>
          <w:spacing w:val="-10"/>
          <w:sz w:val="32"/>
          <w:szCs w:val="32"/>
          <w:lang w:val="en-US" w:eastAsia="zh-CN"/>
        </w:rPr>
        <w:t>实验室</w:t>
      </w:r>
      <w:r>
        <w:rPr>
          <w:rFonts w:hint="eastAsia" w:ascii="仿宋" w:hAnsi="仿宋" w:eastAsia="仿宋" w:cs="仿宋"/>
          <w:spacing w:val="-10"/>
          <w:sz w:val="32"/>
          <w:szCs w:val="32"/>
        </w:rPr>
        <w:t xml:space="preserve">易制毒化学品管理，规范易制毒化学品的申购、采购、储存和使用行为， </w:t>
      </w:r>
      <w:r>
        <w:rPr>
          <w:rFonts w:hint="eastAsia" w:ascii="仿宋" w:hAnsi="仿宋" w:eastAsia="仿宋" w:cs="仿宋"/>
          <w:spacing w:val="-5"/>
          <w:sz w:val="32"/>
          <w:szCs w:val="32"/>
        </w:rPr>
        <w:t>防止公司使用的易制毒化学品</w:t>
      </w:r>
      <w:r>
        <w:rPr>
          <w:rFonts w:hint="eastAsia" w:ascii="仿宋" w:hAnsi="仿宋" w:eastAsia="仿宋" w:cs="仿宋"/>
          <w:sz w:val="32"/>
          <w:szCs w:val="32"/>
        </w:rPr>
        <w:t>（浓硫酸</w:t>
      </w:r>
      <w:r>
        <w:rPr>
          <w:rFonts w:hint="eastAsia" w:ascii="仿宋" w:hAnsi="仿宋" w:eastAsia="仿宋" w:cs="仿宋"/>
          <w:spacing w:val="-57"/>
          <w:sz w:val="32"/>
          <w:szCs w:val="32"/>
        </w:rPr>
        <w:t>）</w:t>
      </w:r>
      <w:r>
        <w:rPr>
          <w:rFonts w:hint="eastAsia" w:ascii="仿宋" w:hAnsi="仿宋" w:eastAsia="仿宋" w:cs="仿宋"/>
          <w:spacing w:val="-9"/>
          <w:sz w:val="32"/>
          <w:szCs w:val="32"/>
        </w:rPr>
        <w:t>被用于制造毒品，维护正常的经济和社会秩序。</w:t>
      </w:r>
      <w:r>
        <w:rPr>
          <w:rFonts w:hint="eastAsia" w:ascii="仿宋" w:hAnsi="仿宋" w:eastAsia="仿宋" w:cs="仿宋"/>
          <w:spacing w:val="-4"/>
          <w:sz w:val="32"/>
          <w:szCs w:val="32"/>
        </w:rPr>
        <w:t>公司易制毒化学品储存使用部门、采购部和质量管理部在各自职责范围内做好易制毒化学品的管理工作。</w:t>
      </w:r>
    </w:p>
    <w:p>
      <w:pPr>
        <w:pStyle w:val="2"/>
        <w:spacing w:before="0" w:line="312" w:lineRule="auto"/>
        <w:ind w:left="18" w:leftChars="0" w:right="136" w:rightChars="0" w:firstLine="870" w:firstLineChars="290"/>
        <w:rPr>
          <w:rFonts w:hint="eastAsia" w:ascii="仿宋" w:hAnsi="仿宋" w:eastAsia="仿宋" w:cs="仿宋"/>
          <w:spacing w:val="-10"/>
          <w:sz w:val="32"/>
          <w:szCs w:val="32"/>
        </w:rPr>
      </w:pPr>
      <w:r>
        <w:rPr>
          <w:rFonts w:hint="eastAsia" w:ascii="仿宋" w:hAnsi="仿宋" w:eastAsia="仿宋" w:cs="仿宋"/>
          <w:spacing w:val="-10"/>
          <w:sz w:val="32"/>
          <w:szCs w:val="32"/>
        </w:rPr>
        <w:t>根据《易制毒化学品管理条例》，并结合</w:t>
      </w:r>
      <w:r>
        <w:rPr>
          <w:rFonts w:hint="eastAsia" w:ascii="仿宋" w:hAnsi="仿宋" w:eastAsia="仿宋" w:cs="仿宋"/>
          <w:spacing w:val="-10"/>
          <w:sz w:val="32"/>
          <w:szCs w:val="32"/>
          <w:lang w:val="en-US" w:eastAsia="zh-CN"/>
        </w:rPr>
        <w:t>实验室</w:t>
      </w:r>
      <w:r>
        <w:rPr>
          <w:rFonts w:hint="eastAsia" w:ascii="仿宋" w:hAnsi="仿宋" w:eastAsia="仿宋" w:cs="仿宋"/>
          <w:spacing w:val="-10"/>
          <w:sz w:val="32"/>
          <w:szCs w:val="32"/>
        </w:rPr>
        <w:t>实际，特制定本制度。</w:t>
      </w:r>
    </w:p>
    <w:p>
      <w:pPr>
        <w:pStyle w:val="2"/>
        <w:spacing w:before="0" w:line="312" w:lineRule="auto"/>
        <w:ind w:right="136" w:rightChars="0" w:firstLine="640" w:firstLineChars="200"/>
        <w:rPr>
          <w:rFonts w:hint="eastAsia" w:ascii="仿宋" w:hAnsi="仿宋" w:eastAsia="仿宋" w:cs="仿宋"/>
          <w:sz w:val="32"/>
          <w:szCs w:val="32"/>
        </w:rPr>
      </w:pPr>
      <w:r>
        <w:rPr>
          <w:rFonts w:hint="eastAsia" w:ascii="仿宋" w:hAnsi="仿宋" w:eastAsia="仿宋" w:cs="仿宋"/>
          <w:sz w:val="32"/>
          <w:szCs w:val="32"/>
        </w:rPr>
        <w:t>一、申购管理</w:t>
      </w:r>
    </w:p>
    <w:p>
      <w:pPr>
        <w:pStyle w:val="2"/>
        <w:spacing w:line="312" w:lineRule="auto"/>
        <w:ind w:right="68" w:firstLine="570"/>
        <w:rPr>
          <w:rFonts w:hint="eastAsia" w:ascii="仿宋" w:hAnsi="仿宋" w:eastAsia="仿宋" w:cs="仿宋"/>
          <w:sz w:val="32"/>
          <w:szCs w:val="32"/>
        </w:rPr>
      </w:pPr>
      <w:r>
        <w:rPr>
          <w:rFonts w:hint="eastAsia" w:ascii="仿宋" w:hAnsi="仿宋" w:eastAsia="仿宋" w:cs="仿宋"/>
          <w:sz w:val="32"/>
          <w:szCs w:val="32"/>
        </w:rPr>
        <w:t>易制毒化学品使用单位依据实际使用情况，向采购部提出易制毒化学品采购需求， 由采购部和具有易制毒化学品经营许可资质的单位进行采购易制毒化学品。</w:t>
      </w:r>
    </w:p>
    <w:p>
      <w:pPr>
        <w:pStyle w:val="2"/>
        <w:spacing w:before="0" w:line="307"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二、采购管理</w:t>
      </w:r>
    </w:p>
    <w:p>
      <w:pPr>
        <w:pStyle w:val="2"/>
        <w:spacing w:before="93" w:line="312" w:lineRule="auto"/>
        <w:ind w:right="234" w:firstLine="6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8"/>
          <w:sz w:val="32"/>
          <w:szCs w:val="32"/>
        </w:rPr>
        <w:t>、采购部采购员使用《全国易制毒化学品管理信息系统》进行易制毒化学品购买</w:t>
      </w:r>
      <w:r>
        <w:rPr>
          <w:rFonts w:hint="eastAsia" w:ascii="仿宋" w:hAnsi="仿宋" w:eastAsia="仿宋" w:cs="仿宋"/>
          <w:sz w:val="32"/>
          <w:szCs w:val="32"/>
        </w:rPr>
        <w:t>备案证明。</w:t>
      </w:r>
    </w:p>
    <w:p>
      <w:pPr>
        <w:pStyle w:val="2"/>
        <w:spacing w:before="0" w:line="312" w:lineRule="auto"/>
        <w:ind w:right="230" w:firstLine="720"/>
        <w:rPr>
          <w:rFonts w:hint="eastAsia" w:ascii="仿宋" w:hAnsi="仿宋" w:eastAsia="仿宋" w:cs="仿宋"/>
          <w:sz w:val="32"/>
          <w:szCs w:val="32"/>
        </w:rPr>
      </w:pPr>
      <w:r>
        <w:rPr>
          <w:rFonts w:hint="eastAsia" w:ascii="仿宋" w:hAnsi="仿宋" w:eastAsia="仿宋" w:cs="仿宋"/>
          <w:sz w:val="32"/>
          <w:szCs w:val="32"/>
        </w:rPr>
        <w:t>2、采购部所办理的购用证明仅限本单位使用，不得将购买证明以任何形式交给其他单位和个人使用，或请其他单位或个人代为购买。</w:t>
      </w:r>
    </w:p>
    <w:p>
      <w:pPr>
        <w:pStyle w:val="2"/>
        <w:spacing w:line="312" w:lineRule="auto"/>
        <w:ind w:right="234" w:firstLine="6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pacing w:val="-7"/>
          <w:sz w:val="32"/>
          <w:szCs w:val="32"/>
        </w:rPr>
        <w:t>、购买易制毒化学品时必须严格按照购用证明上的数量购买，不得超过购买证明</w:t>
      </w:r>
      <w:r>
        <w:rPr>
          <w:rFonts w:hint="eastAsia" w:ascii="仿宋" w:hAnsi="仿宋" w:eastAsia="仿宋" w:cs="仿宋"/>
          <w:sz w:val="32"/>
          <w:szCs w:val="32"/>
        </w:rPr>
        <w:t>上所限定的数额。</w:t>
      </w:r>
    </w:p>
    <w:p>
      <w:pPr>
        <w:pStyle w:val="2"/>
        <w:spacing w:line="312" w:lineRule="auto"/>
        <w:ind w:right="234" w:firstLine="6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pacing w:val="-7"/>
          <w:sz w:val="32"/>
          <w:szCs w:val="32"/>
        </w:rPr>
        <w:t>、所购买的易制毒化学品必须是本单位使用，不得以转让，转借等形式交给其他</w:t>
      </w:r>
      <w:r>
        <w:rPr>
          <w:rFonts w:hint="eastAsia" w:ascii="仿宋" w:hAnsi="仿宋" w:eastAsia="仿宋" w:cs="仿宋"/>
          <w:sz w:val="32"/>
          <w:szCs w:val="32"/>
        </w:rPr>
        <w:t>单位或个人使用，不得为其他单位代为办理购用证明。</w:t>
      </w:r>
    </w:p>
    <w:p>
      <w:pPr>
        <w:pStyle w:val="2"/>
        <w:spacing w:before="0" w:line="312" w:lineRule="auto"/>
        <w:ind w:right="234" w:firstLine="6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pacing w:val="-7"/>
          <w:sz w:val="32"/>
          <w:szCs w:val="32"/>
        </w:rPr>
        <w:t>、采购部在购买易制毒化学品时，应向供货方明确易制毒化学品在运输时，运输</w:t>
      </w:r>
      <w:r>
        <w:rPr>
          <w:rFonts w:hint="eastAsia" w:ascii="仿宋" w:hAnsi="仿宋" w:eastAsia="仿宋" w:cs="仿宋"/>
          <w:sz w:val="32"/>
          <w:szCs w:val="32"/>
        </w:rPr>
        <w:t>车辆必须办理运输备案证明。</w:t>
      </w:r>
    </w:p>
    <w:p>
      <w:pPr>
        <w:pStyle w:val="2"/>
        <w:spacing w:line="312" w:lineRule="auto"/>
        <w:ind w:right="230" w:firstLine="720"/>
        <w:jc w:val="both"/>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pacing w:val="-1"/>
          <w:sz w:val="32"/>
          <w:szCs w:val="32"/>
        </w:rPr>
        <w:t>、采购部应按《全国易制毒化学品管理信息系统》企业端相关内容做好上报和</w:t>
      </w:r>
      <w:r>
        <w:rPr>
          <w:rFonts w:hint="eastAsia" w:ascii="仿宋" w:hAnsi="仿宋" w:eastAsia="仿宋" w:cs="仿宋"/>
          <w:spacing w:val="-8"/>
          <w:sz w:val="32"/>
          <w:szCs w:val="32"/>
        </w:rPr>
        <w:t>登记，未按时办理易制毒化学品备案手续，私自在未办理易制毒化学品购买备案证明的情况下，采购、运输易制毒化学品，经公安机关检查存在未备案先使用将追究相关责任</w:t>
      </w:r>
      <w:r>
        <w:rPr>
          <w:rFonts w:hint="eastAsia" w:ascii="仿宋" w:hAnsi="仿宋" w:eastAsia="仿宋" w:cs="仿宋"/>
          <w:sz w:val="32"/>
          <w:szCs w:val="32"/>
        </w:rPr>
        <w:t>人的相关法律刑事责任。</w:t>
      </w:r>
    </w:p>
    <w:p>
      <w:pPr>
        <w:pStyle w:val="2"/>
        <w:spacing w:before="0" w:line="312" w:lineRule="auto"/>
        <w:ind w:left="718" w:right="185" w:firstLine="120"/>
        <w:rPr>
          <w:rFonts w:hint="eastAsia" w:ascii="仿宋" w:hAnsi="仿宋" w:eastAsia="仿宋" w:cs="仿宋"/>
          <w:sz w:val="32"/>
          <w:szCs w:val="32"/>
        </w:rPr>
      </w:pPr>
      <w:r>
        <w:rPr>
          <w:rFonts w:hint="eastAsia" w:ascii="仿宋" w:hAnsi="仿宋" w:eastAsia="仿宋" w:cs="仿宋"/>
          <w:sz w:val="32"/>
          <w:szCs w:val="32"/>
        </w:rPr>
        <w:t>三、储存、使用管理                                                    1</w:t>
      </w:r>
      <w:r>
        <w:rPr>
          <w:rFonts w:hint="eastAsia" w:ascii="仿宋" w:hAnsi="仿宋" w:eastAsia="仿宋" w:cs="仿宋"/>
          <w:spacing w:val="-1"/>
          <w:sz w:val="32"/>
          <w:szCs w:val="32"/>
        </w:rPr>
        <w:t>、易制毒化学品运抵单位后，必须由易制毒化学品采购员在场监视卸货、入库，</w:t>
      </w:r>
    </w:p>
    <w:p>
      <w:pPr>
        <w:pStyle w:val="2"/>
        <w:spacing w:line="312" w:lineRule="auto"/>
        <w:ind w:right="173"/>
        <w:rPr>
          <w:rFonts w:hint="eastAsia" w:ascii="仿宋" w:hAnsi="仿宋" w:eastAsia="仿宋" w:cs="仿宋"/>
          <w:sz w:val="32"/>
          <w:szCs w:val="32"/>
        </w:rPr>
      </w:pPr>
      <w:r>
        <w:rPr>
          <w:rFonts w:hint="eastAsia" w:ascii="仿宋" w:hAnsi="仿宋" w:eastAsia="仿宋" w:cs="仿宋"/>
          <w:sz w:val="32"/>
          <w:szCs w:val="32"/>
        </w:rPr>
        <w:t>数量核对无误后，由送货人、库管员分别在易制毒化学品出入库登记证明（台账）簿上签名。</w:t>
      </w:r>
    </w:p>
    <w:p>
      <w:pPr>
        <w:pStyle w:val="2"/>
        <w:spacing w:line="312" w:lineRule="auto"/>
        <w:ind w:right="233" w:firstLine="6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8"/>
          <w:sz w:val="32"/>
          <w:szCs w:val="32"/>
        </w:rPr>
        <w:t>、易制毒化学品实行双人双锁，出入库台帐登记清楚、全面、准确。无关人员不</w:t>
      </w:r>
      <w:r>
        <w:rPr>
          <w:rFonts w:hint="eastAsia" w:ascii="仿宋" w:hAnsi="仿宋" w:eastAsia="仿宋" w:cs="仿宋"/>
          <w:spacing w:val="-5"/>
          <w:sz w:val="32"/>
          <w:szCs w:val="32"/>
        </w:rPr>
        <w:t>得进入易制毒化学品仓库。库管员应每月定期盘点使用数量和库存数量。质量保证部门</w:t>
      </w:r>
      <w:r>
        <w:rPr>
          <w:rFonts w:hint="eastAsia" w:ascii="仿宋" w:hAnsi="仿宋" w:eastAsia="仿宋" w:cs="仿宋"/>
          <w:spacing w:val="-4"/>
          <w:sz w:val="32"/>
          <w:szCs w:val="32"/>
        </w:rPr>
        <w:t>监督员会定期监督易制毒化学品的使用和归还情况。如发现被盗的应立即向公安机关报</w:t>
      </w:r>
      <w:r>
        <w:rPr>
          <w:rFonts w:hint="eastAsia" w:ascii="仿宋" w:hAnsi="仿宋" w:eastAsia="仿宋" w:cs="仿宋"/>
          <w:sz w:val="32"/>
          <w:szCs w:val="32"/>
        </w:rPr>
        <w:t>案。</w:t>
      </w:r>
    </w:p>
    <w:p>
      <w:pPr>
        <w:pStyle w:val="2"/>
        <w:ind w:left="18" w:leftChars="0" w:firstLine="697" w:firstLineChars="218"/>
        <w:rPr>
          <w:rFonts w:hint="eastAsia" w:ascii="仿宋" w:hAnsi="仿宋" w:eastAsia="仿宋" w:cs="仿宋"/>
          <w:sz w:val="32"/>
          <w:szCs w:val="32"/>
        </w:rPr>
      </w:pPr>
      <w:r>
        <w:rPr>
          <w:rFonts w:hint="eastAsia" w:ascii="仿宋" w:hAnsi="仿宋" w:eastAsia="仿宋" w:cs="仿宋"/>
          <w:sz w:val="32"/>
          <w:szCs w:val="32"/>
        </w:rPr>
        <w:t>3、易制毒化学品领用单，由使用单位（配液室）负责人签字后，领用易制毒化学</w:t>
      </w:r>
      <w:r>
        <w:rPr>
          <w:rFonts w:hint="eastAsia" w:ascii="仿宋" w:hAnsi="仿宋" w:eastAsia="仿宋" w:cs="仿宋"/>
          <w:spacing w:val="-8"/>
          <w:sz w:val="32"/>
          <w:szCs w:val="32"/>
        </w:rPr>
        <w:t>品。出库时领用人、库管员核对数量后分别在易制毒化学品出入库登记簿上签名。易制</w:t>
      </w:r>
      <w:r>
        <w:rPr>
          <w:rFonts w:hint="eastAsia" w:ascii="仿宋" w:hAnsi="仿宋" w:eastAsia="仿宋" w:cs="仿宋"/>
          <w:spacing w:val="-2"/>
          <w:sz w:val="32"/>
          <w:szCs w:val="32"/>
        </w:rPr>
        <w:t xml:space="preserve">毒化学品使用单位应建立登记台帐，单独装订成册备查，并至少保存 </w:t>
      </w:r>
      <w:r>
        <w:rPr>
          <w:rFonts w:hint="eastAsia" w:ascii="仿宋" w:hAnsi="仿宋" w:eastAsia="仿宋" w:cs="仿宋"/>
          <w:sz w:val="32"/>
          <w:szCs w:val="32"/>
        </w:rPr>
        <w:t>2</w:t>
      </w:r>
      <w:r>
        <w:rPr>
          <w:rFonts w:hint="eastAsia" w:ascii="仿宋" w:hAnsi="仿宋" w:eastAsia="仿宋" w:cs="仿宋"/>
          <w:spacing w:val="-20"/>
          <w:sz w:val="32"/>
          <w:szCs w:val="32"/>
        </w:rPr>
        <w:t xml:space="preserve"> 年。</w:t>
      </w:r>
    </w:p>
    <w:p>
      <w:pPr>
        <w:pStyle w:val="2"/>
        <w:spacing w:line="312" w:lineRule="auto"/>
        <w:ind w:right="229" w:firstLine="722"/>
        <w:jc w:val="both"/>
        <w:rPr>
          <w:rFonts w:hint="eastAsia" w:ascii="仿宋" w:hAnsi="仿宋" w:eastAsia="仿宋" w:cs="仿宋"/>
          <w:sz w:val="32"/>
          <w:szCs w:val="32"/>
        </w:rPr>
      </w:pPr>
      <w:r>
        <w:rPr>
          <w:rFonts w:hint="eastAsia" w:ascii="仿宋" w:hAnsi="仿宋" w:eastAsia="仿宋" w:cs="仿宋"/>
          <w:sz w:val="32"/>
          <w:szCs w:val="32"/>
        </w:rPr>
        <w:t>4、实验室应按计划使用量报配液室，配液室合理领用易制毒化学品。使用部</w:t>
      </w:r>
      <w:r>
        <w:rPr>
          <w:rFonts w:hint="eastAsia" w:ascii="仿宋" w:hAnsi="仿宋" w:eastAsia="仿宋" w:cs="仿宋"/>
          <w:spacing w:val="-12"/>
          <w:sz w:val="32"/>
          <w:szCs w:val="32"/>
        </w:rPr>
        <w:t>门</w:t>
      </w:r>
      <w:r>
        <w:rPr>
          <w:rFonts w:hint="eastAsia" w:ascii="仿宋" w:hAnsi="仿宋" w:eastAsia="仿宋" w:cs="仿宋"/>
          <w:sz w:val="32"/>
          <w:szCs w:val="32"/>
        </w:rPr>
        <w:t>（</w:t>
      </w:r>
      <w:r>
        <w:rPr>
          <w:rFonts w:hint="eastAsia" w:ascii="仿宋" w:hAnsi="仿宋" w:eastAsia="仿宋" w:cs="仿宋"/>
          <w:spacing w:val="-3"/>
          <w:sz w:val="32"/>
          <w:szCs w:val="32"/>
        </w:rPr>
        <w:t>配液室、实验室</w:t>
      </w:r>
      <w:r>
        <w:rPr>
          <w:rFonts w:hint="eastAsia" w:ascii="仿宋" w:hAnsi="仿宋" w:eastAsia="仿宋" w:cs="仿宋"/>
          <w:spacing w:val="-14"/>
          <w:sz w:val="32"/>
          <w:szCs w:val="32"/>
        </w:rPr>
        <w:t>）</w:t>
      </w:r>
      <w:r>
        <w:rPr>
          <w:rFonts w:hint="eastAsia" w:ascii="仿宋" w:hAnsi="仿宋" w:eastAsia="仿宋" w:cs="仿宋"/>
          <w:spacing w:val="-2"/>
          <w:sz w:val="32"/>
          <w:szCs w:val="32"/>
        </w:rPr>
        <w:t>负责人应安排二个人将多余的易制毒化学品送回试剂库，由库管</w:t>
      </w:r>
      <w:r>
        <w:rPr>
          <w:rFonts w:hint="eastAsia" w:ascii="仿宋" w:hAnsi="仿宋" w:eastAsia="仿宋" w:cs="仿宋"/>
          <w:spacing w:val="-3"/>
          <w:sz w:val="32"/>
          <w:szCs w:val="32"/>
        </w:rPr>
        <w:t>员应对送回的易制毒化学品进行称量后作为入库原料进行登记，送回人、库管员分别在</w:t>
      </w:r>
      <w:r>
        <w:rPr>
          <w:rFonts w:hint="eastAsia" w:ascii="仿宋" w:hAnsi="仿宋" w:eastAsia="仿宋" w:cs="仿宋"/>
          <w:spacing w:val="-4"/>
          <w:sz w:val="32"/>
          <w:szCs w:val="32"/>
        </w:rPr>
        <w:t>登记簿上签名。不得将领用原料暂存在仓库中，使用部门</w:t>
      </w:r>
      <w:r>
        <w:rPr>
          <w:rFonts w:hint="eastAsia" w:ascii="仿宋" w:hAnsi="仿宋" w:eastAsia="仿宋" w:cs="仿宋"/>
          <w:sz w:val="32"/>
          <w:szCs w:val="32"/>
        </w:rPr>
        <w:t>（</w:t>
      </w:r>
      <w:r>
        <w:rPr>
          <w:rFonts w:hint="eastAsia" w:ascii="仿宋" w:hAnsi="仿宋" w:eastAsia="仿宋" w:cs="仿宋"/>
          <w:spacing w:val="-3"/>
          <w:sz w:val="32"/>
          <w:szCs w:val="32"/>
        </w:rPr>
        <w:t>配液室、实验室</w:t>
      </w:r>
      <w:r>
        <w:rPr>
          <w:rFonts w:hint="eastAsia" w:ascii="仿宋" w:hAnsi="仿宋" w:eastAsia="仿宋" w:cs="仿宋"/>
          <w:spacing w:val="-10"/>
          <w:sz w:val="32"/>
          <w:szCs w:val="32"/>
        </w:rPr>
        <w:t>）</w:t>
      </w:r>
      <w:r>
        <w:rPr>
          <w:rFonts w:hint="eastAsia" w:ascii="仿宋" w:hAnsi="仿宋" w:eastAsia="仿宋" w:cs="仿宋"/>
          <w:spacing w:val="-3"/>
          <w:sz w:val="32"/>
          <w:szCs w:val="32"/>
        </w:rPr>
        <w:t>不得私自</w:t>
      </w:r>
      <w:r>
        <w:rPr>
          <w:rFonts w:hint="eastAsia" w:ascii="仿宋" w:hAnsi="仿宋" w:eastAsia="仿宋" w:cs="仿宋"/>
          <w:spacing w:val="2"/>
          <w:sz w:val="32"/>
          <w:szCs w:val="32"/>
        </w:rPr>
        <w:t>存放易制毒化学品在本部门</w:t>
      </w:r>
      <w:r>
        <w:rPr>
          <w:rFonts w:hint="eastAsia" w:ascii="仿宋" w:hAnsi="仿宋" w:eastAsia="仿宋" w:cs="仿宋"/>
          <w:sz w:val="32"/>
          <w:szCs w:val="32"/>
        </w:rPr>
        <w:t>（</w:t>
      </w:r>
      <w:r>
        <w:rPr>
          <w:rFonts w:hint="eastAsia" w:ascii="仿宋" w:hAnsi="仿宋" w:eastAsia="仿宋" w:cs="仿宋"/>
          <w:spacing w:val="1"/>
          <w:sz w:val="32"/>
          <w:szCs w:val="32"/>
        </w:rPr>
        <w:t>配液室、实验室</w:t>
      </w:r>
      <w:r>
        <w:rPr>
          <w:rFonts w:hint="eastAsia" w:ascii="仿宋" w:hAnsi="仿宋" w:eastAsia="仿宋" w:cs="仿宋"/>
          <w:spacing w:val="-118"/>
          <w:sz w:val="32"/>
          <w:szCs w:val="32"/>
        </w:rPr>
        <w:t>）</w:t>
      </w:r>
      <w:r>
        <w:rPr>
          <w:rFonts w:hint="eastAsia" w:ascii="仿宋" w:hAnsi="仿宋" w:eastAsia="仿宋" w:cs="仿宋"/>
          <w:spacing w:val="1"/>
          <w:sz w:val="32"/>
          <w:szCs w:val="32"/>
        </w:rPr>
        <w:t>，再次领用已送回的易制毒化学品应重</w:t>
      </w:r>
      <w:r>
        <w:rPr>
          <w:rFonts w:hint="eastAsia" w:ascii="仿宋" w:hAnsi="仿宋" w:eastAsia="仿宋" w:cs="仿宋"/>
          <w:sz w:val="32"/>
          <w:szCs w:val="32"/>
        </w:rPr>
        <w:t>新办理领用手续。</w:t>
      </w:r>
    </w:p>
    <w:p>
      <w:pPr>
        <w:pStyle w:val="2"/>
        <w:spacing w:line="312" w:lineRule="auto"/>
        <w:ind w:right="234" w:firstLine="6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pacing w:val="-8"/>
          <w:sz w:val="32"/>
          <w:szCs w:val="32"/>
        </w:rPr>
        <w:t>、使用易制毒化学品，应注意易制毒化学品使用后残液的回收和处理，不得将含</w:t>
      </w:r>
      <w:r>
        <w:rPr>
          <w:rFonts w:hint="eastAsia" w:ascii="仿宋" w:hAnsi="仿宋" w:eastAsia="仿宋" w:cs="仿宋"/>
          <w:sz w:val="32"/>
          <w:szCs w:val="32"/>
        </w:rPr>
        <w:t>有易制毒化学品成份的残液直接排放，让不法分子有机可乘。</w:t>
      </w:r>
    </w:p>
    <w:p>
      <w:pPr>
        <w:pStyle w:val="2"/>
        <w:spacing w:line="312" w:lineRule="auto"/>
        <w:ind w:left="718" w:right="2585"/>
        <w:rPr>
          <w:rFonts w:hint="eastAsia" w:ascii="仿宋" w:hAnsi="仿宋" w:eastAsia="仿宋" w:cs="仿宋"/>
          <w:sz w:val="32"/>
          <w:szCs w:val="32"/>
        </w:rPr>
      </w:pPr>
      <w:r>
        <w:rPr>
          <w:rFonts w:hint="eastAsia" w:ascii="仿宋" w:hAnsi="仿宋" w:eastAsia="仿宋" w:cs="仿宋"/>
          <w:sz w:val="32"/>
          <w:szCs w:val="32"/>
        </w:rPr>
        <w:t>四、监督管理                                       1</w:t>
      </w:r>
      <w:r>
        <w:rPr>
          <w:rFonts w:hint="eastAsia" w:ascii="仿宋" w:hAnsi="仿宋" w:eastAsia="仿宋" w:cs="仿宋"/>
          <w:spacing w:val="-1"/>
          <w:sz w:val="32"/>
          <w:szCs w:val="32"/>
        </w:rPr>
        <w:t>、质量管理部负责对公司易制毒化学品的监督管理工作。</w:t>
      </w:r>
    </w:p>
    <w:p>
      <w:pPr>
        <w:pStyle w:val="2"/>
        <w:spacing w:before="0" w:line="312" w:lineRule="auto"/>
        <w:ind w:right="234" w:firstLine="6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pacing w:val="-9"/>
          <w:sz w:val="32"/>
          <w:szCs w:val="32"/>
        </w:rPr>
        <w:t>、易制毒化学品使用部门及采购部主动配合政府职能部门及公司质量管理部门的</w:t>
      </w:r>
      <w:r>
        <w:rPr>
          <w:rFonts w:hint="eastAsia" w:ascii="仿宋" w:hAnsi="仿宋" w:eastAsia="仿宋" w:cs="仿宋"/>
          <w:sz w:val="32"/>
          <w:szCs w:val="32"/>
        </w:rPr>
        <w:t>各项管理工作。如实填写统计报表及申请表格等材料，服从管理、按时上报。</w:t>
      </w:r>
    </w:p>
    <w:p>
      <w:pPr>
        <w:pStyle w:val="2"/>
        <w:ind w:left="718"/>
        <w:rPr>
          <w:rFonts w:hint="eastAsia" w:ascii="仿宋" w:hAnsi="仿宋" w:eastAsia="仿宋" w:cs="仿宋"/>
          <w:sz w:val="32"/>
          <w:szCs w:val="32"/>
        </w:rPr>
      </w:pPr>
      <w:r>
        <w:rPr>
          <w:rFonts w:hint="eastAsia" w:ascii="仿宋" w:hAnsi="仿宋" w:eastAsia="仿宋" w:cs="仿宋"/>
          <w:sz w:val="32"/>
          <w:szCs w:val="32"/>
        </w:rPr>
        <w:t>五、罚则</w:t>
      </w:r>
    </w:p>
    <w:p>
      <w:pPr>
        <w:pStyle w:val="2"/>
        <w:spacing w:before="92" w:line="312" w:lineRule="auto"/>
        <w:ind w:right="305" w:firstLine="600"/>
        <w:rPr>
          <w:rFonts w:hint="eastAsia" w:ascii="仿宋" w:hAnsi="仿宋" w:eastAsia="仿宋" w:cs="仿宋"/>
          <w:sz w:val="32"/>
          <w:szCs w:val="32"/>
        </w:rPr>
      </w:pPr>
      <w:r>
        <w:rPr>
          <w:rFonts w:hint="eastAsia" w:ascii="仿宋" w:hAnsi="仿宋" w:eastAsia="仿宋" w:cs="仿宋"/>
          <w:sz w:val="32"/>
          <w:szCs w:val="32"/>
        </w:rPr>
        <w:t>易制毒化学品管理相关单位如在各自负责的范围内出现问题，视情节给予相关人员 200——2000 元的经济处罚，情节严重的交公安机关处理。</w:t>
      </w:r>
    </w:p>
    <w:p>
      <w:pPr>
        <w:pStyle w:val="2"/>
        <w:ind w:left="718"/>
        <w:rPr>
          <w:rFonts w:hint="eastAsia" w:ascii="仿宋" w:hAnsi="仿宋" w:eastAsia="仿宋" w:cs="仿宋"/>
          <w:sz w:val="32"/>
          <w:szCs w:val="32"/>
        </w:rPr>
      </w:pPr>
      <w:r>
        <w:rPr>
          <w:rFonts w:hint="eastAsia" w:ascii="仿宋" w:hAnsi="仿宋" w:eastAsia="仿宋" w:cs="仿宋"/>
          <w:sz w:val="32"/>
          <w:szCs w:val="32"/>
        </w:rPr>
        <w:t>本制度自下发之日起执行。</w:t>
      </w:r>
    </w:p>
    <w:p>
      <w:pPr>
        <w:pStyle w:val="2"/>
        <w:spacing w:before="0"/>
        <w:ind w:left="0"/>
      </w:pPr>
    </w:p>
    <w:p>
      <w:pPr>
        <w:pStyle w:val="2"/>
        <w:spacing w:before="0"/>
        <w:ind w:left="0"/>
      </w:pPr>
    </w:p>
    <w:p>
      <w:pPr>
        <w:pStyle w:val="2"/>
        <w:spacing w:before="8"/>
        <w:ind w:left="0"/>
        <w:rPr>
          <w:sz w:val="21"/>
        </w:rPr>
      </w:pPr>
    </w:p>
    <w:p>
      <w:pPr>
        <w:pBdr>
          <w:bottom w:val="none" w:color="auto" w:sz="0" w:space="0"/>
        </w:pBdr>
        <w:spacing w:line="560" w:lineRule="exact"/>
        <w:ind w:firstLine="3200" w:firstLineChars="1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军科正源（广西）生物医药科技有限公司</w:t>
      </w:r>
    </w:p>
    <w:p>
      <w:pPr>
        <w:pBdr>
          <w:bottom w:val="none" w:color="auto" w:sz="0" w:space="0"/>
        </w:pBdr>
        <w:spacing w:line="560" w:lineRule="exact"/>
        <w:ind w:firstLine="5440" w:firstLineChars="1700"/>
        <w:jc w:val="left"/>
        <w:rPr>
          <w:rFonts w:hint="eastAsia" w:ascii="仿宋" w:hAnsi="仿宋" w:eastAsia="仿宋" w:cs="仿宋"/>
          <w:sz w:val="32"/>
          <w:szCs w:val="32"/>
        </w:rPr>
      </w:pPr>
      <w:r>
        <w:rPr>
          <w:rFonts w:hint="eastAsia" w:ascii="仿宋" w:hAnsi="仿宋" w:eastAsia="仿宋" w:cs="仿宋"/>
          <w:sz w:val="32"/>
          <w:szCs w:val="32"/>
          <w:lang w:eastAsia="zh-CN"/>
        </w:rPr>
        <w:t>2021年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p>
    <w:p>
      <w:pPr>
        <w:pStyle w:val="2"/>
        <w:spacing w:before="92"/>
        <w:ind w:left="6238"/>
      </w:pPr>
      <w:bookmarkStart w:id="0" w:name="_GoBack"/>
      <w:bookmarkEnd w:id="0"/>
    </w:p>
    <w:sectPr>
      <w:headerReference r:id="rId5" w:type="default"/>
      <w:footerReference r:id="rId6" w:type="default"/>
      <w:pgSz w:w="11910" w:h="16840"/>
      <w:pgMar w:top="1260" w:right="1180" w:bottom="1220" w:left="1300" w:header="341" w:footer="10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4099" o:spid="_x0000_s4099" o:spt="202" type="#_x0000_t202" style="position:absolute;left:0pt;margin-left:293pt;margin-top:779.6pt;height:13.65pt;width:9.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1"/>
                  </w:rPr>
                </w:pPr>
                <w:r>
                  <w:fldChar w:fldCharType="begin"/>
                </w:r>
                <w:r>
                  <w:rPr>
                    <w:rFonts w:ascii="Times New Roman"/>
                    <w:sz w:val="21"/>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drawing>
        <wp:anchor distT="0" distB="0" distL="114300" distR="114300" simplePos="0" relativeHeight="251661312" behindDoc="0" locked="0" layoutInCell="1" allowOverlap="1">
          <wp:simplePos x="0" y="0"/>
          <wp:positionH relativeFrom="column">
            <wp:posOffset>-139065</wp:posOffset>
          </wp:positionH>
          <wp:positionV relativeFrom="paragraph">
            <wp:posOffset>69850</wp:posOffset>
          </wp:positionV>
          <wp:extent cx="3140710" cy="422910"/>
          <wp:effectExtent l="0" t="0" r="13970" b="381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
                  <a:stretch>
                    <a:fillRect/>
                  </a:stretch>
                </pic:blipFill>
                <pic:spPr>
                  <a:xfrm>
                    <a:off x="0" y="0"/>
                    <a:ext cx="3140710" cy="422910"/>
                  </a:xfrm>
                  <a:prstGeom prst="rect">
                    <a:avLst/>
                  </a:prstGeom>
                  <a:noFill/>
                  <a:ln>
                    <a:noFill/>
                  </a:ln>
                </pic:spPr>
              </pic:pic>
            </a:graphicData>
          </a:graphic>
        </wp:anchor>
      </w:drawing>
    </w:r>
    <w:r>
      <w:pict>
        <v:line id="_x0000_s4098" o:spid="_x0000_s4098" o:spt="20" style="position:absolute;left:0pt;margin-left:69.4pt;margin-top:57.4pt;height:0pt;width:456.45pt;mso-position-horizontal-relative:page;mso-position-vertical-relative:page;z-index:-251657216;mso-width-relative:page;mso-height-relative:page;" stroked="t" coordsize="21600,21600">
          <v:path arrowok="t"/>
          <v:fill focussize="0,0"/>
          <v:stroke weight="0.48pt" color="#000000"/>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6D0182"/>
    <w:rsid w:val="26392E24"/>
    <w:rsid w:val="4CFF734D"/>
    <w:rsid w:val="54620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ind w:left="118"/>
    </w:pPr>
    <w:rPr>
      <w:rFonts w:ascii="楷体" w:hAnsi="楷体" w:eastAsia="楷体" w:cs="楷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2021-08-28T13:34:00Z</dcterms:created>
  <dc:creator>123</dc:creator>
  <cp:lastModifiedBy>天行健</cp:lastModifiedBy>
  <dcterms:modified xsi:type="dcterms:W3CDTF">2021-08-30T00:52:10Z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PScript5.dll Version 5.2.2</vt:lpwstr>
  </property>
  <property fmtid="{D5CDD505-2E9C-101B-9397-08002B2CF9AE}" pid="4" name="LastSaved">
    <vt:filetime>2021-08-28T00:00:00Z</vt:filetime>
  </property>
  <property fmtid="{D5CDD505-2E9C-101B-9397-08002B2CF9AE}" pid="5" name="KSOProductBuildVer">
    <vt:lpwstr>2052-11.1.0.10700</vt:lpwstr>
  </property>
  <property fmtid="{D5CDD505-2E9C-101B-9397-08002B2CF9AE}" pid="6" name="ICV">
    <vt:lpwstr>81B6ED314E794396A8793BC6BAE09980</vt:lpwstr>
  </property>
</Properties>
</file>