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162DA" w14:textId="77777777" w:rsidR="00D51391" w:rsidRPr="00D51391" w:rsidRDefault="00D51391" w:rsidP="00D51391">
      <w:pPr>
        <w:widowControl/>
        <w:spacing w:after="210"/>
        <w:jc w:val="left"/>
        <w:outlineLvl w:val="0"/>
        <w:rPr>
          <w:rFonts w:ascii="宋体" w:eastAsia="宋体" w:hAnsi="宋体" w:cs="宋体"/>
          <w:b/>
          <w:bCs/>
          <w:kern w:val="36"/>
          <w:sz w:val="33"/>
          <w:szCs w:val="33"/>
        </w:rPr>
      </w:pPr>
      <w:r w:rsidRPr="00D51391">
        <w:rPr>
          <w:rFonts w:ascii="宋体" w:eastAsia="宋体" w:hAnsi="宋体" w:cs="宋体"/>
          <w:b/>
          <w:bCs/>
          <w:kern w:val="36"/>
          <w:sz w:val="33"/>
          <w:szCs w:val="33"/>
        </w:rPr>
        <w:t>钻孔灌注桩正反循环基础施工工艺及要点，图文解说！</w:t>
      </w:r>
    </w:p>
    <w:p w14:paraId="2CF9EEEF" w14:textId="77777777" w:rsidR="00D51391" w:rsidRPr="00D51391" w:rsidRDefault="00D51391" w:rsidP="00D51391">
      <w:pPr>
        <w:widowControl/>
        <w:spacing w:line="300" w:lineRule="atLeast"/>
        <w:jc w:val="left"/>
        <w:rPr>
          <w:rFonts w:ascii="宋体" w:eastAsia="宋体" w:hAnsi="宋体" w:cs="宋体"/>
          <w:kern w:val="0"/>
          <w:sz w:val="2"/>
          <w:szCs w:val="2"/>
        </w:rPr>
      </w:pPr>
      <w:hyperlink r:id="rId4" w:history="1">
        <w:r w:rsidRPr="00D51391">
          <w:rPr>
            <w:rFonts w:ascii="宋体" w:eastAsia="宋体" w:hAnsi="宋体" w:cs="宋体"/>
            <w:color w:val="576B95"/>
            <w:kern w:val="0"/>
            <w:sz w:val="23"/>
            <w:szCs w:val="23"/>
            <w:u w:val="single"/>
          </w:rPr>
          <w:t>岩土工程市场</w:t>
        </w:r>
      </w:hyperlink>
      <w:r w:rsidRPr="00D51391">
        <w:rPr>
          <w:rFonts w:ascii="宋体" w:eastAsia="宋体" w:hAnsi="宋体" w:cs="宋体"/>
          <w:kern w:val="0"/>
          <w:sz w:val="2"/>
          <w:szCs w:val="2"/>
        </w:rPr>
        <w:t> </w:t>
      </w:r>
      <w:r w:rsidRPr="00D51391">
        <w:rPr>
          <w:rFonts w:ascii="宋体" w:eastAsia="宋体" w:hAnsi="宋体" w:cs="宋体"/>
          <w:kern w:val="0"/>
          <w:sz w:val="23"/>
          <w:szCs w:val="23"/>
        </w:rPr>
        <w:t>2022-02-28 16:52</w:t>
      </w:r>
    </w:p>
    <w:p w14:paraId="7DA5ADCC" w14:textId="77777777" w:rsidR="00D51391" w:rsidRDefault="00D51391" w:rsidP="00D51391">
      <w:pPr>
        <w:widowControl/>
        <w:rPr>
          <w:rFonts w:ascii="宋体" w:eastAsia="宋体" w:hAnsi="宋体" w:cs="宋体"/>
          <w:b/>
          <w:bCs/>
          <w:color w:val="001034"/>
          <w:kern w:val="0"/>
          <w:sz w:val="23"/>
          <w:szCs w:val="23"/>
          <w:bdr w:val="none" w:sz="0" w:space="0" w:color="auto" w:frame="1"/>
        </w:rPr>
      </w:pPr>
    </w:p>
    <w:p w14:paraId="5A58BC99" w14:textId="580969AA" w:rsidR="00D51391" w:rsidRPr="00D51391" w:rsidRDefault="00D51391" w:rsidP="00D51391">
      <w:pPr>
        <w:widowControl/>
        <w:rPr>
          <w:rFonts w:ascii="Microsoft YaHei UI" w:eastAsia="Microsoft YaHei UI" w:hAnsi="Microsoft YaHei UI" w:cs="宋体"/>
          <w:color w:val="333333"/>
          <w:spacing w:val="8"/>
          <w:kern w:val="0"/>
          <w:sz w:val="24"/>
          <w:szCs w:val="24"/>
        </w:rPr>
      </w:pPr>
      <w:r w:rsidRPr="00D51391">
        <w:rPr>
          <w:rFonts w:ascii="宋体" w:eastAsia="宋体" w:hAnsi="宋体" w:cs="宋体"/>
          <w:b/>
          <w:bCs/>
          <w:color w:val="001034"/>
          <w:kern w:val="0"/>
          <w:sz w:val="23"/>
          <w:szCs w:val="23"/>
          <w:bdr w:val="none" w:sz="0" w:space="0" w:color="auto" w:frame="1"/>
        </w:rPr>
        <w:t>(</w:t>
      </w:r>
      <w:proofErr w:type="gramStart"/>
      <w:r w:rsidRPr="00D51391">
        <w:rPr>
          <w:rFonts w:ascii="宋体" w:eastAsia="宋体" w:hAnsi="宋体" w:cs="宋体"/>
          <w:b/>
          <w:bCs/>
          <w:color w:val="001034"/>
          <w:kern w:val="0"/>
          <w:sz w:val="23"/>
          <w:szCs w:val="23"/>
          <w:bdr w:val="none" w:sz="0" w:space="0" w:color="auto" w:frame="1"/>
        </w:rPr>
        <w:t>一</w:t>
      </w:r>
      <w:proofErr w:type="gramEnd"/>
      <w:r w:rsidRPr="00D51391">
        <w:rPr>
          <w:rFonts w:ascii="宋体" w:eastAsia="宋体" w:hAnsi="宋体" w:cs="宋体"/>
          <w:b/>
          <w:bCs/>
          <w:color w:val="001034"/>
          <w:kern w:val="0"/>
          <w:sz w:val="23"/>
          <w:szCs w:val="23"/>
          <w:bdr w:val="none" w:sz="0" w:space="0" w:color="auto" w:frame="1"/>
        </w:rPr>
        <w:t>)准备工作</w:t>
      </w:r>
      <w:r w:rsidRPr="00D51391">
        <w:rPr>
          <w:rFonts w:ascii="宋体" w:eastAsia="宋体" w:hAnsi="宋体" w:cs="宋体"/>
          <w:color w:val="333333"/>
          <w:kern w:val="0"/>
          <w:sz w:val="26"/>
          <w:szCs w:val="26"/>
        </w:rPr>
        <w:br/>
      </w: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1.施工前应掌握工程地质资料、水文地质资料，具备所用各种原材料及制品的质量检验报告。</w:t>
      </w:r>
    </w:p>
    <w:p w14:paraId="19482927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2.施工时应按有关规定，制定安全生产、保护环境等措施。</w:t>
      </w:r>
    </w:p>
    <w:p w14:paraId="005F8268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3.灌注桩施工应有齐全、有效的施工记录。</w:t>
      </w:r>
    </w:p>
    <w:p w14:paraId="6B1A7CF6" w14:textId="4A1A0FD4" w:rsidR="00D51391" w:rsidRPr="00D51391" w:rsidRDefault="00D51391" w:rsidP="00D51391">
      <w:pPr>
        <w:widowControl/>
        <w:shd w:val="clear" w:color="auto" w:fill="FFFFFF"/>
        <w:spacing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/>
          <w:noProof/>
          <w:color w:val="001034"/>
          <w:spacing w:val="8"/>
          <w:kern w:val="0"/>
          <w:szCs w:val="21"/>
        </w:rPr>
        <w:drawing>
          <wp:inline distT="0" distB="0" distL="0" distR="0" wp14:anchorId="3EC5BC7A" wp14:editId="0B3D4F5B">
            <wp:extent cx="5274310" cy="3026410"/>
            <wp:effectExtent l="0" t="0" r="2540" b="2540"/>
            <wp:docPr id="23" name="图片 2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8D783" w14:textId="77777777" w:rsidR="00D51391" w:rsidRPr="00D51391" w:rsidRDefault="00D51391" w:rsidP="00D51391">
      <w:pPr>
        <w:widowControl/>
        <w:shd w:val="clear" w:color="auto" w:fill="FFFFFF"/>
        <w:spacing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 w:val="23"/>
          <w:szCs w:val="23"/>
          <w:bdr w:val="none" w:sz="0" w:space="0" w:color="auto" w:frame="1"/>
        </w:rPr>
        <w:t>(二)成</w:t>
      </w:r>
      <w:proofErr w:type="gramStart"/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 w:val="23"/>
          <w:szCs w:val="23"/>
          <w:bdr w:val="none" w:sz="0" w:space="0" w:color="auto" w:frame="1"/>
        </w:rPr>
        <w:t>孔方式</w:t>
      </w:r>
      <w:proofErr w:type="gramEnd"/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 w:val="23"/>
          <w:szCs w:val="23"/>
          <w:bdr w:val="none" w:sz="0" w:space="0" w:color="auto" w:frame="1"/>
        </w:rPr>
        <w:t>与设备选择</w:t>
      </w: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br/>
      </w:r>
    </w:p>
    <w:p w14:paraId="09B0A545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依据成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桩方式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可分为泥浆护壁成孔、干作业成孔、护筒(沉管)灌注桩及爆破成孔，施工机具类型及土质适用条件可参考下表：</w:t>
      </w:r>
    </w:p>
    <w:p w14:paraId="58C0F21A" w14:textId="4367A7A9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lastRenderedPageBreak/>
        <w:drawing>
          <wp:inline distT="0" distB="0" distL="0" distR="0" wp14:anchorId="42DC5AE7" wp14:editId="0ACF07B7">
            <wp:extent cx="5274310" cy="2498725"/>
            <wp:effectExtent l="0" t="0" r="2540" b="0"/>
            <wp:docPr id="22" name="图片 2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4A576" w14:textId="77777777" w:rsidR="00D51391" w:rsidRPr="00D51391" w:rsidRDefault="00D51391" w:rsidP="00D51391">
      <w:pPr>
        <w:widowControl/>
        <w:shd w:val="clear" w:color="auto" w:fill="FFFFFF"/>
        <w:spacing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 w:val="23"/>
          <w:szCs w:val="23"/>
          <w:bdr w:val="none" w:sz="0" w:space="0" w:color="auto" w:frame="1"/>
        </w:rPr>
        <w:t>(三)泥浆护壁成孔</w:t>
      </w:r>
    </w:p>
    <w:p w14:paraId="1C1C8DCA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1.泥浆制备与护筒埋设</w:t>
      </w: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br/>
      </w:r>
    </w:p>
    <w:p w14:paraId="0E7843D8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(1)泥浆制备根据施工机械、工艺及穿越土层情况进行配合比设计，宜选用高塑性黏土或膨润土。</w:t>
      </w:r>
    </w:p>
    <w:p w14:paraId="36CF778E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（2）护筒埋设深度应符合有关规定。护筒顶面宜高出施工水位或地下水位2m并宜高出施工地面0.3m。其高度尚应满足孔内泥浆面高度的要求。</w:t>
      </w:r>
    </w:p>
    <w:p w14:paraId="502A645E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(3)灌注混凝土前，清孔后的泥浆相对密度应小于1.10；含沙率不得大于2%；粘度不得大于20pa.S。</w:t>
      </w:r>
    </w:p>
    <w:p w14:paraId="05594591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(4)现场应设置泥浆池和泥浆收集设施，废弃的泥浆、渣应进行处理，不得污染环境。</w:t>
      </w:r>
    </w:p>
    <w:p w14:paraId="4CCE6FDE" w14:textId="78272123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lastRenderedPageBreak/>
        <w:drawing>
          <wp:inline distT="0" distB="0" distL="0" distR="0" wp14:anchorId="1A983945" wp14:editId="253B89ED">
            <wp:extent cx="5274310" cy="2960370"/>
            <wp:effectExtent l="0" t="0" r="2540" b="0"/>
            <wp:docPr id="21" name="图片 2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66739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泥浆制备</w:t>
      </w:r>
    </w:p>
    <w:p w14:paraId="58D2CBCC" w14:textId="55FEB979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5CD9CE60" wp14:editId="45227567">
            <wp:extent cx="5274310" cy="3401695"/>
            <wp:effectExtent l="0" t="0" r="2540" b="8255"/>
            <wp:docPr id="20" name="图片 2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14600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泥浆黏度检测</w:t>
      </w:r>
    </w:p>
    <w:p w14:paraId="42472F43" w14:textId="663C9BC4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lastRenderedPageBreak/>
        <w:drawing>
          <wp:inline distT="0" distB="0" distL="0" distR="0" wp14:anchorId="2ACF2F90" wp14:editId="72CE0FAF">
            <wp:extent cx="5274310" cy="3032760"/>
            <wp:effectExtent l="0" t="0" r="2540" b="0"/>
            <wp:docPr id="19" name="图片 1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CFF32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护筒埋设</w:t>
      </w:r>
    </w:p>
    <w:p w14:paraId="0207038D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2.正、反循环钻孔</w:t>
      </w:r>
    </w:p>
    <w:p w14:paraId="621FD84A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(1)泥浆护壁成孔时根据泥浆补给情况控制钻进速度；保持钻机稳定。</w:t>
      </w:r>
    </w:p>
    <w:p w14:paraId="7AB98532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(2)钻进过程中如发生斜孔、塌孔和护筒周围冒浆、失稳等现象时，应先停钻，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待采取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相应措施后再进行钻进。</w:t>
      </w:r>
    </w:p>
    <w:p w14:paraId="3A37B8BD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(3)钻孔达到设计深度，灌注混凝土之前，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孔底沉渣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厚度应符合设计要求。设计未要求时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端承型桩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的沉渣厚度不应大于100mm；摩擦型桩的沉渣厚度不应大于300mm。</w:t>
      </w:r>
    </w:p>
    <w:p w14:paraId="06B701F5" w14:textId="7BEBD5E5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6960765C" wp14:editId="4126788F">
            <wp:extent cx="5274310" cy="1918335"/>
            <wp:effectExtent l="0" t="0" r="2540" b="5715"/>
            <wp:docPr id="18" name="图片 1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2B892" w14:textId="2B26F55B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lastRenderedPageBreak/>
        <w:drawing>
          <wp:inline distT="0" distB="0" distL="0" distR="0" wp14:anchorId="34A99977" wp14:editId="47C9FE20">
            <wp:extent cx="5274310" cy="2894330"/>
            <wp:effectExtent l="0" t="0" r="2540" b="1270"/>
            <wp:docPr id="17" name="图片 1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F8517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正反循环原理图</w:t>
      </w:r>
    </w:p>
    <w:p w14:paraId="38A1AB35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水下灌注混凝土基本原理：</w:t>
      </w:r>
    </w:p>
    <w:p w14:paraId="2D31E0CE" w14:textId="476E9B50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69712F3D" wp14:editId="1B2722CC">
            <wp:extent cx="5274310" cy="2676525"/>
            <wp:effectExtent l="0" t="0" r="2540" b="9525"/>
            <wp:docPr id="16" name="图片 1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9FC6D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3.冲击钻成孔</w:t>
      </w:r>
    </w:p>
    <w:p w14:paraId="61A5C746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(1)冲击钻开孔时，应低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锤密击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，反复冲击造壁，保持孔内泥浆面稳定。</w:t>
      </w:r>
    </w:p>
    <w:p w14:paraId="2FDAB501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(2)应采取有效的技术措施防止扰动孔壁、塌孔、扩孔、卡钻和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掉钻及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泥浆流失等事故。</w:t>
      </w:r>
    </w:p>
    <w:p w14:paraId="745EA267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lastRenderedPageBreak/>
        <w:t>(3)每钻进4～5m应验孔一次，在更换钻头前或容易缩孔处，均应验孔并应做记录。</w:t>
      </w:r>
    </w:p>
    <w:p w14:paraId="6D894EB7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(4)排渣过程中应及时补给泥浆。</w:t>
      </w:r>
    </w:p>
    <w:p w14:paraId="479DA1B7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(5)冲孔中遇到斜孔、梅花孔、塌孔等情况时，应采取措施后方可继续施工。</w:t>
      </w:r>
    </w:p>
    <w:p w14:paraId="0551BE3A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(6)稳定性差的孔壁应采用泥浆循环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或抽渣筒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排渣，清孔后灌注混凝土之前的泥浆指标符合要求。</w:t>
      </w:r>
    </w:p>
    <w:p w14:paraId="2BFB7B42" w14:textId="0BFF04E5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362E1C2A" wp14:editId="4952E3EE">
            <wp:extent cx="5274310" cy="2287905"/>
            <wp:effectExtent l="0" t="0" r="2540" b="0"/>
            <wp:docPr id="15" name="图片 1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451B0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冲击成孔</w:t>
      </w:r>
    </w:p>
    <w:p w14:paraId="45AECE6A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【冲击钻孔基本原理】就是利用重锤不断提升然后自由落体往下砸，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将孔底岩石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或者土层砸碎，然后往里面灌泥浆将细小石渣漂浮出来，冲击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钻主要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用在岩石层中成孔。</w:t>
      </w:r>
    </w:p>
    <w:p w14:paraId="5E318D8D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4.</w:t>
      </w:r>
      <w:proofErr w:type="gramStart"/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旋</w:t>
      </w:r>
      <w:proofErr w:type="gramEnd"/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挖成孔</w:t>
      </w:r>
    </w:p>
    <w:p w14:paraId="2E103A48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【旋挖钻机施工步骤】旋挖钻机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就位→埋设护筒→钻头轻着地后旋转开钻→当钻头内装满土砂料时提升出孔外→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旋挖钻机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旋回，将其内的土砂料倾倒在土方车或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地上→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关上钻头活门，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旋挖钻机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旋回到原位，锁上钻机旋转体→放下钻头→钻孔完成，清</w:t>
      </w: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lastRenderedPageBreak/>
        <w:t>孔并测定深度→放入钢筋笼和导管→进行混凝土灌注→拔出护筒并清理桩头沉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淤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回填，成桩。</w:t>
      </w:r>
    </w:p>
    <w:p w14:paraId="3F98B0C0" w14:textId="09C1C26E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21FB4B68" wp14:editId="2EEE5F10">
            <wp:extent cx="5274310" cy="2531745"/>
            <wp:effectExtent l="0" t="0" r="2540" b="1905"/>
            <wp:docPr id="14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1925C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旋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挖成孔</w:t>
      </w:r>
    </w:p>
    <w:p w14:paraId="2018C0BF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(1)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旋挖钻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成孔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灌注桩应根据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不同的地层情况及地下水位埋深，采用不同的成孔工艺。</w:t>
      </w:r>
    </w:p>
    <w:p w14:paraId="70A71362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(2)泥浆制备的能力应大于钻孔时的泥浆需求量，每台套钻机的泥浆储备量不少于单桩体积。</w:t>
      </w:r>
    </w:p>
    <w:p w14:paraId="549F990D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(3)成孔前和每次提出钻斗时，应检查钻斗和钻杆连接销子、钻斗门连接销子以及钢丝绳的状况，并应清除钻斗上的渣土。</w:t>
      </w:r>
    </w:p>
    <w:p w14:paraId="09BF6AB5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(4)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旋挖钻机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成孔应采用跳挖方式，并根据钻进速度同步补充泥浆，保持所需的泥浆面高度不变。</w:t>
      </w:r>
    </w:p>
    <w:p w14:paraId="0F6D5336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(5)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孔底沉渣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厚度控制指标符合要求。</w:t>
      </w:r>
    </w:p>
    <w:p w14:paraId="701DED98" w14:textId="77777777" w:rsidR="00D51391" w:rsidRPr="00D51391" w:rsidRDefault="00D51391" w:rsidP="00D51391">
      <w:pPr>
        <w:widowControl/>
        <w:shd w:val="clear" w:color="auto" w:fill="FFFFFF"/>
        <w:spacing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 w:val="23"/>
          <w:szCs w:val="23"/>
          <w:bdr w:val="none" w:sz="0" w:space="0" w:color="auto" w:frame="1"/>
        </w:rPr>
        <w:t>(四)干作业成孔</w:t>
      </w: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br/>
      </w:r>
    </w:p>
    <w:p w14:paraId="4730DC26" w14:textId="75C9DACA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lastRenderedPageBreak/>
        <w:drawing>
          <wp:inline distT="0" distB="0" distL="0" distR="0" wp14:anchorId="40888795" wp14:editId="5DD2A9D3">
            <wp:extent cx="5274310" cy="1832610"/>
            <wp:effectExtent l="0" t="0" r="2540" b="0"/>
            <wp:docPr id="13" name="图片 1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A886E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1.长螺旋钻孔</w:t>
      </w:r>
    </w:p>
    <w:p w14:paraId="4FD0A9A5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(1)钻机定位后，应进行复检，钻头与桩位点偏差不得大于20mm，开孔时下钻速度应缓慢；钻进过程中，不宜反转或提升钻杆。</w:t>
      </w:r>
    </w:p>
    <w:p w14:paraId="1308F5F0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(2)在钻进过程中遇到卡钻、钻机摇晃、偏斜或发生异常声响时，应立即停钻，查明原因，采取相应措施后方可继续作业。</w:t>
      </w:r>
    </w:p>
    <w:p w14:paraId="59CFA73E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(3)钻至设计标高后，应先泵入混凝土并停顿10～20s，再缓慢提升钻杆。提钻速度应根据土层情况确定，并保证管内有一定高度的混凝土。</w:t>
      </w:r>
    </w:p>
    <w:p w14:paraId="0E4FD210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(4)混凝土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压灌结束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后，应立即将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钢筋笼插至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设计深度，并及时清除钻杆及泵(软)管内残留混凝土。</w:t>
      </w:r>
    </w:p>
    <w:p w14:paraId="273A6FCE" w14:textId="3F2F04EF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lastRenderedPageBreak/>
        <w:drawing>
          <wp:inline distT="0" distB="0" distL="0" distR="0" wp14:anchorId="50C63ED0" wp14:editId="34ABD59F">
            <wp:extent cx="5274310" cy="3434715"/>
            <wp:effectExtent l="0" t="0" r="2540" b="0"/>
            <wp:docPr id="12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图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FE9F6" w14:textId="5351DC0D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606489AD" wp14:editId="3823DFEA">
            <wp:extent cx="5274310" cy="2459355"/>
            <wp:effectExtent l="0" t="0" r="2540" b="0"/>
            <wp:docPr id="11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37B8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2.钻孔扩底</w:t>
      </w:r>
    </w:p>
    <w:p w14:paraId="2CA94DE9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(1)钻杆应保持垂直稳固，位置准确，防止因钻杆晃动引起扩大孔径。</w:t>
      </w:r>
    </w:p>
    <w:p w14:paraId="761EA2BB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(2)钻孔扩底桩施工扩底孔部分虚土厚度应符合设计要求。</w:t>
      </w:r>
    </w:p>
    <w:p w14:paraId="1055DDE4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(3)灌注混凝土时，第一次应灌到扩底部位的顶面，随即振捣密实；灌注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桩顶以下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5m范围内混凝土时，应随灌注随振动，每次灌注高度不大于1.5m。</w:t>
      </w:r>
    </w:p>
    <w:p w14:paraId="492E3457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lastRenderedPageBreak/>
        <w:t>(注）一般用在扩底桩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型施工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上，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上部不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要求扩，钻到桩底时加大钻压，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使扩底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钻头打开径向形成扩大即可。</w:t>
      </w:r>
    </w:p>
    <w:p w14:paraId="0C9AD682" w14:textId="1051A429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0C02A311" wp14:editId="0196C6B4">
            <wp:extent cx="5274310" cy="2459355"/>
            <wp:effectExtent l="0" t="0" r="2540" b="0"/>
            <wp:docPr id="10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图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3F818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3.人工挖孔</w:t>
      </w:r>
    </w:p>
    <w:p w14:paraId="1DF17368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1)人工挖孔桩必须在保证施工安全前提下选用。</w:t>
      </w:r>
    </w:p>
    <w:p w14:paraId="52E52995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(2)挖孔桩截面一般为圆形，也有方形桩；孔径1200～2000mm，最大可达3500mm；挖孔深度不宜超过25m。</w:t>
      </w:r>
    </w:p>
    <w:p w14:paraId="3C7919F0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(3)采用混凝土或钢筋混凝土支护孔壁技术，护壁的厚度、拉接钢筋、配筋、混凝土强度等级均应符合设计要求；井圈中心线与设计轴线的偏差不得大于20mm；上下节护壁混凝土的搭接长度不得小于50mm；每节护壁必须保证振捣密实，并应当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日施工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完毕；应根据土层渗水情况使用速凝剂；模板拆除应在混凝土强度大于2.5MPa后进行。</w:t>
      </w:r>
    </w:p>
    <w:p w14:paraId="0CE4D9BE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(4)挖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孔达到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设计深度后，应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进行孔底处理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。必须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做到孔底表面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无松渣、泥、沉淀土。</w:t>
      </w:r>
    </w:p>
    <w:p w14:paraId="4282016D" w14:textId="04CD7881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lastRenderedPageBreak/>
        <w:drawing>
          <wp:inline distT="0" distB="0" distL="0" distR="0" wp14:anchorId="5C368842" wp14:editId="50E88F47">
            <wp:extent cx="5274310" cy="2070100"/>
            <wp:effectExtent l="0" t="0" r="2540" b="6350"/>
            <wp:docPr id="9" name="图片 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图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D7D4E" w14:textId="77777777" w:rsidR="00D51391" w:rsidRPr="00D51391" w:rsidRDefault="00D51391" w:rsidP="00D51391">
      <w:pPr>
        <w:widowControl/>
        <w:shd w:val="clear" w:color="auto" w:fill="FFFFFF"/>
        <w:spacing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(五)</w:t>
      </w:r>
      <w:proofErr w:type="gramStart"/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钢筋笼与灌注</w:t>
      </w:r>
      <w:proofErr w:type="gramEnd"/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Cs w:val="21"/>
          <w:bdr w:val="none" w:sz="0" w:space="0" w:color="auto" w:frame="1"/>
        </w:rPr>
        <w:t>混凝土施工要点</w:t>
      </w:r>
    </w:p>
    <w:p w14:paraId="393CD07C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1.钢筋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笼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加工应符合设计要求。钢筋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笼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制作、运输和吊装过程中应采取适当的加固措施，防止变形。</w:t>
      </w:r>
    </w:p>
    <w:p w14:paraId="6D16F2E5" w14:textId="741E1150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331637F3" wp14:editId="1BF3D423">
            <wp:extent cx="5274310" cy="1819910"/>
            <wp:effectExtent l="0" t="0" r="2540" b="8890"/>
            <wp:docPr id="8" name="图片 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图片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130D5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2.吊放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钢筋笼入孔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时，不得碰撞孔壁，就位后应采取加固措施固定钢筋笼的位置。</w:t>
      </w:r>
    </w:p>
    <w:p w14:paraId="256B15C0" w14:textId="603F2706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766D354C" wp14:editId="5A85F61A">
            <wp:extent cx="5274310" cy="2017395"/>
            <wp:effectExtent l="0" t="0" r="2540" b="1905"/>
            <wp:docPr id="7" name="图片 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图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E2D56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lastRenderedPageBreak/>
        <w:t>3.沉管灌注桩钢筋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笼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内径应比套管内径小60～80mm，用导管灌注水下混凝土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的桩应比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导管连接处的外径大100mm以上。</w:t>
      </w:r>
    </w:p>
    <w:p w14:paraId="3E8DF3C4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4.灌注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桩采用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的水下灌注混凝土宜采用预拌混凝土，其骨料粒径不宜大40mm。</w:t>
      </w:r>
    </w:p>
    <w:p w14:paraId="66CD7088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5.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灌注桩各工序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应连续施工，钢筋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笼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放入泥浆后4h内必须浇筑混凝土。</w:t>
      </w:r>
    </w:p>
    <w:p w14:paraId="7262F270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6.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桩顶混凝土浇筑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完成后应高出设计标高0.5～1m，确保桩头浮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浆层凿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除后桩基面混凝土达到设计强度。</w:t>
      </w:r>
    </w:p>
    <w:p w14:paraId="58FB9524" w14:textId="0806113F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56A2A483" wp14:editId="791DD1C9">
            <wp:extent cx="5274310" cy="3401695"/>
            <wp:effectExtent l="0" t="0" r="2540" b="8255"/>
            <wp:docPr id="6" name="图片 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图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579FE" w14:textId="33F4BE98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jc w:val="center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388E11D4" wp14:editId="4420A8B3">
            <wp:extent cx="5274310" cy="1931670"/>
            <wp:effectExtent l="0" t="0" r="2540" b="0"/>
            <wp:docPr id="5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图片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5DF09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lastRenderedPageBreak/>
        <w:t>7.当气温低于0℃以下时，浇筑混凝土应采取保温措施，浇筑时混凝土的温度不得低于5℃。当气温高于30℃时，应根据具体情况对混凝土采取缓凝措施。</w:t>
      </w:r>
    </w:p>
    <w:p w14:paraId="17FA4D57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8.灌注桩的实际浇筑混凝土量不得小于计算体积；套管成孔的灌注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桩任何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一段平均直径与设计直径的比值不得小于1.0。</w:t>
      </w:r>
    </w:p>
    <w:p w14:paraId="7875B9D3" w14:textId="77777777" w:rsidR="00D51391" w:rsidRPr="00D51391" w:rsidRDefault="00D51391" w:rsidP="00D51391">
      <w:pPr>
        <w:widowControl/>
        <w:shd w:val="clear" w:color="auto" w:fill="FFFFFF"/>
        <w:spacing w:line="420" w:lineRule="atLeast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b/>
          <w:bCs/>
          <w:color w:val="001034"/>
          <w:spacing w:val="8"/>
          <w:kern w:val="0"/>
          <w:sz w:val="23"/>
          <w:szCs w:val="23"/>
          <w:bdr w:val="none" w:sz="0" w:space="0" w:color="auto" w:frame="1"/>
        </w:rPr>
        <w:t xml:space="preserve">　(六)水下混凝土灌注</w:t>
      </w:r>
    </w:p>
    <w:p w14:paraId="5766CED5" w14:textId="76C8079B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jc w:val="center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3D4EBC7F" wp14:editId="758B299B">
            <wp:extent cx="5274310" cy="2665730"/>
            <wp:effectExtent l="0" t="0" r="2540" b="1270"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图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9B2E6" w14:textId="593AC159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jc w:val="center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10A21CBF" wp14:editId="1ECA7D6F">
            <wp:extent cx="5274310" cy="1898650"/>
            <wp:effectExtent l="0" t="0" r="2540" b="6350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图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DC26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1.桩孔检验合格，吊装钢筋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笼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完毕后，安置导管浇筑混凝土。</w:t>
      </w:r>
    </w:p>
    <w:p w14:paraId="653A794A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2.混凝土配合比应通过试验确定，须具备良好的和易性，坍落度宜为180～220mm。</w:t>
      </w:r>
    </w:p>
    <w:p w14:paraId="0F4C03C5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3.导管应符合下列要求：</w:t>
      </w:r>
    </w:p>
    <w:p w14:paraId="72396804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lastRenderedPageBreak/>
        <w:t>(1)导管内壁应光滑圆顺，直径宜为20～30cm，节长宜为2m。</w:t>
      </w:r>
    </w:p>
    <w:p w14:paraId="1F585E49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(2)导管不得漏水，使用前应试拼、试压，</w:t>
      </w:r>
    </w:p>
    <w:p w14:paraId="1C25E1AD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(3)导管轴线偏差不宜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超过孔深的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0.5%，且不宜大于10cm。</w:t>
      </w:r>
    </w:p>
    <w:p w14:paraId="744F6470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(4)导管采用法兰盘接头宜加锥形活套；采用螺旋丝扣型接头时必须有防止松脱装置。</w:t>
      </w:r>
    </w:p>
    <w:p w14:paraId="24CD1E8A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4.使用的隔水球应有良好的隔水性能，并应保证顺利排出。</w:t>
      </w:r>
    </w:p>
    <w:p w14:paraId="6C1965BA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5.开始灌注混凝土时，导管底部</w:t>
      </w:r>
      <w:proofErr w:type="gramStart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至孔底</w:t>
      </w:r>
      <w:proofErr w:type="gramEnd"/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的距离宜为300～500mm；导管首次埋入混凝土灌注面以下不应少于1m；导管埋入混凝土深度宜为2～6m。</w:t>
      </w:r>
    </w:p>
    <w:p w14:paraId="2560895B" w14:textId="32880806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jc w:val="center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36357F3D" wp14:editId="74852276">
            <wp:extent cx="5274310" cy="5078095"/>
            <wp:effectExtent l="0" t="0" r="2540" b="8255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图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7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23A69" w14:textId="497C2822" w:rsidR="00D51391" w:rsidRPr="00D51391" w:rsidRDefault="00D51391" w:rsidP="00D51391">
      <w:pPr>
        <w:widowControl/>
        <w:shd w:val="clear" w:color="auto" w:fill="FFFFFF"/>
        <w:spacing w:before="150" w:after="225" w:line="420" w:lineRule="atLeast"/>
        <w:jc w:val="center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Microsoft YaHei UI" w:eastAsia="Microsoft YaHei UI" w:hAnsi="Microsoft YaHei UI" w:cs="宋体"/>
          <w:noProof/>
          <w:color w:val="333333"/>
          <w:spacing w:val="8"/>
          <w:kern w:val="0"/>
          <w:sz w:val="24"/>
          <w:szCs w:val="24"/>
        </w:rPr>
        <w:lastRenderedPageBreak/>
        <w:drawing>
          <wp:inline distT="0" distB="0" distL="0" distR="0" wp14:anchorId="3D5F1550" wp14:editId="2DB9BC5E">
            <wp:extent cx="5274310" cy="2512060"/>
            <wp:effectExtent l="0" t="0" r="2540" b="254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图片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7329" w14:textId="77777777" w:rsidR="00D51391" w:rsidRPr="00D51391" w:rsidRDefault="00D51391" w:rsidP="00D51391">
      <w:pPr>
        <w:widowControl/>
        <w:shd w:val="clear" w:color="auto" w:fill="FFFFFF"/>
        <w:spacing w:line="420" w:lineRule="atLeast"/>
        <w:ind w:firstLine="480"/>
        <w:rPr>
          <w:rFonts w:ascii="Microsoft YaHei UI" w:eastAsia="Microsoft YaHei UI" w:hAnsi="Microsoft YaHei UI" w:cs="宋体" w:hint="eastAsia"/>
          <w:color w:val="333333"/>
          <w:spacing w:val="8"/>
          <w:kern w:val="0"/>
          <w:sz w:val="24"/>
          <w:szCs w:val="24"/>
        </w:rPr>
      </w:pPr>
      <w:r w:rsidRPr="00D51391">
        <w:rPr>
          <w:rFonts w:ascii="微软雅黑" w:eastAsia="微软雅黑" w:hAnsi="微软雅黑" w:cs="宋体" w:hint="eastAsia"/>
          <w:color w:val="001034"/>
          <w:spacing w:val="8"/>
          <w:kern w:val="0"/>
          <w:szCs w:val="21"/>
        </w:rPr>
        <w:t>6.灌注水下混凝土必须连续施工，并应控制提拔导管速度，严禁将导管提出混凝土灌注面。灌注过程中的故障应记录备案。</w:t>
      </w:r>
    </w:p>
    <w:p w14:paraId="4131FCD8" w14:textId="77777777" w:rsidR="004E6DCB" w:rsidRPr="00D51391" w:rsidRDefault="004E6DCB"/>
    <w:sectPr w:rsidR="004E6DCB" w:rsidRPr="00D51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91"/>
    <w:rsid w:val="004E6DCB"/>
    <w:rsid w:val="00D5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DECDC"/>
  <w15:chartTrackingRefBased/>
  <w15:docId w15:val="{74F77A04-333C-43CB-9A34-BA0C5690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5139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39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rsid w:val="00D51391"/>
  </w:style>
  <w:style w:type="character" w:styleId="a3">
    <w:name w:val="Hyperlink"/>
    <w:basedOn w:val="a0"/>
    <w:uiPriority w:val="99"/>
    <w:semiHidden/>
    <w:unhideWhenUsed/>
    <w:rsid w:val="00D51391"/>
    <w:rPr>
      <w:color w:val="0000FF"/>
      <w:u w:val="single"/>
    </w:rPr>
  </w:style>
  <w:style w:type="character" w:styleId="a4">
    <w:name w:val="Emphasis"/>
    <w:basedOn w:val="a0"/>
    <w:uiPriority w:val="20"/>
    <w:qFormat/>
    <w:rsid w:val="00D51391"/>
    <w:rPr>
      <w:i/>
      <w:iCs/>
    </w:rPr>
  </w:style>
  <w:style w:type="paragraph" w:styleId="a5">
    <w:name w:val="Normal (Web)"/>
    <w:basedOn w:val="a"/>
    <w:uiPriority w:val="99"/>
    <w:semiHidden/>
    <w:unhideWhenUsed/>
    <w:rsid w:val="00D513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513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1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46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javascript:void(0);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jianghua</dc:creator>
  <cp:keywords/>
  <dc:description/>
  <cp:lastModifiedBy>yan jianghua</cp:lastModifiedBy>
  <cp:revision>1</cp:revision>
  <dcterms:created xsi:type="dcterms:W3CDTF">2022-02-28T09:06:00Z</dcterms:created>
  <dcterms:modified xsi:type="dcterms:W3CDTF">2022-02-28T09:09:00Z</dcterms:modified>
</cp:coreProperties>
</file>